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Clare v. I.J. Manufacturing and three other actions, 2003 BREG para. 50,351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Real Estate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April 22, 2003.</w:t>
      </w:r>
    </w:p>
    <w:p>
      <w:pPr>
        <w:spacing w:before="120" w:line="260" w:lineRule="atLeast"/>
        <w:jc w:val="center"/>
        <w:rPr>
          <w:lang w:val="en-US" w:eastAsia="en-US" w:bidi="ar-SA"/>
        </w:rPr>
      </w:pPr>
      <w:r>
        <w:rPr>
          <w:rFonts w:ascii="arial" w:eastAsia="arial" w:hAnsi="arial" w:cs="arial"/>
          <w:color w:val="000000"/>
          <w:sz w:val="20"/>
          <w:lang w:val="en-US" w:eastAsia="en-US" w:bidi="ar-SA"/>
        </w:rPr>
        <w:t>Court File Nos. 24980, 25105, 26050, 26051, Kamloops Registry</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2003</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2003 BREG para. 50,351</w:t>
      </w:r>
    </w:p>
    <w:p>
      <w:pPr>
        <w:spacing w:before="120" w:line="260" w:lineRule="atLeast"/>
        <w:rPr>
          <w:lang w:val="en-US" w:eastAsia="en-US" w:bidi="ar-SA"/>
        </w:rPr>
      </w:pPr>
      <w:r>
        <w:rPr>
          <w:rFonts w:ascii="arial" w:eastAsia="arial" w:hAnsi="arial" w:cs="arial"/>
          <w:color w:val="000000"/>
          <w:sz w:val="20"/>
          <w:lang w:val="en-US" w:eastAsia="en-US" w:bidi="ar-SA"/>
        </w:rPr>
        <w:t>Clare v. I.J. Manufacturing and three other actions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Remedies — Defective windows — Consumer protection — The plaintiffs were four couples who bought homes fitted with aluminum clad wood frame windows designed and manufactured by the defendant — All plaintiffs' windows developed ice on their interior surfaces and froze shut when the exterior temperature dropped below minus 10 Celsius — The plaintiffs commenced an action and at the close of the plaintiffs' case, the defendant applied under Rule 40(8) to have the actions dismissed — The defendant's motion was dismissed — The Court held that the current state of the law was that there could recovery in tort for economic loss (such as replacement cost) where the defective article presented a danger — The inability to open the windows in certain situations could present a real and substantial danger to the occupants.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plaintiffs in these four actions, which were being tried together, were four couples who bought homes in Kamloops fitted with aluminum clad wood frame windows designed and manufactured by the defendant. The plaintiffs alleged that the windows were defective, primarily in that they failed to meet the CSA Standard for condensation resistance. All the plaintiffs' windows developed ice on their interior surfaces and froze shut when the exterior temperature dropped below minus 10 Celsius.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An expert, called by the plaintiff, opined that the windows failed to meet CSA Standards for condensation resistance because of a design flaw which resulted in a thermal bridge where there ought to be a thermal barrier between the exterior of the window sash or frame and the interior glass surface. This, said the expert, permitted the interior window surface temperature to drop below 0 Celsius at exterior temperatures above minus 25 Celsius, causing interior water vapour to precipitate and freeze on the interior window surface.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claims were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breach of contract. The plaintiffs alleged that the defendant had breached its duty of care and, further, that as a result of the defendant's breaches of duty, they would have to remove and replace all the windows supplied by the defendant. At the close of the plaintiffs' case, the defendant applied under Rule 40(8) to have the actions dismissed. The motion for dismissal was advanced on two grounds. The first ground was that there was no evidence of contracts between the various plaintiffs and the defendant as alleged, so the provisions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pleaded by the plaintiffs could have no application. The second ground pleaded was that the tort claim pleaded in the alternative could not succeed in light of certain decisions of the Court of Appeal, including </w:t>
            </w:r>
            <w:r>
              <w:rPr>
                <w:rFonts w:ascii="arial" w:eastAsia="arial" w:hAnsi="arial" w:cs="arial"/>
                <w:i/>
                <w:color w:val="000000"/>
                <w:sz w:val="20"/>
                <w:lang w:val="en-US" w:eastAsia="en-US" w:bidi="ar-SA"/>
              </w:rPr>
              <w:t>District of Logan Lake v. Rivtow Industries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[1990] B.C.J. No. 1368</w:t>
              </w:r>
            </w:hyperlink>
            <w:r>
              <w:rPr>
                <w:rFonts w:ascii="arial" w:eastAsia="arial" w:hAnsi="arial" w:cs="arial"/>
                <w:color w:val="000000"/>
                <w:sz w:val="20"/>
                <w:lang w:val="en-US" w:eastAsia="en-US" w:bidi="ar-SA"/>
              </w:rPr>
              <w:t xml:space="preserve">. For purposes of the motion, the defendant's counsel acknowledged that the Court had to presume the windows were defective.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The defendant's motion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contended that there was evidence of collateral contracts between them and the defendant, and that the tort claim was maintainable because </w:t>
            </w:r>
            <w:r>
              <w:rPr>
                <w:rFonts w:ascii="arial" w:eastAsia="arial" w:hAnsi="arial" w:cs="arial"/>
                <w:i/>
                <w:color w:val="000000"/>
                <w:sz w:val="20"/>
                <w:lang w:val="en-US" w:eastAsia="en-US" w:bidi="ar-SA"/>
              </w:rPr>
              <w:t>Logan Lake</w:t>
            </w:r>
            <w:r>
              <w:rPr>
                <w:rFonts w:ascii="arial" w:eastAsia="arial" w:hAnsi="arial" w:cs="arial"/>
                <w:color w:val="000000"/>
                <w:sz w:val="20"/>
                <w:lang w:val="en-US" w:eastAsia="en-US" w:bidi="ar-SA"/>
              </w:rPr>
              <w:t xml:space="preserve"> was no longer the law in British Columbia. The </w:t>
            </w:r>
            <w:r>
              <w:rPr>
                <w:rFonts w:ascii="arial" w:eastAsia="arial" w:hAnsi="arial" w:cs="arial"/>
                <w:i/>
                <w:color w:val="000000"/>
                <w:sz w:val="20"/>
                <w:lang w:val="en-US" w:eastAsia="en-US" w:bidi="ar-SA"/>
              </w:rPr>
              <w:t>Logan Lake</w:t>
            </w:r>
            <w:r>
              <w:rPr>
                <w:rFonts w:ascii="arial" w:eastAsia="arial" w:hAnsi="arial" w:cs="arial"/>
                <w:color w:val="000000"/>
                <w:sz w:val="20"/>
                <w:lang w:val="en-US" w:eastAsia="en-US" w:bidi="ar-SA"/>
              </w:rPr>
              <w:t xml:space="preserve"> case held that "... a manufacturer of a potentially defective article ... is liable in tort, as distinct from contract, to an ultimate consumer or user for damage arising in the article itself, or for economic loss resulting from the defect in the article, but only for personal injury and damage to other property caused by the article or its use".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noted that there had been developments in the law since </w:t>
            </w:r>
            <w:r>
              <w:rPr>
                <w:rFonts w:ascii="arial" w:eastAsia="arial" w:hAnsi="arial" w:cs="arial"/>
                <w:i/>
                <w:color w:val="000000"/>
                <w:sz w:val="20"/>
                <w:lang w:val="en-US" w:eastAsia="en-US" w:bidi="ar-SA"/>
              </w:rPr>
              <w:t>Logan Lake</w:t>
            </w:r>
            <w:r>
              <w:rPr>
                <w:rFonts w:ascii="arial" w:eastAsia="arial" w:hAnsi="arial" w:cs="arial"/>
                <w:color w:val="000000"/>
                <w:sz w:val="20"/>
                <w:lang w:val="en-US" w:eastAsia="en-US" w:bidi="ar-SA"/>
              </w:rPr>
              <w:t xml:space="preserve"> was decided. There could now be recovery in tort for economic loss such as replacement cost where the defective article presented a danger. The Court stated that, as the law currently stands in British Columbia, the plaintiffs, in order to recover in tort, must show that the windows were not only defective but dangerous. In this regard, there was evidence that when ice formed on those of the windows designed to open, they became impossible to open. There was also evidence that the B.C. Building Code, section 9.7.1.3(1) requires that each bedroom without a door which opens to the outside must have a window which can open as a means of egress. The Court found that this constituted evidence from which it could be inferred that some of the windows in the plaintiffs' houses could present a "real and substantial danger to the occupants" when they failed to open under frost conditions. That evidence provided a potential basis upon which the plaintiffs could recover tort damages in these cases. How real and substantial the risk might be would involve a weighing of the evidence which was not permitted on an application under Rule 40(8).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6" style="position:absolute;z-index:251709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Coglon v. Ergas, [2009] B.C.J. No. 2427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S077742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1664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Luke Coglon, Plaintiff, and Marcos Ergas and Sussex Group S.R.C. Realty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H.C.R. Clark,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Marcos Ergas: T.M.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Sussex Group S.R.C. Realty Corporation: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A. GRIFFIN J."/>
            <w:bookmarkEnd w:id="5"/>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27, 2009, I granted judgment in favour of the defendants in this matter, dismissing the plaintiff's claim, indexed as </w:t>
      </w:r>
      <w:hyperlink r:id="rId19" w:history="1">
        <w:r>
          <w:rPr>
            <w:rFonts w:ascii="arial" w:eastAsia="arial" w:hAnsi="arial" w:cs="arial"/>
            <w:i/>
            <w:color w:val="0077CC"/>
            <w:sz w:val="20"/>
            <w:u w:val="single"/>
            <w:shd w:val="clear" w:color="auto" w:fill="FFFFFF"/>
            <w:lang w:val="en-US" w:eastAsia="en-US" w:bidi="ar-SA"/>
          </w:rPr>
          <w:t>2009 BCSC 1170</w:t>
        </w:r>
      </w:hyperlink>
      <w:r>
        <w:rPr>
          <w:rFonts w:ascii="arial" w:eastAsia="arial" w:hAnsi="arial" w:cs="arial"/>
          <w:color w:val="000000"/>
          <w:sz w:val="20"/>
          <w:lang w:val="en-US" w:eastAsia="en-US" w:bidi="ar-SA"/>
        </w:rPr>
        <w:t>. The defendant, Marcos Ergas, now seeks either special costs 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by Mr. Coglon arose from his purchase of a home from Mr. Ergas for $4.4 million in August 2007. The home had been extensively renovated by Mr. Ergas prior to the sale to Mr. Coglon.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part of the sale documents, Mr. Ergas filled out a standard form Property Disclosure Statement ("PDS") in which he disclosed no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Soon after the sale completed, Mr. Coglon noticed water ingress into the crawlspace of the home. He noticed that some loose insulation batts were placed in the area of the water ingress and that a small channel had been carved into the bedrock floor of the crawlspace, seemingly to divert the water. He concluded from these signs that Mr. Ergas must have known about the water in the crawlspace. Since Mr. Ergas had not disclosed this prior to the sale, Mr. Coglon concluded that Mr. Ergas had misrepresented the facts concerning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Several months after the completion of the sale of the home to Mr. Coglon, steel channels supporting glass guard walls around the exterior decks of the home began to rust and to cause unsightly staining. While Mr. Coglon did not assert that Mr. Ergas made a misrepresentation with respect to the steel channels supporting the guard walls, he alleged that the renovation work had been done negligently, causing the rusting.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well, Mr. Coglon amended the claim at trial to allege that there were some electrical problems in the home due to faulty workmanship in the course of the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Mr. Coglon sought the remedy of rescission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Mr. Ergas argues that special costs should be awarded against Mr. Coglon for two reasons: (1) Mr. Coglon advanced an unfounded allegation of fraud against Mr. Ergas, and (2) Mr. Coglon's conduct of the proceeding caused delay and increased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awarding of special costs is a matter of the court's discretion. That discretion may be exercised where the court finds that the party, against whom the costs award is to be made, has engaged in reprehensible conduct. "Reprehensible" means not only scandalous or outrageous conduct, but also milder forms of misconduct deserving of the court's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at para. 17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some circumstances, advancing unproven allegations of fraud may be such as to deserve the court's rebuke and may entitle a successful defendant to special costs: </w:t>
      </w:r>
      <w:r>
        <w:rPr>
          <w:rFonts w:ascii="arial" w:eastAsia="arial" w:hAnsi="arial" w:cs="arial"/>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21 C.C.L.I. (2d) 26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Pacific Hunter Resources Inc. v. Moss Management Inc.</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2009 BCSC 1049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this case, the plaintiff's statement of claim was conservatively and appropriately worded to support the claim that representations had been made as to the condition of the home, and those representations were false. In respect of the water ingress, the plaintiff pleaded that the defendant made representations either knowing they were false, or negligently. It was also pleaded that Mr. Ergas fraudulently and deceitfully attempted to hide the water ingress. The other claims of construction defects were pleaded as a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As well, the plaintiff pleaded and relied on an implied warranty pursuant to the provisions of the </w:t>
      </w:r>
      <w:r>
        <w:rPr>
          <w:rFonts w:ascii="arial" w:eastAsia="arial" w:hAnsi="arial" w:cs="arial"/>
          <w:i/>
          <w:color w:val="000000"/>
          <w:sz w:val="20"/>
          <w:lang w:val="en-US" w:eastAsia="en-US" w:bidi="ar-SA"/>
        </w:rPr>
        <w:t>Home 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fact is that Mr. Ergas did make representations in the PDS as to his knowledge of the state of the home. As well, somebody did leave insulation batts in the crawlspace and somebody did carve a channel in the bedrock. In my view, Mr. Coglon's position that Mr. Ergas's representations were false was not outrageous, scandalous, or any form of misconduct deserving of rebuke. It was simply Mr. Coglon's interpretation of the evidence, which interpretation I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Ahluwalia v. Richmond Cabs Ltd.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(1994), 28 C.P.C. (3d) 226</w:t>
        </w:r>
      </w:hyperlink>
      <w:r>
        <w:rPr>
          <w:rFonts w:ascii="arial" w:eastAsia="arial" w:hAnsi="arial" w:cs="arial"/>
          <w:color w:val="000000"/>
          <w:sz w:val="20"/>
          <w:lang w:val="en-US" w:eastAsia="en-US" w:bidi="ar-SA"/>
        </w:rPr>
        <w:t xml:space="preserve"> (B.C.S.C.), aff'd </w:t>
      </w:r>
      <w:hyperlink r:id="rId24" w:history="1">
        <w:r>
          <w:rPr>
            <w:rFonts w:ascii="arial" w:eastAsia="arial" w:hAnsi="arial" w:cs="arial"/>
            <w:i/>
            <w:color w:val="0077CC"/>
            <w:sz w:val="20"/>
            <w:u w:val="single"/>
            <w:shd w:val="clear" w:color="auto" w:fill="FFFFFF"/>
            <w:lang w:val="en-US" w:eastAsia="en-US" w:bidi="ar-SA"/>
          </w:rPr>
          <w:t>13 B.C.L.R. (3d) 93</w:t>
        </w:r>
      </w:hyperlink>
      <w:r>
        <w:rPr>
          <w:rFonts w:ascii="arial" w:eastAsia="arial" w:hAnsi="arial" w:cs="arial"/>
          <w:color w:val="000000"/>
          <w:sz w:val="20"/>
          <w:lang w:val="en-US" w:eastAsia="en-US" w:bidi="ar-SA"/>
        </w:rPr>
        <w:t xml:space="preserve"> (C.A.) Newbury J. (as she then was) held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in every case is whether, on a consideration of the substantive conduct of the party making the allegation, and the conduct of the litigation itself, the person or persons against whom the order is sought, has acted in a manner that is sufficiently reprehensible to warrant chastisement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fact that the plaintiff advanced pleas of misrepresentation, either fraudulent or negligent, and of fraudulent concealment, is not sufficient in the circumstances of this case to warrant chastisement by the court and does not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the conduct of the proceedings, I have reviewed the affidavit evidence as to the pre-trial discovery process and one interlocutory application to adjourn the trial. In my view, there was nothing untoward in the conduct of the proceeding by Mr. Coglon or his counsel that would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therefore conclude that an order for special costs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Mr. Ergas, seeks double costs based on the plaintiff's refusal to accept his offers to settle made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action was commenced on November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September 2007, Mr. Coglon obtained an estimate of the cost to fix the water ingress into the crawlspace in the amount of $16,900, subject to additional costs for any unexpected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Ergas made a first offer to settle dated July 3, 2008, in the amount of $17,000 and costs in accordance with Rule 37B.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of the initial offer, Mr. Coglon was not aware of any other defects with respect to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Subsequently, in approximately December 2008 and onward, Mr. Coglon became aware of the problem with the rusting steel support channels. The plaintiff's claim was amended to include a claim with respect to the steel channels.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14, 2009, Mr. Ergas made a second offer to settle on payment of $63,000 to Mr. Coglon, all inclusive. The offer reserved the right to bring the offer to the attention of the court in relation to costs after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the second offer was made by Mr. Ergas, Mr. Coglon had in hand an expert report in relation to the cost of fixing the steel channels. The plaintiff's own expert, Mr. Narcisso, estimated that the cost of fixing the guard rails would be approximately $28,000. In response, the defence report of Mr. Schwartz estimated the cost of fixing the steel channels at approximately $23,000.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Offers to settle may be taken into account by the court in assessing costs, pursuant to Rule 37B. The policy behind the Rule is that reasonable efforts by a party to settle a case before trial, thus avoiding the expense and inconvenience of trial, should be rewarded through the mechanism of a costs award that is more favourable than would ordinarily be the case based on the actual results of trial. On the flip side, the policy is that unreasonable conduct in refusing a reasonable settlement should be discouraged through a costs award that is less favourable than would ordinarily be the case based on the actual results of trial: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4 W.W.R. 524</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 B.C.L.R. (3d) 201</w:t>
        </w:r>
      </w:hyperlink>
      <w:r>
        <w:rPr>
          <w:rFonts w:ascii="arial" w:eastAsia="arial" w:hAnsi="arial" w:cs="arial"/>
          <w:color w:val="000000"/>
          <w:sz w:val="20"/>
          <w:lang w:val="en-US" w:eastAsia="en-US" w:bidi="ar-SA"/>
        </w:rPr>
        <w:t xml:space="preserve">, (C.A.) at paras. 28, 51;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at para. 21,130 B.C.A.C. 95;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37B(6) provides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Here, Mr. Ergas will be entitled to costs due to his success at trial in obtaining an order dismissing Mr. Coglon's claim, and Mr. Coglon will not be entitled to any costs because Mr. Coglon did not succeed in any claim at trial. Both offers to settle would have provided Mr. Coglon with a more favourable result than what occurred at trial. In these circumstances, if either offer to settle is to have any effect that is different than the ordinary result of trial, it would be to double the costs payable by the plaintiff to the defendant after the date of delivery of the defendant's first, or alternatively the second offer to settle, pursuant to Rule 37B(5)(b), as was done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that when the initial offer to settle was made, Mr. Ergas had already acted reasonably by attending at the home to fix some minor problems, such as scratches and stains on the flooring, and some problems with electrical switches. The first offer by Mr. Ergas was very reasonable in light of the facts known by the parties. There was no direct evidence that Mr. Ergas knew of the water ingress prior to sale, nor was there evidence that it would cost considerably more than $17,000 to fix.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Mr. Coglon refused the first offer to settle and continued to insist on rescission of an approximately $4.4 million contract, it has to be assumed that he was aware that he risked an award of double costs if he failed at trial. I must presume, given his sophistication, that Mr. Coglon was well prepared to take the risk. Mr. Coglon is a man of substance with significant assets and substantial income, as described by his own counsel in submissions on this costs hearing. Mr. Coglon purchased the home which was the subject of this action without any outside financing. At the same time, he owned another home which he valued at well above $4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common ground that the real estate market was declining at the time. By seeking a rescission in a declining market and rejecting the settlement offer, Mr. Coglon put a significant risk on Mr. Ergas. Mr. Ergas's evidence was that he had sold the home because of his own financial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initial settlement offer by Mr. Ergas was at a stage that would have allowed each party to get on with their lives and to avoid much of the costs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considering all of the circumstances, I conclude that the first offer to settle was reasonable, and that Mr. Ergas should be rewarded for making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conclude that the first offer to settle ought to have reasonably been accepted by Mr. Coglon. This is not a case involving a claim for damages for personal injuries where the plaintiff was facing the possibility of not having funds to pay for future treatment, or for reasonable living conditions, if he was to give up on the lawsuit. At its core, this was a case about money, prosecuted by someone who knew he could afford to lose and to pay for double costs; it must be assumed that Mr. Coglon would have factored in this business risk when he decided to reject the first settlement offer and to continue to insist on rescission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Considering the purpose of Rule 37B and the factors set out in Rule 37B(6), I conclude that it is fair and appropriate to award Mr. Ergas double costs of the action from the date of one week after his offer of July 3, 2008 through to the present. Mr. Ergas is thus awarded his assessed costs at Scale B to the date of July 10, 2008, and double his assessed costs at Scale B from July 11, 2008, forward. Mr. Ergas is also entitled to payment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Commisso v. Teck Coal Ltd., [2018] B.C.J. No. 6970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Marzari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M159156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2283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Pietro Commisso, Plaintiff, and Teck Coal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jc w:val="both"/>
        <w:rPr>
          <w:rFonts w:ascii="arial" w:eastAsia="arial" w:hAnsi="arial" w:cs="arial"/>
          <w:sz w:val="20"/>
          <w:lang w:val="en-US" w:eastAsia="en-US" w:bidi="ar-SA"/>
        </w:rPr>
      </w:pPr>
      <w:bookmarkStart w:id="6" w:name="Counsel_0"/>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W.T.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 De Vita, QC, L.M. Hanson.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0"/>
      <w:bookmarkEnd w:id="7"/>
      <w:r>
        <w:pict>
          <v:line id="_x0000_s1031"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Application for Summary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Dismissal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MARZARI J. (orally)"/>
            <w:bookmarkEnd w:id="8"/>
            <w:r>
              <w:rPr>
                <w:rFonts w:ascii="arial" w:eastAsia="arial" w:hAnsi="arial" w:cs="arial"/>
                <w:b/>
                <w:color w:val="000000"/>
                <w:sz w:val="30"/>
                <w:lang w:val="en-US" w:eastAsia="en-US" w:bidi="ar-SA"/>
              </w:rPr>
              <w:t>MARZARI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Pietro Commisso was injured driving home from his place of employment at Teck Coal Limited ("Teck Coal") on December 25, 2013, when his car ran off the road and rolled over. No other vehicle was involved and although the cause of the accident is not yet established, Mr. Commisso says that it occurred because he was ill. He further says that his employer knew or ought to have known that he was ill and that his ability to drive was compromised, and owed him a duty of care to ensure he had the ability to drive home safely or otherwise had a safe ride home. Mr. Commisso is claiming damages for extensive injuries, which he says have left him debilitated and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Teck Coal brings this application for a summary trial seeking dismissal of the claim against it on two bases: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owed no duty of care to Mr. Commisso;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evidence indicates that Mr. Commisso would not have accepted an alternative ride home in any event, and therefore he cannot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Commisso says that these issues are not amenable to disposition by summary trial on the basis that there are significant contradictions on key points in the evidence that go to the existence of a duty of care, and that he requires additional time to prepare the evidence he anticipates leading on all elements of the claim, including causation. Specifically, he has yet to interview the RCMP witnesses that attended the accident, or to prepare the reports that would be required to establish the cause of the accident. He himself has no recollection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Alternatively he argues this court should find on the evidence in the summary trial that Teck Coal owed him a duty of care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is set to be heard 14 days commencing April 8, 2019 with a jury. This application was filed by Teck Coal on October 18, 2018, and responded to by Mr. Commisso on November 16, 2018. The summary trial was heard November 23,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question I must resolve on this application is whether the existence of a duty of care in this case is amenable to determination by way of summary trial. If so, I must consider whether or not Teck Coal owed Mr. Commisso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then address Teck Coal's second ground for dismissal of the claim on the narrow issue of whether Mr. Commisso would have accepted an alternative ride home if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burden of establishing the existence of a duty of care and causation is on Mr. Commisso, as is the burden of establishing that a determination of either question is not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issue to be determined is whether the issues raised by Teck Coal can or should proceed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Teck Coal says that this matter is amenable to summary trial because a determination that it owes no duty of care is essentially a matter of law and would be dispositive of the entire proceeding. It takes the same position with respect to the narrow causation issue it raises.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Commisso disagrees, and says that there are a number of contested facts that go to the existence of a duty of care and causation, and this makes the issues not suitable for summary trial. He also argues that he has not yet obtained and prepared all of the evidence essential to his case on these matters, including interviewing RCMP witnesses and obtaining expert reports, and that while this evidence will be ready in time for the trial in 4 months, it was not possible to obtain in time to respond to the summary trial application. Finally, Mr. Commisso says that the issues raised by Teck Coal should not be severed from the trial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critical question facing the court when hearing a summary trial application is whether the court can find the facts necessary to decide the disputed issues. Even where the court can find the necessary facts, it must still consider whether it would be unjust to decide the matter summarily by reference to factors such as the amount involved, the complexity of the matter, its urgency, any prejudice that might arise by reason of delay, the cost of taking the matter forward to a conventional trial, the course of the proceedings, and any other matters which arise for consideration: see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211 and 215; and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 A conflict in the evidence does not necessarily mean that a matter is not amenable to summary trial, however, and a court will try and resolve legal and factual issues where it is fair and just to do so: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Teck Coal's position is that the duty of care asserted by Mr. Commisso is novel, in that there is no pre-existing recognized duty of care between an employer and employee where the employer did not cause or at least contribute to the risk that led to the employee's injuries. Furthermore it says there is no precedent that establishes a pre-existing or recognized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an employer to ensure that its employees have the ability to drive home safely where an employee advises that they are not feeling well. It says such a duty would impose obligations on an employer where the harm is not reasonably foreseeable, and that reasonable foreseeability is independently required to determine proximity for the purposes of establishing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this regard, Teck Coal cited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 </w:t>
      </w:r>
      <w:hyperlink r:id="rId38"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Rankin (Rankin's Garage &amp; Sales) v. J.J.</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2018 SCC 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Jenkins v. Muir</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2012 ABQB 352</w:t>
        </w:r>
      </w:hyperlink>
      <w:r>
        <w:rPr>
          <w:rFonts w:ascii="arial" w:eastAsia="arial" w:hAnsi="arial" w:cs="arial"/>
          <w:color w:val="000000"/>
          <w:sz w:val="20"/>
          <w:lang w:val="en-US" w:eastAsia="en-US" w:bidi="ar-SA"/>
        </w:rPr>
        <w:t xml:space="preserve">, at paras. 64-68. To these cases I would add the decision of the Ontario Court of Appeal in </w:t>
      </w:r>
      <w:r>
        <w:rPr>
          <w:rFonts w:ascii="arial" w:eastAsia="arial" w:hAnsi="arial" w:cs="arial"/>
          <w:i/>
          <w:color w:val="000000"/>
          <w:sz w:val="20"/>
          <w:lang w:val="en-US" w:eastAsia="en-US" w:bidi="ar-SA"/>
        </w:rPr>
        <w:t>John v. Flynn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(2001), 201 D.L.R. (4th) 500</w:t>
        </w:r>
      </w:hyperlink>
      <w:r>
        <w:rPr>
          <w:rFonts w:ascii="arial" w:eastAsia="arial" w:hAnsi="arial" w:cs="arial"/>
          <w:color w:val="000000"/>
          <w:sz w:val="20"/>
          <w:lang w:val="en-US" w:eastAsia="en-US" w:bidi="ar-SA"/>
        </w:rPr>
        <w:t xml:space="preserve"> (Ont. C.A.), application for leave to dismiss </w:t>
      </w:r>
      <w:hyperlink r:id="rId42" w:history="1">
        <w:r>
          <w:rPr>
            <w:rFonts w:ascii="arial" w:eastAsia="arial" w:hAnsi="arial" w:cs="arial"/>
            <w:i/>
            <w:color w:val="0077CC"/>
            <w:sz w:val="20"/>
            <w:u w:val="single"/>
            <w:shd w:val="clear" w:color="auto" w:fill="FFFFFF"/>
            <w:lang w:val="en-US" w:eastAsia="en-US" w:bidi="ar-SA"/>
          </w:rPr>
          <w:t>[2001] S.C.C.A. No. 394</w:t>
        </w:r>
      </w:hyperlink>
      <w:r>
        <w:rPr>
          <w:rFonts w:ascii="arial" w:eastAsia="arial" w:hAnsi="arial" w:cs="arial"/>
          <w:color w:val="000000"/>
          <w:sz w:val="20"/>
          <w:lang w:val="en-US" w:eastAsia="en-US" w:bidi="ar-SA"/>
        </w:rPr>
        <w:t>, wherein the Ontario Court of Appeal described an employer's duty of care to its employees at para. 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the focus is on the workplace and in broad terms the duty of care to its employees does not extend beyond the workplace. The notion that an employer, operating a plant for the manufacture of truck and automobile parts, has a duty to monitor its employees to determine if it is safe for them to drive home is novel in the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Furthermore, Teck Coal says that even if reasonable foreseeability could be established together with proximity, a general duty of care owed by all employers to all employees that report feeling unwell should be negated for policy reasons, as this would be a significant expansion of liability for all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Teck Coal generally accepts that an employer may owe a duty of care to its employees to ensure that the employee is safe to return home where the employer caused the impairment that led to the injury. Teck Coal also conceded that it may have a duty of care to offer or provide a safe ride home from the mine site in circumstances where it has knowledge that an employee is impaired in their ability to drive home. In this regard, Teck Coal agreed that it has a policy of arranging an alternate ride home for its employees when it has knowledge that an employee is unfit or unsafe to drive. Indeed Teck Coal had arranged such a ride for Mr. Commisso earlier in the year when the company was advised that he was feeling dizzy.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Teck Coal says that mere knowledge that an employee is not feeling well is not enough to give rise to such a duty of care. They say that although Teck Coal knew that Mr. Commisso was unwell, it did not know or have any reason to believe that he was ill in a manner that impaired his ability to drive. While Teck Coal concedes that a duty of care may arise in the latter circumstance, they say no duty of care arises in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Teck Coal's position that it owed Mr. Commisso no duty of care therefore turns on its factual assertion that even if Mr. Commisso was impaired as he alleges, Teck Coal had no knowledge of the extent of that alleged impairment on the evening of December 25, 2013. Teck Coal says that I can make that factual determination on the basis of evidence that they say is generally not in contention or is otherwise resolvable on the evidence in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evidence includes that Mr. Commisso reported feeling unwell, but he was ready, willing and able to work by his own account and the accounts of others. Furthermore, Mr. Commisso's work involved driving large mining vehicles, including haulage trucks weighing 240 tons or more, and dump dozers weighing 40 to 50 tons. In examination for discovery Mr. Commisso agreed that he felt confident in his ability to work his 12-hour shift that night and that he was also confident in his ability to drive both himself and a fellow employee to work that day and to drive himself home again. Teck Coal says that this evidence establishes that while Mr. Commisso may have been feeling unwell, he was not impaired. They say it is not plausible to assert that Teck Coal should have had better knowledge of Mr. Commisso's impairment than Mr. Commisso himself did. Ultimately Teck Coal says that there is no factual foundation for a consideration of a duty of care on the basis that Teck Coal had knowledge or ought to have had knowledge of Mr. Commisso's alleged impairment due to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Commisso asserted in argument that Teck Coal owed a duty of care to him to ensure he was able to drive home safely once it knew he was unwell, regardless of whether it knew he was impaired in his ability to drive. This is the duty of care that Teck Coal said is entirely novel and should not be recognized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However, Mr. Commisso also advances the position that Teck Coal owed him a duty of care based on his assertion that his supervisors were aware not only that he was unwell but that they "knew or ought to have known that due to illness his ability to drive was compromised." In inserting a duty of care based on these factual circumstances, Mr. Commisso relies upon Teck Coal's policies and case law relating to host liability in the employment setting, specifically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reviewed the evidence in the summary trial relating to the factual circumstances which Mr. Commisso says gives rise to a duty of care based on the knowledge or inferred knowledge of Teck Coal of his alleged impairment. There is conflicting evidence on a number of key issues that go to the factual foundation for establishing a duty of care on that basis, including: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Commisso was required to work December 25th: Teck Coal says that they were not expecting him and had not scheduled a shift for him, while Mr. Commisso says that he was required to work because he was scheduled to work that day and said that he would;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was Teck Coal or Mr. Commisso that raised the issue that he was not well: Teck Coal witnesses say it was Mr. Commisso himself who raised that he was unwell while indicating that he was still prepared and able to work, while Mr. Commisso says it was his supervisor Mr. Gawreluk, who first noted that he did not look well and would not give him a shift;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Commisso appeared ill that day: Teck Coal's witnesses said he did not appear ill or unable to work, while Mr. Commisso says that he has a number of witnesses who heard at least some of Teck Coal's witnesses say or suggest the opposite;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Why Mr. Commisso did not work that day: Teck Coal says that he was given the option to take a shift but chose not to, while Mr. Commisso says he was refused a shift on the basis that he did not appear fit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Furthermore, Mr. Commisso argues that even though he may have been confident in his ability to work and to drive, his ability to make this judgment was impaired by his illness. Essentially, he says that Teck Coal owed him a duty of care in circumstances where he says his supervisors determined that he was not fit to work and refused him a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Overall, I find that the contested factual issues in the summary trial are highly relevant to the question of whether Teck Coal had come to the conclusion that Mr. Commisso was not fit to work and sent him home for that specific reason. If that is established on the evidence, as Mr. Commisso asserts, then Mr. Commisso may well also establish not just that he was unwell, but that Teck Coal knew or ought to have known that he was impaired in his ability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Teck Coal has conceded that if it had knowledge of the latter, a duty of care may arise on its part. Given this concession and the contested nature of the evidence that may lead a trier of fact or trial judge to make conclusions in this regard, I find that this issue cannot fairly be determined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at the summary trial does not establish to what extent Mr. Commisso was impaired in his ability to drive due to illness that evening, if at all, or whether that alleged impairment was the cause of the accident, as opposed to road conditions, speed or some other factor. Mr. Commisso anticipates leading expert evidence on these issues should this matter proceed to trial as scheduled, but this evidence is being prepared in anticipation of the April 2019 trial date and was not ready for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Teck Coal acknowledges that Mr. Commisso has not yet completed preparation of his evidence on the broader issue of whether his state of health caused the accident and his related damages. It does not suggest that this evidence should have been available for the purposes of the summary trial. Teck Coal nevertheless seeks a dismissal of the claim on the narrower question of whether Mr. Commisso would have refused an alternative ride had one been offered to him. Teck Coal says that given Mr. Commisso's admissions at examination for discovery that he was confident in both his ability to work and his ability to drive home, I should conclude on the basis of these admissions that he would not have accepted a ride had one been offered and therefore Mr. Commisso has not proven that Teck Coal caused his damages in failing to offer a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aspect of Teck Coal's application does more than sever the issue of liability from the issue of damages or even one element of liability, such as a duty of care or causation from other elements. It asks the court to slice off one aspect of the causation element in the absence of argument or evidence surrounding causation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Thomas v. The Roman Catholic Archbishop of Vancouver</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2016 BCSC 1466</w:t>
        </w:r>
      </w:hyperlink>
      <w:r>
        <w:rPr>
          <w:rFonts w:ascii="arial" w:eastAsia="arial" w:hAnsi="arial" w:cs="arial"/>
          <w:color w:val="000000"/>
          <w:sz w:val="20"/>
          <w:lang w:val="en-US" w:eastAsia="en-US" w:bidi="ar-SA"/>
        </w:rPr>
        <w:t xml:space="preserve">, Mr. Justice Skolrood determined that where a summary trial application is brought on a discrete issue such as liability, a two-stage process is involved that requires an initial consideration as to whether the severance of that issue for consideration in isolation is appropriate. In that case he found that a separate consideration of liability apart from the issue of damages was warranted and dismissed the claim on the basis that the evidence before him established that there had been no breach of the defendant's standard of care or obligations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 that Teck Coal seeks summary determination of in this case is factual and only a part of the larger question of causation that must be proven by Mr. Commisso in making out his case. The weight to be given to evidence led by Mr. Commisso on this point should be assessed in the context of the whole of the evidence, and it is not appropriate to sever this issue from the larger factual context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evidence before me the issue of whether Teck Coal knew that Mr. Commisso was impaired in his ability to work or drive safely, despite Mr. Commisso's own stated belief that he was capable of doing both, cannot be resolved on the summary trial. Teck Coal concedes that it could have a duty of care under its own policies if it had that knowledge. While it says that it did not have that knowledge, there is sufficient contradictory evidence on this point to require a trial on this key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narrow issue of causation raised by Teck Coal is not one that should be determined as a severable question from the issue of causation more generally. The plaintiff's evidence regarding causation is not well developed. However, he indicates that he will be prepared to proceed with the trial of these issues in April 2019, and I find that the issue of causation should be considered on the whole of the evidence at the trial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Finally, I note that at the hearing of this application Mr. Commisso relied on the proposition that Teck Coal, as the employer of Mr. Commisso, was in a position of supervision and control in relation to him and further relied upon the employer/employee relationship and Teck Coal's workplace policies to establish proximity. In support of the existence of a duty of care, Mr. Commisso also argued that pursuant to Work Safe BC's </w:t>
      </w:r>
      <w:r>
        <w:rPr>
          <w:rFonts w:ascii="arial" w:eastAsia="arial" w:hAnsi="arial" w:cs="arial"/>
          <w:i/>
          <w:color w:val="000000"/>
          <w:sz w:val="20"/>
          <w:lang w:val="en-US" w:eastAsia="en-US" w:bidi="ar-SA"/>
        </w:rPr>
        <w:t>Rehabilitation Services and Claims Manual, Volume II</w:t>
      </w:r>
      <w:r>
        <w:rPr>
          <w:rFonts w:ascii="arial" w:eastAsia="arial" w:hAnsi="arial" w:cs="arial"/>
          <w:color w:val="000000"/>
          <w:sz w:val="20"/>
          <w:lang w:val="en-US" w:eastAsia="en-US" w:bidi="ar-SA"/>
        </w:rPr>
        <w:t xml:space="preserve">, Policy #C3-19.00 and decisions of the Worker's Compensation Appeal Tribunal (such as </w:t>
      </w:r>
      <w:r>
        <w:rPr>
          <w:rFonts w:ascii="arial" w:eastAsia="arial" w:hAnsi="arial" w:cs="arial"/>
          <w:i/>
          <w:color w:val="000000"/>
          <w:sz w:val="20"/>
          <w:lang w:val="en-US" w:eastAsia="en-US" w:bidi="ar-SA"/>
        </w:rPr>
        <w:t>WCAT-2005-03914</w:t>
      </w:r>
      <w:r>
        <w:rPr>
          <w:rFonts w:ascii="arial" w:eastAsia="arial" w:hAnsi="arial" w:cs="arial"/>
          <w:color w:val="000000"/>
          <w:sz w:val="20"/>
          <w:lang w:val="en-US" w:eastAsia="en-US" w:bidi="ar-SA"/>
        </w:rPr>
        <w:t xml:space="preserve">), remoteness of a work site and the limited availability of transportation are relevant factors in determining whether an employee suffered a compensable personal injury arising out of or in the course of employment while travelling to or from work under s. 5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light of these arguments, I raised the issue as to whether this action might be statute barred pursuant to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I received no submissions on this point, and I have made no determinations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note that this matter is set to be heard by a jury in April 2019. While the question of whether a matter is statute barred under s. 10(1)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may arise at any time, it is important that this possibility be fully reviewed by counsel for both parties before this matter goes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Costs will be in the cause. It was important that the parties sought to clarify what the duty of care in this case is in advance of this matter going before a jury. So although the plaintiff was successful in defending this summary trial, I consider that it was a necessary step to seek to define issues such as the applicable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Crawford v. Nazif, [2019] B.C.J. No. 2598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3, 2019.</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6,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S132325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2598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2019 BCSC 2337</w:t>
      </w:r>
    </w:p>
    <w:p>
      <w:pPr>
        <w:spacing w:before="120" w:line="260" w:lineRule="atLeast"/>
        <w:rPr>
          <w:lang w:val="en-US" w:eastAsia="en-US" w:bidi="ar-SA"/>
        </w:rPr>
      </w:pPr>
      <w:r>
        <w:rPr>
          <w:rFonts w:ascii="arial" w:eastAsia="arial" w:hAnsi="arial" w:cs="arial"/>
          <w:color w:val="000000"/>
          <w:sz w:val="20"/>
          <w:lang w:val="en-US" w:eastAsia="en-US" w:bidi="ar-SA"/>
        </w:rPr>
        <w:t>Between Hiroka D. Crawford also known as Donna Crawford, Plaintiff, and Dr. Anna Nazif, Defendant, and Nicholas Osuteye,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(67 paras.)</w:t>
      </w:r>
    </w:p>
    <w:p>
      <w:pPr>
        <w:jc w:val="both"/>
        <w:rPr>
          <w:lang w:val="en-US" w:eastAsia="en-US" w:bidi="ar-SA"/>
        </w:rPr>
      </w:pPr>
      <w:bookmarkStart w:id="9" w:name="Counsel_1"/>
      <w:bookmarkEnd w:id="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3" style="position:absolute;z-index:251661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S. Kovacs, J.T. Mackoff.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Dr. Nazif: J. Meadows, D.J. Reid, A. Catalano, A/S.</w:t>
      </w:r>
      <w:r>
        <w:rPr>
          <w:lang w:val="en-US" w:eastAsia="en-US" w:bidi="ar-SA"/>
        </w:rPr>
        <w:cr/>
      </w:r>
    </w:p>
    <w:p>
      <w:pPr>
        <w:spacing w:after="240"/>
        <w:rPr>
          <w:lang w:val="en-US" w:eastAsia="en-US" w:bidi="ar-SA"/>
        </w:rPr>
      </w:pPr>
      <w:bookmarkStart w:id="10" w:name="Judgment_1"/>
      <w:bookmarkEnd w:id="10"/>
      <w:r>
        <w:pict>
          <v:line id="_x0000_s1034" style="position:absolute;z-index:251712512" from="0,12pt" to="512pt,12pt" strokecolor="#009ddb" strokeweight="1.5pt">
            <v:stroke linestyle="single"/>
          </v:line>
        </w:pict>
      </w:r>
    </w:p>
    <w:p>
      <w:pPr>
        <w:spacing w:line="260" w:lineRule="atLeast"/>
        <w:ind w:left="1080"/>
        <w:rPr>
          <w:lang w:val="en-US" w:eastAsia="en-US" w:bidi="ar-SA"/>
        </w:rPr>
      </w:pPr>
      <w:r>
        <w:rPr>
          <w:rFonts w:ascii="arial" w:eastAsia="arial" w:hAnsi="arial" w:cs="arial"/>
          <w:b/>
          <w:color w:val="000000"/>
          <w:sz w:val="20"/>
          <w:lang w:val="en-US" w:eastAsia="en-US" w:bidi="ar-SA"/>
        </w:rPr>
        <w:t>Oral Ruling re Admissibility of Documents</w: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r>
              <w:rPr>
                <w:rFonts w:ascii="arial" w:eastAsia="arial" w:hAnsi="arial" w:cs="arial"/>
                <w:b/>
                <w:color w:val="000000"/>
                <w:sz w:val="30"/>
                <w:lang w:val="en-US" w:eastAsia="en-US" w:bidi="ar-SA"/>
              </w:rPr>
              <w:t>P.G. VOITH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Dr. Nazif, seeks rulings on the admissibility of various documents that the Plaintiff, Ms. Crawford, seeks to rely on in the parties' upcoming trial. This application was brought on a somewhat urgent basis on the Friday prior to the commencement of a jury trial the following week. The trial has been set for four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Though the Defendant did not file a Notice of Application, or an Application Record, no objection was raised by the Plaintiff on account of this. Furthermore, the parties agreed on what was in issue, and both parties were in a position to argue the matter fully. It is relevant that I have case-managed this action for more than three years. Accordingly, I have some sense of the underlying facts and of the legal issues that the trial will raise. Having said this, that understanding is relatively superficial. I do not have any real knowledge of what evidence will be led from different witnesses, nor, for example, have I seen any of the expert reports that the parties intend to rely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context of an application that deals with the admissibility of various documents on the basis,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those documents are not relevant or that they are unnecessary because such evidence can be led through other witnesses, or that the documents contain opinion evidence in respect of which no notice was given and that will be the subject of other expert evidence, the Court is necessarily required to rely on the submissions of counsel without being in a position to test or weigh those submissions in any meaningful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Because relevance is necessarily defined by the pleadings that have been filed, it is necessary to review both the material facts that underlie the Plaintiff's claim and the legal issues that that claim raises. The facts and the description of the legal issues that follows is based on the pleadings and the trial briefs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December 7, 2012, the Plaintiff, an elderly woman, was assaulted in or near the Downtown Eastside of Vancouver by the third party, Mr. Osuteye. That assault caused the Plaintiff serious and permanent injuries. This is apparently not contested by the Defendant. Indeed the parties have resolved or agreed on the damages that arise from the Plaintiff's injuries. Accordingly, the jury will only be asked to address the liability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common ground that Mr. Osuteye was involuntarily admitted to St. Paul's Hospital for acute psychosis the day before he assaulted the Plaintiff. He was, however, decertified following a psychiatric assessment by the Defendant. Mr. Osuteye was apparently first diagnosed with schizophrenia in or about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claim against the Defendant is advanced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a breach of her fiduciary duties and/or a breach of statutory duty. Some 20 different particulars of wrongdoing are alleged against the Defendant. The claim against the Defendant thus raises issues of duty of care, standard of care, and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agree and accept that the issue of whether the Defendant owed the Plaintiff a duty of care will be determined by the Court. The issue of whether the Defendant met the standard of care expected of her and whether the Plaintiff can establish causation will be left for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Importantly, the Plaintiff does not advance a claim as against Mr. Osuteye. Mr. Osuteye had originally been added as a third party to the action. In response to that third-party claim, he pleaded that he was, by reason of his mental state, incapable of forming the requisite intention for assault and/or for battery. It is common ground that Mr. Osuteye remains in the action as a declaratory third party for apportionment purposes only, if necessary. Nevertheless, Mr. Osuteye's ability to appreciate the nature and quality of his actions is an issue at trial. That issue is, again, to be determined by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Let me turn to the documents in issue. The Defendant objects to various categories of documents. I use the word "documents" broadly, and in the sense it is defined in R. 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outset of the application, the number of documents that were in issue was larger. As each of counsel for the Plaintiff and counsel for the Defendant made their respective submissions, they accepted that they either did not require or alternatively had no objection to various documents. They further advised me that they expected to be able to resolve still other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Ultimately, it is the following finite categories of documents that remain in issue. One such category of material was described before me as "External Review"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early 2012, Vancouver Coastal Health and Providence Health Care appointed a review team to perform an emergency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xml:space="preserve"> "case external review". Dr. O'Shaughnessy was one of four appointees to the independent review team. The Plaintiff seeks to call Dr. O'Shaughnessy as a "fact witness" in connection with the External Review.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External Review was prompted by an incident involving a discharged patient in February 2012. The patient was a homeless man who was brought to St. Paul's by the Vancouver Police Department and who was discharged later that day. He then stabbed an elderly man in a nearby cafe less than a day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investigation, the review team published a report in August 2012, or some four months before Mr. Osuteye's admission to St. Paul's. The Defendant was one of the physicians who was specifically identified as having been interviewed in the External Review. Counsel for the Plaintiff does not intend, she says, to admit the report into evidence for the purpose of the truth of any of the opinions stated therein, and the jury, she says, can be appropriately cautioned in that regard. Rather the report and Dr. O'Shaughnessy's evidence is "sought to be admitted for the fact that those comments were made and for the fact that the inquiry was undertaken including the content of the inquiry".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further argues that the External Review is relevant to the Court's analysis of whether a duty of care exists in this case because it focuses heavily on the relationship of proximity between the treatment providers at St. Paul's, an inner-city hospital, and the nearby Downtown Eastside community. The External Review expressly and repeatedly comments on the proximity of St. Paul's to the Downtown Eastside.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Second, counsel argues that the evidence also addresses the issue of standard of care and that it should not, accordingly, be withheld from the jury. The fact that the Defendant was interviewed by the review panel and that St. Paul's was implementing a system to ensure that all emergency psychiatric admissions receive comprehensive psychiatric assessments before discharge suggests, it is argued, that the Defendant had, or ought to have had, a heightened awareness of the risks associated with discharging a psychotic patient into the community. This heightened awareness in turn, it is argued, should be canvassed through the available evidence because it informs the adequacy of the care that the Defendant provided to Mr. Osuteye.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Defendant, in response, raises various concerns. He argues, for example, that it is irrelevant that another mentally unwell individual was discharged from St. Paul's and then went on to injure someone. He also argues that Dr. O'Shaughnessy was only one of the four authors of the joint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the main, however, counsel argues that the report contains opinion evidence and that no notice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of such opinion evidence was provided to the Defendant. The Defendant is prepared to admit that a review was undertaken and that the Defendant was interviewed during that review but objects to any introduction of the contents of the External Review.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this backdrop, it is relevant that the Plaintiff only seeks to admit 15 pages of the 47-page review. Those pages are interspersed throughout the report. It is those pages that I intend to focus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Before doing so, however, brief reference to the relevant legal framework for these issues is necessary. First, more than 35 years ago, the Court in </w:t>
      </w:r>
      <w:r>
        <w:rPr>
          <w:rFonts w:ascii="arial" w:eastAsia="arial" w:hAnsi="arial" w:cs="arial"/>
          <w:i/>
          <w:color w:val="000000"/>
          <w:sz w:val="20"/>
          <w:lang w:val="en-US" w:eastAsia="en-US" w:bidi="ar-SA"/>
        </w:rPr>
        <w:t>Graat v. The Queen</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[1982] 2 S.C.R. 819</w:t>
        </w:r>
      </w:hyperlink>
      <w:r>
        <w:rPr>
          <w:rFonts w:ascii="arial" w:eastAsia="arial" w:hAnsi="arial" w:cs="arial"/>
          <w:color w:val="000000"/>
          <w:sz w:val="20"/>
          <w:lang w:val="en-US" w:eastAsia="en-US" w:bidi="ar-SA"/>
        </w:rPr>
        <w:t>, all but did away with the distinction between fact and opinion where a witness's testimony was based on personal observation. Justice Dickson as he then was, said at 835: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Except for the sake of convenience there is little, if any, virtue in any distinction resting on the tenuous, and frequently false, antithesis between fact and opinion. The line between "fact" and "opinion" is not 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Justice Dickson continued and said at 836: "The witnesses had an opportunity for personal observation. They were in a position to give the Court real help."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At the same time, the Supreme Court in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stated in para. 1 that the Court "over the last 20 years or so has progressively tightened the rules of admissibility and enhanced the trial judge's gatekeeping role". This has been done to "ensure that expert opinion evidence meets certain basic standards before it is admitted":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at para.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tightening of the rules of admissibility has also be undertaken to guard against those "special dangers" which may arise when expert evidence is allowed too easy an entry: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at paras. 1, 45.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Normally, courts use the framework established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to determine whether expert evidence should be admitted. That framework considers: (1) relevance; (2) necessity in assisting the trier of fact; (3) the absence of an exclusionary rule; and (4) whether the individual is a properly qualified expert. That analytical framework was further refined in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at paras. 18-24.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third body of relevance jurisprudence pertains to the instructions that a court can provide to a jury either mid-trial or at the end of a trial. Generally speaking, and depending on the complexity of the instruction, courts have a reasonable level of confidence that juries will follow the instructions they have been provided: </w:t>
      </w:r>
      <w:r>
        <w:rPr>
          <w:rFonts w:ascii="arial" w:eastAsia="arial" w:hAnsi="arial" w:cs="arial"/>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2014 BCCA 26</w:t>
        </w:r>
      </w:hyperlink>
      <w:r>
        <w:rPr>
          <w:rFonts w:ascii="arial" w:eastAsia="arial" w:hAnsi="arial" w:cs="arial"/>
          <w:color w:val="000000"/>
          <w:sz w:val="20"/>
          <w:lang w:val="en-US" w:eastAsia="en-US" w:bidi="ar-SA"/>
        </w:rPr>
        <w:t xml:space="preserve"> at para. 37; and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2001 SCC 86</w:t>
        </w:r>
      </w:hyperlink>
      <w:r>
        <w:rPr>
          <w:rFonts w:ascii="arial" w:eastAsia="arial" w:hAnsi="arial" w:cs="arial"/>
          <w:color w:val="000000"/>
          <w:sz w:val="20"/>
          <w:lang w:val="en-US" w:eastAsia="en-US" w:bidi="ar-SA"/>
        </w:rPr>
        <w:t xml:space="preserve"> at paras. 81-82.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this backdrop, I turn to the portions of the External Review that are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Pages 3 and 4 of the External Review describe who was involved in the review and what further work was done by the review panel. Page 3 further describes the purpose of the review as being "to examine the current system with a view to providing recommendations and identifying improvements that support the provision of optimal care to persons with acute mental health and substance abuse service needs while ensuring public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Other parts of these pages deal with the structure of the report. These pages do not contain opinion evidence. They are relevant or potentially relevant to both the question of duty of care and standard of care and provide evidence that a study was undertaken in relation, in part, to St. Paul's.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last paragraph at page 4 is different. It expresses the review panel's conclusions or opinions. It is, I consider, opinion evidence in respect of which notice should have been provided, and, accordingly, it should not be provided to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Page 5 is the first of four pages of recommendations that were made in the External Review. It is not clear to me why the Plaintiff seeks to rely on page 5 alone. I was told, however, that these recommendations had not been implemented by December 2012 or when the Plaintiff was attacked.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Furthermore, I understand that the Plaintiff will not be arguing, for example, that the Defendant should have been following these various recommendations when she interacted with Mr. Osuteye. In such circumstances, I do not consider that page 5 of the External Review serves any useful purpose and I do not consider it should be admitted into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Page 10 of the External Review addresses various issues. It identifies that individuals with mental illnesses concurrent with substance abuse difficulties result in repeated behavioural crises, frequent police interactions, and involvement with multiple mental health agencies and systems. This strikes me as a self-evident proposition that requires limited, if any, expertise and is not objectionable.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Other parts of page 10, however, deal with psychiatric risk assessments and express conclusions that rely on the various studies that the authors refer to. Such information can be led through an expert's opinion. It would not be appropriate, however, to lead that evidence through Dr. O'Shaughnessy in this context.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is particularly focussed on including or on introducing a statement from page 10 that states: "Vancouver is exceptional in having individuals with mental illnesses, substance abuse and homelessness concentrated in a very small geographical area--the Downtown Eastside."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not clear to me what the source of that information is. If Dr. O'Shaughnessy had lived or worked in other major Canadian cities such as Toronto or Calgary, he may well have the personal experience or formed the observations on which he could reasonably base this statement. If, however, the statement is based on what Dr. O'Shaughnessy has read or been told or on his research, it would not be admissible. Accordingly, counsel would have to establish an adequate foundation before being able to introduce this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Pages 13 to 15 of the External Review deal primarily with St. Paul's, its personnel and patient base, its physical plant, its model of care, and Vancouver's various psychiatric acute care services. This evidence is overwhelmingly descriptive. It describes, for example, the number of beds for psychiatric patients at each of Vancouver General Hospital and St. Paul's. It describes the area where psychiatric rooms are located. The External Review confirms that St. Paul's receives the majority of patients in crisis from the Downtown Eastside. This evidence does not advance an opinion. It also deals with facts that are likely known to any nurse, intern or physician who works at St. Paul's as well as to both the police officers and ambulance workers who interact with St. Paul's.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however, some passages within these pages that do reflect recommendations or opinions. In addition, there are some passages that refer to and rely on other studies. Such evidence, subject to certain safeguards, can generally be relied on by an expert. I consider that it would be wrong, however, to introduce such evidence through Dr. O'Shaughnessy. I have accordingly redacted certain passages from pages 13 to 15 and I have provided duplicate pages that reflect that exercise to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Pages 32 to 33 of the External Review reflect the conclusions that were derived from interviewing two facilitated focus groups. These groups were made up of either individuals with mental illnesses or of the family members of individuals with mental illnesses. These two groups then expressed various concerns of various kinds. Their concerns give rise, at page 33 of the External Review, to several further recommendations.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Experts are often permitted to introduce survey and other evidence of a similar nature which would otherwise be considered hearsay: S.N. Lederman, A.W. Bryant and M.K. Fuerst, </w:t>
      </w:r>
      <w:r>
        <w:rPr>
          <w:rFonts w:ascii="arial" w:eastAsia="arial" w:hAnsi="arial" w:cs="arial"/>
          <w:i/>
          <w:color w:val="000000"/>
          <w:sz w:val="20"/>
          <w:lang w:val="en-US" w:eastAsia="en-US" w:bidi="ar-SA"/>
        </w:rPr>
        <w:t>Sopinka, Lederman &amp; Bryant: The Law of Evidence in Canada</w:t>
      </w:r>
      <w:r>
        <w:rPr>
          <w:rFonts w:ascii="arial" w:eastAsia="arial" w:hAnsi="arial" w:cs="arial"/>
          <w:color w:val="000000"/>
          <w:sz w:val="20"/>
          <w:lang w:val="en-US" w:eastAsia="en-US" w:bidi="ar-SA"/>
        </w:rPr>
        <w:t>, 5th ed. (Toronto: LexisNexis Canada, 2018) at ss. 12.220-12.223.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instance, Dr. O'Shaughnessy is not a properly qualified expert. Accordingly, I do not consider that the various concerns and grievances of these two groups can properly be led by the Plaintiff through the evidence of Dr. O'Shaughnessy.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Page 35 of the External Review expresses various opinions that are based on various studies. Other portions of the page reflect the contents of interviews with third parties. Once again, such evidence cannot generally be introduced by an individual who has not been qualified as an expert, and, accordingly, I do not consider that page 35 of the External Review is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Pages 40 to 41 contain a list of the individuals, including the Defendant, and of the groups who were interviewed for the External Review. It does not contain any opinion evidence. The evidence is relevant because it speaks to the relative seriousness of the undertaking and to the work that was done by the review panel. To the extent these pages have any prejudicial effect, I consider that that prejudicial effect is outweighed by their probative value. Accordingly, I that consider these pages are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Next, I turn to the second category of evidence in issue. That evidence was described before me as "scene evidence". Initially, in the written briefs of counsel, this included the eyewitness evidence of two individuals who observed the attack on the Plaintiff and who thereafter observed Mr. Osuteye's further 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Before me, however, these objections were limited to the audio recordings of the 9-1-1 calls these two individuals made to the police, to a single photo and to certain records that described the actual injuries that were suffered by the four individuals who were attacked by Mr. Osuteye in a relatively short period. I will address each of those pieces of evidence in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9-1-1 calls that were made by the two individuals who saw the Plaintiff being attacked and who then called the police (the "9-1-1 Evidence") were played for me. Though I did not time the length of those recordings, I would estimate that each is perhaps one to a few minutes in length.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clear from the tenor and language of the recordings that the callers are distressed by the violence of the events they are witnessing and that they are afraid to intervene. The Defendants object to the 9-1-1 Evidence in part because they say it is irrelevant and in part because they say its prejudicial effect outweighs its probative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is a considerable body of case law that deals with the admissibility of such evidence. Much of this law deals with the hearsay nature of such evidence and the circumstances in which it is properly admissible: </w:t>
      </w:r>
      <w:r>
        <w:rPr>
          <w:rFonts w:ascii="arial" w:eastAsia="arial" w:hAnsi="arial" w:cs="arial"/>
          <w:i/>
          <w:color w:val="000000"/>
          <w:sz w:val="20"/>
          <w:lang w:val="en-US" w:eastAsia="en-US" w:bidi="ar-SA"/>
        </w:rPr>
        <w:t>R. v. Powers</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2016 BCSC 2605</w:t>
        </w:r>
      </w:hyperlink>
      <w:r>
        <w:rPr>
          <w:rFonts w:ascii="arial" w:eastAsia="arial" w:hAnsi="arial" w:cs="arial"/>
          <w:color w:val="000000"/>
          <w:sz w:val="20"/>
          <w:lang w:val="en-US" w:eastAsia="en-US" w:bidi="ar-SA"/>
        </w:rPr>
        <w:t xml:space="preserve"> at para. 5; and </w:t>
      </w:r>
      <w:r>
        <w:rPr>
          <w:rFonts w:ascii="arial" w:eastAsia="arial" w:hAnsi="arial" w:cs="arial"/>
          <w:i/>
          <w:color w:val="000000"/>
          <w:sz w:val="20"/>
          <w:lang w:val="en-US" w:eastAsia="en-US" w:bidi="ar-SA"/>
        </w:rPr>
        <w:t>R. v. Sylvain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2014 ABCA 153</w:t>
        </w:r>
      </w:hyperlink>
      <w:r>
        <w:rPr>
          <w:rFonts w:ascii="arial" w:eastAsia="arial" w:hAnsi="arial" w:cs="arial"/>
          <w:color w:val="000000"/>
          <w:sz w:val="20"/>
          <w:lang w:val="en-US" w:eastAsia="en-US" w:bidi="ar-SA"/>
        </w:rPr>
        <w:t xml:space="preserve"> at paras. 30-33. These and other cases deal with the traditional </w:t>
      </w:r>
      <w:r>
        <w:rPr>
          <w:rFonts w:ascii="arial" w:eastAsia="arial" w:hAnsi="arial" w:cs="arial"/>
          <w:i/>
          <w:color w:val="000000"/>
          <w:sz w:val="20"/>
          <w:lang w:val="en-US" w:eastAsia="en-US" w:bidi="ar-SA"/>
        </w:rPr>
        <w:t>res gestae</w:t>
      </w:r>
      <w:r>
        <w:rPr>
          <w:rFonts w:ascii="arial" w:eastAsia="arial" w:hAnsi="arial" w:cs="arial"/>
          <w:color w:val="000000"/>
          <w:sz w:val="20"/>
          <w:lang w:val="en-US" w:eastAsia="en-US" w:bidi="ar-SA"/>
        </w:rPr>
        <w:t xml:space="preserve"> exception to the admissibility of hearsay and to what properly constitutes an excited or spontaneous utterance.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are other cases that recognize that 9-1-1 evidence can, depending on the circumstances, constitute a prior consistent statement and they address the issue through that lens; </w:t>
      </w:r>
      <w:r>
        <w:rPr>
          <w:rFonts w:ascii="arial" w:eastAsia="arial" w:hAnsi="arial" w:cs="arial"/>
          <w:i/>
          <w:color w:val="000000"/>
          <w:sz w:val="20"/>
          <w:lang w:val="en-US" w:eastAsia="en-US" w:bidi="ar-SA"/>
        </w:rPr>
        <w:t>Sylvain</w:t>
      </w:r>
      <w:r>
        <w:rPr>
          <w:rFonts w:ascii="arial" w:eastAsia="arial" w:hAnsi="arial" w:cs="arial"/>
          <w:color w:val="000000"/>
          <w:sz w:val="20"/>
          <w:lang w:val="en-US" w:eastAsia="en-US" w:bidi="ar-SA"/>
        </w:rPr>
        <w:t xml:space="preserve"> at paras. 74-79.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These are not the issues before me. Counsel for the Defendants does not object to the 9-1-1 Evidence on these various bases, but rather he does so on the specific grounds that I have identified.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satisfied that the 9-1-1 Evidence is relevant. A central issue at trial will be whether Mr. Osuteye was, at the time of the Plaintiff's attack, capable of the intent to assault a person: </w:t>
      </w:r>
      <w:r>
        <w:rPr>
          <w:rFonts w:ascii="arial" w:eastAsia="arial" w:hAnsi="arial" w:cs="arial"/>
          <w:i/>
          <w:color w:val="000000"/>
          <w:sz w:val="20"/>
          <w:lang w:val="en-US" w:eastAsia="en-US" w:bidi="ar-SA"/>
        </w:rPr>
        <w:t>Lawson v. Wellesley Hospital</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(1975), 61 D.L.R. (3d) 445</w:t>
        </w:r>
      </w:hyperlink>
      <w:r>
        <w:rPr>
          <w:rFonts w:ascii="arial" w:eastAsia="arial" w:hAnsi="arial" w:cs="arial"/>
          <w:color w:val="000000"/>
          <w:sz w:val="20"/>
          <w:lang w:val="en-US" w:eastAsia="en-US" w:bidi="ar-SA"/>
        </w:rPr>
        <w:t xml:space="preserve"> (O.N.C.A.) at 450, aff'd on other grounds </w:t>
      </w:r>
      <w:hyperlink r:id="rId60" w:history="1">
        <w:r>
          <w:rPr>
            <w:rFonts w:ascii="arial" w:eastAsia="arial" w:hAnsi="arial" w:cs="arial"/>
            <w:i/>
            <w:color w:val="0077CC"/>
            <w:sz w:val="20"/>
            <w:u w:val="single"/>
            <w:shd w:val="clear" w:color="auto" w:fill="FFFFFF"/>
            <w:lang w:val="en-US" w:eastAsia="en-US" w:bidi="ar-SA"/>
          </w:rPr>
          <w:t>[1978] 1 S.C.R. 893</w:t>
        </w:r>
      </w:hyperlink>
      <w:r>
        <w:rPr>
          <w:rFonts w:ascii="arial" w:eastAsia="arial" w:hAnsi="arial" w:cs="arial"/>
          <w:color w:val="000000"/>
          <w:sz w:val="20"/>
          <w:lang w:val="en-US" w:eastAsia="en-US" w:bidi="ar-SA"/>
        </w:rPr>
        <w:t xml:space="preserve">. That issue, in turn, is related to whether Mr. Osuteye was able to appreciate the nature and quality of his actions: </w:t>
      </w:r>
      <w:r>
        <w:rPr>
          <w:rFonts w:ascii="arial" w:eastAsia="arial" w:hAnsi="arial" w:cs="arial"/>
          <w:i/>
          <w:color w:val="000000"/>
          <w:sz w:val="20"/>
          <w:lang w:val="en-US" w:eastAsia="en-US" w:bidi="ar-SA"/>
        </w:rPr>
        <w:t>Cooper v. The Queen</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[1980] 1 S.C.R. 1149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Kjeldsen v. The Queen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[1981] 2 S.C.R. 617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also argued that the eyewitness evidence and 9-1-1 Evidence relates to Mr. Osuteye's actions and not to his mental 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do not agree. The nature and violence of Mr. Osuteye's conduct can provide a jury with direct and circumstantial evidence from which they can draw inferences or arrive at conclusions. In this case, Mr. Osuteye attacked four people in a very short period. I understand he caused three of them serious injury. He then stripped to his underwear. And he thereafter interacted calmly with the police when they arrived. All of this evidence is potentially relevant to Mr. Osuteye's perceived condition at the relevant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Counsel for the Defendants further argue that a description of Mr. Osuteye's actions can be introduced through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of the eyewitnesses who made the 9-1-1 calls and that the 9-1-1 Evidence is unnecessarily inflammatory. Once again, I do not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has no memory of her attack. I believe or understand that the police arrived after Mr. Osuteye had stopped striking or kicking the Plaintiff. Though the two eyewitnesses can describe what they saw, now nearly seven years ago, that evidence is not likely to fully or accurately convey what they perceived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description of a scene is not generally as useful as a picture of that scene. The description of a sound is not the same as a recording of that sound. In this case, I believe that the 9-1-1 Evidence adds texture and content to what the eyewitnesses observed. In both </w:t>
      </w:r>
      <w:r>
        <w:rPr>
          <w:rFonts w:ascii="arial" w:eastAsia="arial" w:hAnsi="arial" w:cs="arial"/>
          <w:i/>
          <w:color w:val="000000"/>
          <w:sz w:val="20"/>
          <w:lang w:val="en-US" w:eastAsia="en-US" w:bidi="ar-SA"/>
        </w:rPr>
        <w:t>Sylvain</w:t>
      </w:r>
      <w:r>
        <w:rPr>
          <w:rFonts w:ascii="arial" w:eastAsia="arial" w:hAnsi="arial" w:cs="arial"/>
          <w:color w:val="000000"/>
          <w:sz w:val="20"/>
          <w:lang w:val="en-US" w:eastAsia="en-US" w:bidi="ar-SA"/>
        </w:rPr>
        <w:t xml:space="preserve"> at para. 43 and </w:t>
      </w:r>
      <w:r>
        <w:rPr>
          <w:rFonts w:ascii="arial" w:eastAsia="arial" w:hAnsi="arial" w:cs="arial"/>
          <w:i/>
          <w:color w:val="000000"/>
          <w:sz w:val="20"/>
          <w:lang w:val="en-US" w:eastAsia="en-US" w:bidi="ar-SA"/>
        </w:rPr>
        <w:t>R. v. Dessouza</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2012 ONSC 210</w:t>
        </w:r>
      </w:hyperlink>
      <w:r>
        <w:rPr>
          <w:rFonts w:ascii="arial" w:eastAsia="arial" w:hAnsi="arial" w:cs="arial"/>
          <w:color w:val="000000"/>
          <w:sz w:val="20"/>
          <w:lang w:val="en-US" w:eastAsia="en-US" w:bidi="ar-SA"/>
        </w:rPr>
        <w:t xml:space="preserve"> at para. 35, the Courts were satisfied that the 9-1-1 evidence provided a better and more demonstrative recounting of what had occurred than did the callers' evidence. Both cases concluded that the 9-1-1 evidence provided better evidence of the witness' heightened emotional distress. Both cases dealt with 9-1-1 calls from a complainant in a sexual assault and, to that extent, the cases are different.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Powers</w:t>
      </w:r>
      <w:r>
        <w:rPr>
          <w:rFonts w:ascii="arial" w:eastAsia="arial" w:hAnsi="arial" w:cs="arial"/>
          <w:color w:val="000000"/>
          <w:sz w:val="20"/>
          <w:lang w:val="en-US" w:eastAsia="en-US" w:bidi="ar-SA"/>
        </w:rPr>
        <w:t>, a witness gave evidence at trial and she had made a 9-1-1 call as the accused, who was the witness's ex-spouse, attempted to enter her home. The accused was charged with breaking and entering the home. Justice Griffin, as she then was,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[9] I find that the recording of the 911 call is relevant to show Ms. Cunningham's demeanour and emotional state and the narrative context of events as they unfolded. I disagree with the defence that these things are not relevant.</w:t>
      </w:r>
    </w:p>
    <w:p>
      <w:pPr>
        <w:spacing w:before="120" w:line="260" w:lineRule="atLeast"/>
        <w:ind w:left="720"/>
        <w:rPr>
          <w:lang w:val="en-US" w:eastAsia="en-US" w:bidi="ar-SA"/>
        </w:rPr>
      </w:pPr>
      <w:r>
        <w:rPr>
          <w:rFonts w:ascii="arial" w:eastAsia="arial" w:hAnsi="arial" w:cs="arial"/>
          <w:color w:val="000000"/>
          <w:sz w:val="20"/>
          <w:lang w:val="en-US" w:eastAsia="en-US" w:bidi="ar-SA"/>
        </w:rPr>
        <w:t>[10] The 911 recording is also real evidence of what, in fact, Ms. Cunningham was saying. For example, "please leave, please get out, please go, you're really making me afraid" and "please stop". It is evidence of the fact she was stating these things at the time. On the break and enter offence, this goes to the question of whether the accused was invited into the house or was denied entry into the house and forced his way in. It is not enough for the defence to submit that if the accused testifies, he is unlikely to take issue with the fact that he broke into the house. The Crown is permitted to prove this necessary element as part of its case.</w:t>
      </w:r>
    </w:p>
    <w:p>
      <w:pPr>
        <w:spacing w:before="120" w:line="260" w:lineRule="atLeast"/>
        <w:ind w:left="720"/>
        <w:rPr>
          <w:lang w:val="en-US" w:eastAsia="en-US" w:bidi="ar-SA"/>
        </w:rPr>
      </w:pPr>
      <w:r>
        <w:rPr>
          <w:rFonts w:ascii="arial" w:eastAsia="arial" w:hAnsi="arial" w:cs="arial"/>
          <w:color w:val="000000"/>
          <w:sz w:val="20"/>
          <w:lang w:val="en-US" w:eastAsia="en-US" w:bidi="ar-SA"/>
        </w:rPr>
        <w:t>[11] The only real prejudice identified by the defence is that the call is inflammatory. The point of this complaint seems to be that it illustrates how upset Ms. Cunningham was as events unfolded, but the fact it captures events as they unfolded as opposed to being a description of events after the fact is why it is so probative. In my view, the probative value of the evidence outweighs any prejudicial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Once again, the Court in </w:t>
      </w:r>
      <w:r>
        <w:rPr>
          <w:rFonts w:ascii="arial" w:eastAsia="arial" w:hAnsi="arial" w:cs="arial"/>
          <w:i/>
          <w:color w:val="000000"/>
          <w:sz w:val="20"/>
          <w:lang w:val="en-US" w:eastAsia="en-US" w:bidi="ar-SA"/>
        </w:rPr>
        <w:t>Powers</w:t>
      </w:r>
      <w:r>
        <w:rPr>
          <w:rFonts w:ascii="arial" w:eastAsia="arial" w:hAnsi="arial" w:cs="arial"/>
          <w:color w:val="000000"/>
          <w:sz w:val="20"/>
          <w:lang w:val="en-US" w:eastAsia="en-US" w:bidi="ar-SA"/>
        </w:rPr>
        <w:t xml:space="preserve"> dealt with circumstances that are different from those raised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Nevertheless, for the reasons I have described, I consider that the obvious distress of the witnesses to the Plaintiff's attack can inform the violent nature and potentially the irrationality of that attack and Mr. Osuteye's subsequent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I was informed by counsel for the Plaintiff that there were ten witnesses to the Plaintiff's attacks and that there were ten 9-1-1 calls, although I did not understand counsel to be giving me a precise number in either instance. The point is that the Plaintiff, in seeking to introduce the 9-1-1 Evidence from two such witnesses, does not seek to inflame the jury or to prejudice the Defendants. Nor has counsel for the Plaintiff chosen the most graphic or descriptive of the 9-1-1 calls that were made. I was advised that in one such call that was not chosen, the caller, in describing Mr. Osuteye's attack on the plaintiff, said "he kicked her head like a soccer ball".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9-1-1 Evidence, though frantic and panicky in tenor, does not use such language. The object of the 9-1-1 Evidence is not to exaggerate the evidence of the Plaintiff's attack nor, conversely, to dilute or sanitize that evidence. Rather it is to provide the trier of fact with both a full and accurate description and sense of what took place. Accordingly, I consider the 9-1-1 Evidence is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Next, the Defendant objects to a single photograph of Mr. Osuteye in his underwear. It appears the photograph was taken at a police station. The Defendant again argues that this photograph is inflammatory and unnecessary. I do not agree. It is a single photograph out of many such photographs. There is nothing in the photograph that is exaggerated or distressing or otherwise inflammatory. It allows the jury to not only hear a description of how Mr. Osuteye was dressed after he attacked the Plaintiff but to fix that image accurately. The photograph is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Next, the Defendant objects to any description of the injuries of the persons that Mr. Osuteye attacked. More precisely, counsel for the Defendant accepts that the Plaintiff can properly lead a description of the various injuries that the Plaintiff suffered when she was attacked. He objects, however, to any such description of the injuries of the other persons that Mr. Osuteye attacked in the minutes before his attack on the Plaintiff. He does so on the basis; (1) that such evidence is irrelevant; (2) such evidence is inflammatory; and (3) such evidence may be used by the jury improperly as hindsight evidence when weighing or assessing the conduct of the Defendant. I disagree with all three points.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consider that the nature and extent of the injuries of the persons who Mr. Osuteye attacked to be relevant to his state of mind during the attacks and, in particular, to when he attacked the Plaintiff. To be clear, he did not push or strike these individuals. Instead, I am told that he kicked them in the head repeatedly and that he then he jumped on their torsos. The violence of a series of attacks on unknown persons within a short period of time, and the severity of their ensuing injuries can reasonably, in combination with other direct and circumstantial evidence, provide a jury with a basis to draw inferences or make findings in relation to Mr. Osuteye's state of mind. That conduct and the harm that ensued is relevant.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also do not consider that a concise but accurate description of each victim's physical injuries is inflammatory. If the Plaintiff sought to repeat or revisit that evidence through different witnesses, I would come to a different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Conversely, to describe the injuries of these other victims in generic terms as for example "serious" or "extremely serious" would be both ambiguous and unnecessarily sterile.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I do accept that there is some risk the jury might misuse such evidence. I consider that that risk can be fully and adequately addressed in my charge or in a mid-trial instruction when the evidence is led or both. I intend to canvas this issue further with counsel as the trial proceeds.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P.G. VOITH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Cummings v. Tellier, [2019] B.C.J. No. 2312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 and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17-3696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2067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Tabitha Kaleigh Cummings, Plaintiff, and Simon Tellier, Lucie Mandanici and Colin Reid,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jc w:val="both"/>
        <w:rPr>
          <w:rFonts w:ascii="arial" w:eastAsia="arial" w:hAnsi="arial" w:cs="arial"/>
          <w:sz w:val="20"/>
          <w:lang w:val="en-US" w:eastAsia="en-US" w:bidi="ar-SA"/>
        </w:rPr>
      </w:pPr>
      <w:bookmarkStart w:id="11" w:name="Counsel_2"/>
      <w:bookmarkEnd w:id="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D.D. McKnight.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E.J. Wagner.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2"/>
      <w:bookmarkEnd w:id="12"/>
      <w:r>
        <w:pict>
          <v:line id="_x0000_s1037"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J.A. POWER J."/>
            <w:bookmarkEnd w:id="13"/>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fast track action that arises out of a motor vehicle accident that occurred on October 9, 2015 on Cook Street near the Yates Street intersection in Victoria, British Columbia. The trial was conducted over five days in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Ms. Cummings, who was 27 years old at the time of the accident, was travelling as a passenger in a Mercedes C230 motor vehicle driven by her common-law husband, Colin Reid, when he braked suddenly for a fire truck which was proceeding on an emergency basis down Yates Street. Shortly after, the Mercedes vehicle was struck from the rear by a Nissan Frontier pick up truck that was driven by the defendant Mr. Tellier and owned by the defendant Ms. Mandanici.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establishes that after the accident Ms. Cummings suffered a Grade II whiplash injury with associated soft tissue in the right shoulder area, and other injuries including headaches. At trial she has reached maximum medical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sole issue at trial relates to an assessment of damages in the following heads of damages: non-pecuniary damages, past earning capacity, future earning capacity, homemaking capacity, cost of future care, and special damages. The future earning capacity component is the most contentious, although the defendants argue that overall in all categories the damages award should be significantly less than the plaintiff is seeking.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asserts that although she did not miss much employment as a health care aide after the accident, that was because she persevered in the physically demanding position because she and her two children relied on her employment income. The plaintiff argues that her damages should not be reduced on account of her stoicism. The plaintiff also argues that she has to retrain as a Registered Nurse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outset, I wish to state that although I will be awarding damages less than what the plaintiff is seeking, overall I did find her to be a credible and persuasive witness. I do not find, for example, that she exaggerated her symptoms, or that she failed to make appropriate concessions on the evidence. I am persuaded that she suffered the injuries she described and that she is suffering chronic pain as a result. Indeed, even the defence seems to acknowledge that the plaintiff presented as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Accordingly, this judgment will focus on the assessment of damages based on the evidence at trial. The court had the benefit of real time reporting on the trial, although it is unclear to me why the defence would have incurred that expense in this case. I have reviewed the transcripts as part of the deliberative approach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considering the evidence in this case, I have kept in mind some fundamental principles including that the burden of proof is on the plaintiff on a balance of probabilities and that credibility and reliability are not necessarily synonymous.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considered the totality of the evidence in this case although I will approach the evidence by outlining it generally and then referring to specific aspects of the evidence as necessitated by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addition to her own testimony, the plaintiff called her common-law husband Mr. Reid, who was in the accident with her. He testified about the accident. I accept both Mr. Reid's and Ms. Cummings' description of what occurred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Reid testified that he was driving northbound down Cook Street and was approaching the Yates Street intersection. He was driving the speed limit of 50 kilometres an hour when he noticed a fire truck coming towards him down Yates Street. He testified that the firetruck was "definitely not slowing down" and he immediately slammed on his brakes. Mr. Reid testified that within a split second of slamming on the brakes, he was rear-ended and his Mercedes was pushed forward. After the collision, Mr. Reid drove the Mercedes vehicle into a restaurant parking lot nearby and exchanged information with the other driver. Mr. Reid testified that either directly after the accident or directly after Mr. Reid parked the car in the restaurant parking lot nearby that Ms. Cummings began to complain of pain in her neck and shoulder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Cummings described being in "quite a bit of pain" within about an hour following the accident and went to the hospital to get checked out. She was prescribed Tramacet and advised not to go to work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Cummings testified that she was wearing a lap and shoulder-type seatbelt and recalled "going backwards, hitting my head on the headrest, going forward and then backwards again." She had no warning that the accident was about to occur. She was looking to the right in the direction of the firetruck when the vehicle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TABITHA CUMMINGS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Ms. Cummings was 27 years old at the time of the collision and 30 years old at trial. She is in a common-law relationship. At trial she was in her third trimester expecting her third child with her common-law husband Mr. Reid. She has two children from a previous relationship, a 12-year-old daughter and a five-year-old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Cummings was born and grew up in Nanaimo, British Columbia and is four credits shy of completing her High School diploma. She completed a five-month course at Camosun College and received her certificate as a health care aide in 2009. She was working as a health care aide in a residential care facility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she has had some challenges in her life, Ms. Cummings' background demonstrates that she is a motivated and conscientious individual both with respect to her work history and her personal wellness. She started work when she was 15 years old, in a retail establishment named "Below the Belt" in Woodgrove Mall in Nanaimo. She also worked in a McDonald's restaurant at the same time. Prior to obtaining her health care aide certificate, she worked in other retail establishments.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terms of her personal interests, Ms. Cummings was an active and health-conscious individual who ran five kilometres several days a week and was a regular at a local gym where she lifted weights, among other things. She regularly hiked and walked with her children, and her father testified at trial that he would often come down from Nanaimo on the weekends in order to participate in activities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terms of her physical and emotional wellness, Ms. Cummings has in the past struggled with addictions to alcohol and drugs. When she was a teenager she had an eating disorder which at first manifested as anorexia, but in her later teens she was bulimic. She also suffered from a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Cummings testified she was "almost three years clean from drugs and alcohol" when the accident occurred. She was also in recovery for her eating disorder, but she candidly admitted that she did have a relapse prior to the accident. It does not appear that these issues impacted her working history. I note her work history demonstrates her strong work ethic.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terms of her physical wellness, she struggled with low back pain as a result of a workplace injury in 2010 when she was working as a care aide. She threw her back out when she went to catch a patient and was off work for a couple of months. The incident was aggravated when she was in a motor vehicle accident in 2010. Prior to the accident her lower back would bother her sometimes, but she was able to work through it. She had never had any problems with her neck, shoulder or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Lynne MacKean provided an expert report for the plaintiff, and was cross-examined on her report. Dr. MacKean was qualified as an expert in physical medicine and rehabilitation. In her expert report she opined that Ms. Cummings suffered "grade 2 whiplash associated disorder, cervical spine, right upper back and right scapular area" due to injuries sustained resulting from the October 9, 2015 motor vehicle accident. She opined that Ms. Cummings "is probably at the point of maximal medical improvement as it has been over three years following the date of the motor vehicle accident." She recommended that Ms. Cummings look for "a different type of work that does not involve as much potential for lifting, bending and twisting with the spine." On cross-examination Dr. MacKean confirmed that many of the facts and assumptions from her report were based on Ms. Cummings' subjective reporting of her symptoms and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sole witness for the defence was Dr. John O'Sullivan, an orthopedic surgeon. In his report, Dr. O'Sullivan opined that based upon his physical examination of Ms. Cummings, there was no medical reason why Ms. Cummings could not continue to function in her current job duties safely, and she does not require any retraining. He regarded her prognosis as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cross-examination Dr. O'Sullivan agreed with Dr. MacKean's diagnosis of a "grade 2 whiplash associated disorder, cervical spine, right upper back and right scapular area." He testified that his prognosis of Ms. Cummings is more guarded than "excellent" as he put in his report, due to her current level of pain, comfort, and the fact she continues to experience symptoms two and a half years after the accident. He testified he believes she will continue to have symptoms. However, he believes she will improve, but does not know to what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IMPACT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time of the accident Ms. Cummings was working a full-time night position at a care facility called Beacon Hill Villa. She was also working a casual or on-call position at another care facility at Island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the accident, she initially attended a massage therapist and a chiropractor, and several weeks later saw her own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 doctor recommended that she attend physiotherapy and suggested that she take a break from working and working out. She testified that she was supporting two kids so she "couldn't afford not to work" and she did not follow that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Ultimately, in addition to chiropractic treatments she saw three different massage therapists who helped her function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Cummings' work history is somewhat complicated and is explained in her evidence. She obtained a permanent part-time position with Island Health in 2016. She resigned from the Beacon Hill Villa night position because in her words, she "burnt out". She then took additional on-call shifts at Island Health in order to make the part-time position equivalent to a full-time position. She then opted to convert her permanent position to casual. She went on medical leave prior to trial due to complications with her pregnancy. This medical leave will turn into maternity leave. Ms. Cummings does not intend to return to her occupation as a health care aide following the end of her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Reid and Ms. Cummings' father both testified about how the accident has negatively affected Ms. Cummings.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Reid testified that prior to the accident, he did not recall Ms. Cummings exhibiting any physical limitations, complaining of any pain in any part of her body while engaging in activities, complaining of having headaches, problems with her neck, upper back, or shoulders. Mr. Reid testified that prior to the accident, Ms. Cummings expressed infrequent minor complaints about her lower back, due to a pre-existing injury. Mr. Reid testified that Ms. Cummings' personality was happy and content and he did not observe anything unusual about her psychological or emotional state before the accident. He testified that Ms. Cummings did not appear to have any difficulty in caring for her young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this changed following the accident. Mr. Reid testified that Ms. Cummings' recreational activities and outings are now limited and her level of activity with her children has decreased. She is now quick to go to the couch, nap, or go to bed upon returning home from work. Mr. Reid testified that Ms. Cummings does not participate nearly as much as he does in playing with her children. She has difficulty carrying laundry baskets down the stairs, cannot carry more than one bag of groceries into the home, almost never lifts her son, and her level of activity playing with him is not what it used to be. He testified that her injuries have put tension and stress on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Cummings testified that prior to the accident, he would visit his daughter in Victoria every weekend. During the weekends, Mr. Cummings, Ms. Cummings, her two children, and sometimes Mr. Reid would do lots of hiking, go to parks, and attend various events such as Easter egg hunts or Halloween festivities. Mr. Cummings testified that Ms. Cummings was in very good physical condition prior to the accident. He testified that Ms. Cummings was running, lifting weights, and doing cardiovascular exercise. Mr. Cummings testified that Ms. Cummings did not complain of pain in her upper back, pain in her right shoulder, headaches, or sleeping problems. Mr. Cummings testified that he was aware of Ms. Cummings' lower back injury, but that "it wasn't inhibiting, and she was doing everything." Mr. Cummings testified that Ms. Cummings mood was excited and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the accident, Mr. Cummings testified that he continued to visit Ms. Cummings every weekend and then this slowly transitioned to every two weekends. Mr. Cummings testified that during his visits Ms. Cummings "pretty much stopped coming out on any of the outings." Mr. Cummings testified that Ms. Cummings complained of pain in her upper back or neck, her right shoulder, lots of headaches, and sleeping problems. He described her mood as irritable and tired. Mr. Cummings testified that he observed Ms. Cummings was unable to run around and play with her son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found Mr. Reid and Mr. Cummings to be credible witnesses, and I accept their evidence surrounding their observations of Ms. Cummings both pre-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admit that Ms. Cummings' upper body soft tissue injuries and associated headaches were caused by the motor vehicle accident. However, the defendants dispute that the motor vehicle accident caused aggravation of Ms. Cummings' lower back problems. Further, the defendants dispute the severity and extent of the injuries caused and the impact they have had on Ms. Cummings'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submit that "[a] finding in favour of causation does not require a determination as to the extent of the contribution in relation to other possible factors. That determination is relevant to damages, not causation." The defendants cite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Khudabux</w:t>
      </w:r>
      <w:r>
        <w:rPr>
          <w:rFonts w:ascii="arial" w:eastAsia="arial" w:hAnsi="arial" w:cs="arial"/>
          <w:color w:val="000000"/>
          <w:sz w:val="20"/>
          <w:lang w:val="en-US" w:eastAsia="en-US" w:bidi="ar-SA"/>
        </w:rPr>
        <w:t>")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Based on this submission, I have determined that it is not necessary to conduct a causation analysis. I will examine the severity and extent of Ms. Cummings' injuries and the impact of a pre-existing injury under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submits this Court should award her damages under six heads of damages. In assessing the quantum of damages under the below six heads, I have kept in mind the statement made by the Court in </w:t>
      </w:r>
      <w:r>
        <w:rPr>
          <w:rFonts w:ascii="arial" w:eastAsia="arial" w:hAnsi="arial" w:cs="arial"/>
          <w:i/>
          <w:color w:val="000000"/>
          <w:sz w:val="20"/>
          <w:lang w:val="en-US" w:eastAsia="en-US" w:bidi="ar-SA"/>
        </w:rPr>
        <w:t>Hamilton v. Vance</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2007 BCSC 1001</w:t>
        </w:r>
      </w:hyperlink>
      <w:r>
        <w:rPr>
          <w:rFonts w:ascii="arial" w:eastAsia="arial" w:hAnsi="arial" w:cs="arial"/>
          <w:color w:val="000000"/>
          <w:sz w:val="20"/>
          <w:lang w:val="en-US" w:eastAsia="en-US" w:bidi="ar-SA"/>
        </w:rPr>
        <w:t xml:space="preserve"> at para. 84, that "[w]hen assessing the quantum of damages under any recognized head, the court is concerned, ultimately, with making the party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received supplementary written submissions from the plaintiff on August 16, 2019 and from the defendants on August 19, 2019, pertaining to a new case that the plaintiff thought would be of assistance to me in assessing non-pecuniary damages. As a preliminary matter, I agree with the defendants' position on the supplementary submissions: that a miscarriage of justice would not occur if I were not to consider this additional case brought to my attention. Accordingly, I have not considered this case in my analysis. In so deciding, I share the view expressed by the defence submissions that there must be finality to the trial process and the plaintiff's attempt to reopen submissions was not necessary. A party should only bring a new case to a judge's attention after submissions have closed when the new case is fundamental to an issue at trial. This case was not fundamental to an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Cummings argues that she should receive an award for non-pecuniary loss in the range of $110,000 to $130,000. The defendants argue that Ms. Cummings should receive between $35,000 and $40,000 in non-pecuniary damages, after accounting for a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With respect to the "discount" the defendants refer to, the defendants argue that to the extent the plaintiff is found to be suffering continued damage relating to her pre-existing lower back injuries and post-accident aggravation of these injuries, a reduction in damages is warranted. The defendants argue that the plaintiff suffered a 2010 accident and 2010 workplace injury that caused her lower back problems. They argue that a 2017 workplace injury further exacerbated these lower back problems. They argue that the plaintiff's symptoms related to pregnancy should also be taken into account. They cite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Gohringer v. Hernandez-Lazo</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2009 BCSC 420</w:t>
        </w:r>
      </w:hyperlink>
      <w:r>
        <w:rPr>
          <w:rFonts w:ascii="arial" w:eastAsia="arial" w:hAnsi="arial" w:cs="arial"/>
          <w:color w:val="000000"/>
          <w:sz w:val="20"/>
          <w:lang w:val="en-US" w:eastAsia="en-US" w:bidi="ar-SA"/>
        </w:rPr>
        <w:t xml:space="preserve"> at paras. 92-93, and </w:t>
      </w:r>
      <w:r>
        <w:rPr>
          <w:rFonts w:ascii="arial" w:eastAsia="arial" w:hAnsi="arial" w:cs="arial"/>
          <w:i/>
          <w:color w:val="000000"/>
          <w:sz w:val="20"/>
          <w:lang w:val="en-US" w:eastAsia="en-US" w:bidi="ar-SA"/>
        </w:rPr>
        <w:t>Khudabux</w:t>
      </w:r>
      <w:r>
        <w:rPr>
          <w:rFonts w:ascii="arial" w:eastAsia="arial" w:hAnsi="arial" w:cs="arial"/>
          <w:color w:val="000000"/>
          <w:sz w:val="20"/>
          <w:lang w:val="en-US" w:eastAsia="en-US" w:bidi="ar-SA"/>
        </w:rPr>
        <w:t xml:space="preserve"> at para. 31 for the proposition that the plaintiff should not be compensated for damage or loss she would have suffered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note that as stated by Justice Kent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323, in citing the British Columbia Court of Appeal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a defendant need not prove on a balance of probabilities that the pre-existing condition would have actually caused the subsequent loss, regardless of the accident. Rather a pre-existing problem that might realistically cause or contribute to the loss is relevant and should be accounted for in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response, the plaintiff argues that the evidence shows any pain or impairment that the plaintiff suffered from her lower back as a result of the 2010 workplace incident, the 2010 motor vehicle accident, and the 2017 workplace injury, were minimal. The plaintiff notes, that even in 2018, Dr. O'Sullivan found that the plaintiff's lumbar flexion was 90%, she was able to touch the floor with her fingertips, and this finding was "relatively normal." The plaintiff argues that in the event I choose to impose a discount to account for the plaintiff's lower back problems, any discount ought to be no more than 5-10%. The plaintiff cites </w:t>
      </w:r>
      <w:r>
        <w:rPr>
          <w:rFonts w:ascii="arial" w:eastAsia="arial" w:hAnsi="arial" w:cs="arial"/>
          <w:i/>
          <w:color w:val="000000"/>
          <w:sz w:val="20"/>
          <w:lang w:val="en-US" w:eastAsia="en-US" w:bidi="ar-SA"/>
        </w:rPr>
        <w:t>MacGregor v. Bergen</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2019 BCSC 315</w:t>
        </w:r>
      </w:hyperlink>
      <w:r>
        <w:rPr>
          <w:rFonts w:ascii="arial" w:eastAsia="arial" w:hAnsi="arial" w:cs="arial"/>
          <w:color w:val="000000"/>
          <w:sz w:val="20"/>
          <w:lang w:val="en-US" w:eastAsia="en-US" w:bidi="ar-SA"/>
        </w:rPr>
        <w:t>, as a comparator case on this point, where Justice Branch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 However, given that the plaintiff had been incident-free for two years pre-accident, I find that the probability of these future problems developing absent the accident was relatively low, in the range of 15%. I have incorporated this contingency into my analysis of the various heads of damages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considered the evidence surrounding Ms. Cummings' pre-existing lower back issues and the minimal effect it had on her working and personal life, I am of the view that the plaintiff's submission is the correct one. For similar reasons, I find there is not sufficient evidence to make a finding that the 2017 workplace incident had any impact on Ms. Cummings' current levels of functioning and pain. Having considered all of the evidence, I have incorporated a 10% reduction into my analysis of the various heads of damages. I am of the view that Ms. Cummings' lower back problems may negatively impact her in the future, but the probability is at the low end given the minimal impact on her life up to the point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now turn to quantum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cites a number of cases, including the following comparators: </w:t>
      </w:r>
      <w:r>
        <w:rPr>
          <w:rFonts w:ascii="arial" w:eastAsia="arial" w:hAnsi="arial" w:cs="arial"/>
          <w:i/>
          <w:color w:val="000000"/>
          <w:sz w:val="20"/>
          <w:lang w:val="en-US" w:eastAsia="en-US" w:bidi="ar-SA"/>
        </w:rPr>
        <w:t>Herman v. Paley</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2017 BCSC 728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Herman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Beaton v. Perkes</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2016 BCSC 2276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Kirkham v. Richardson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2014 BCSC 1068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Severud v. Smith</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2016 BCSC 1021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Severud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cite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2016 BCSC 1886</w:t>
        </w:r>
      </w:hyperlink>
      <w:r>
        <w:rPr>
          <w:rFonts w:ascii="arial" w:eastAsia="arial" w:hAnsi="arial" w:cs="arial"/>
          <w:color w:val="000000"/>
          <w:sz w:val="20"/>
          <w:lang w:val="en-US" w:eastAsia="en-US" w:bidi="ar-SA"/>
        </w:rPr>
        <w:t xml:space="preserve">, appeal dismissed </w:t>
      </w:r>
      <w:hyperlink r:id="rId71"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Densem v. Sidal</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2012 BCSC 1008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Olnyk v. Turner</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2012 BCSC 1138</w:t>
        </w:r>
      </w:hyperlink>
      <w:r>
        <w:rPr>
          <w:rFonts w:ascii="arial" w:eastAsia="arial" w:hAnsi="arial" w:cs="arial"/>
          <w:color w:val="000000"/>
          <w:sz w:val="20"/>
          <w:lang w:val="en-US" w:eastAsia="en-US" w:bidi="ar-SA"/>
        </w:rPr>
        <w:t xml:space="preserve"> as comparators.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set out the broad framework for the assessment of 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Using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framework, I find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have indicated, prior to the accident the plaintiff was 27 years old, active and an exceptionally hardworking young woman. She was balancing a physically and emotionally difficult position as a health care aide with the demands of her young family. She was able to do this and live a physically active lifestyle which included a proactive approach to her personal wellness and enjoyment of recreational activities such as hiking. After the accident, although she did not miss much work, she was barely able to do anything beyond working and caring for her family. I have no difficulty in concluding that she is a stoic individual who has demonstrated an ability to work through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Her recreational activities have been severely curtailed and her ability to exercise for her physical and emotional wellness has been impacted. I am persuaded by her evidence and the evidence of Mr. Reid and her father, Mr. Cummings, that all aspects of her life have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Having considered the authorities and all the circumstances before me, I conclude that $95,000 is an appropriate sum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Cummings combines her argument for past and future earning capacity into one section in her written submissions titled "loss of earning capacity." She asks the Court to look at this globally and award $180,000 for loss of earning capacity, which accounts for both past and 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argue that the plaintiff has not led sufficient evidence to allow the Court to make a finding in her favour as to anything more than one day of lost past income. The defendants argue anything further would be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Odian v. Carriere</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2016 BCSC 112</w:t>
        </w:r>
      </w:hyperlink>
      <w:r>
        <w:rPr>
          <w:rFonts w:ascii="arial" w:eastAsia="arial" w:hAnsi="arial" w:cs="arial"/>
          <w:color w:val="000000"/>
          <w:sz w:val="20"/>
          <w:lang w:val="en-US" w:eastAsia="en-US" w:bidi="ar-SA"/>
        </w:rPr>
        <w:t>, Justice Dley explained what to examine when considering past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A fair award for past income loss is to analyze the hypothetical situation as if Ms. Odian was not impaired in her ability to perform physical work. Hypothetical matters are to be given "weight according to their relative likelihood" and to be considered as long as their occurrence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Ms. Odian's claim is as described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2014 BCSC 541</w:t>
        </w:r>
      </w:hyperlink>
      <w:r>
        <w:rPr>
          <w:rFonts w:ascii="arial" w:eastAsia="arial" w:hAnsi="arial" w:cs="arial"/>
          <w:color w:val="000000"/>
          <w:sz w:val="20"/>
          <w:lang w:val="en-US" w:eastAsia="en-US" w:bidi="ar-SA"/>
        </w:rPr>
        <w:t>, Justice Pearlman distilled the law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[230]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[231]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[232]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[233]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Cummings lost one day of work following the motor vehicle accident. The defendants argue that the plaintiff did not give evidence as to the length of the shift she missed, nor what her remuneration would have been if she worked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Cummings testified that as a result of the motor vehicle accident, she initially stopped taking shifts at Island Health for approximately three weeks. She then worked less shifts than she would have, if not for the motor vehicle accident. Ms. Cummings was made a permanent employee following the accident in 2016. She eventually requested Island Health rescind her permanent status, so she could work as a casual employee. She indicated this was because she was having significant difficulties performing her work as a health care aide and wanted the flexibility that a casual designation would permit. At the time of trial she was on medical leave due to complications stemming from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argue that no evidence was presented with respect to how many shifts the plaintiff missed and how many shifts she would have taken. Further, the defendants point out there were reasons unrelated to the motor vehicle accident that caused the plaintiff to miss or not pick up shifts, including seniority in how shifts were distributed, her workplace injury, her children, and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respect to the plaintiff's pregnancy, the defendants cite </w:t>
      </w:r>
      <w:r>
        <w:rPr>
          <w:rFonts w:ascii="arial" w:eastAsia="arial" w:hAnsi="arial" w:cs="arial"/>
          <w:i/>
          <w:color w:val="000000"/>
          <w:sz w:val="20"/>
          <w:lang w:val="en-US" w:eastAsia="en-US" w:bidi="ar-SA"/>
        </w:rPr>
        <w:t>Brownlee v. Danyluk</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(1996), 26 B.C.L.R. (3d) 64</w:t>
        </w:r>
      </w:hyperlink>
      <w:r>
        <w:rPr>
          <w:rFonts w:ascii="arial" w:eastAsia="arial" w:hAnsi="arial" w:cs="arial"/>
          <w:color w:val="000000"/>
          <w:sz w:val="20"/>
          <w:lang w:val="en-US" w:eastAsia="en-US" w:bidi="ar-SA"/>
        </w:rPr>
        <w:t xml:space="preserve"> (C.A.) for the proposition that in reference to loss of earnings for a pregnant plaintiff, trial judges must take into consideration evidence that but for the motor vehicle accident, the plaintiff would likely have become pregnant and unable to work for some portion of time. The defendants argue that the time the plaintiff has lost from work and her uncertain plans following birth cannot be considered contingencies when considering her earning capacity. The defendants argue the plaintiff "has lost significant time from work due to morning sickness, some time due to bed rest, and she resigned from a permanent, secure position at [Island Health] only after experiencing pregnancy-related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of the view that the evidence was unsatisfactory as to why Ms. Cummings left her employment entirely, prior to trial, rather than continuing to adjust her work schedule as she had done up to that point. I conclude that the decision to move to casual and leave her job primarily related to her personal circumstances, rather than to the ongoing pain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Overall, I conclude that any past loss of earning capacity or opportunity was minimal and was not sufficiently established on the evidence. In the result, I do not award any damages for past earning capacity; however, I have kept in mind the evidence of Ms. Cummings when assessing the loss of capacity issue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Cummings argues she should be entitled to $180,000 for loss of earning capacity, using the capital asset approach for calculating loss. The plaintiff argues the authorities establish that the appropriate method of assessing loss of earning capacity is the application of a multiplier of annual income for between one and three years. The plaintiff argues, particularly considering her young age, a multiplier of three years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submissions, the plaintiff emphasized the following factors: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young age and her strong work ethic;</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three children who will rely on her for financial support;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lack of savings or other income;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some non-debilitating lower back pain and generalized anxiety disorder, the plaintiff was not impaired or disabled from working prior to the accident;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musculoskeletal injuries make her more susceptible to re-injury and associated medical absences from work;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suffers sleep disturbances;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her decision to transition from permanent status to become a casual employee in order to manage her symptoms, the plaintiff will lose her maternity top up and will be reliant on regular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Starting with the last point, the decision to go from permanent part-time status to casual was not satisfactorily explained on the evidence. I cannot understand why Ms. Cummings made this decision. I have concluded that the decision was made for personal reasons rather than for reasons relating to her chronic shoulder and upper back pain. The case law cited by the plaintiff suggests that I only have to be satisfied that the decision was reasonable as opposed to medically necessary. I have concluded that this decision was not a reasonable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however that the plaintiff is a stoic hardworking person who did make employment decisions following her injury that allowed her to cope in a physically demanding profession. I accept that she did not miss much work post-accident because she could not afford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argue she is not entitled to any award under this head of damages as the plaintiff's "subjective perception of impairment ... does not translate to an erosion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argue that the evidence presented at trial is not sufficient to grant any award under this heading. The defendants argue that the plaintiff has continued to work and manage all of her employment duties for several years following the motor vehicle accident. In the alternative the defendants argue any award should be relatively small, taking into account the plaintiff's pre-existing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Justice Voith outlined the legal principles relevant to a claim for loss of future earning capacity:</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99"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With respect to paragraph e), I note Justice Ballance's comments in </w:t>
      </w:r>
      <w:r>
        <w:rPr>
          <w:rFonts w:ascii="arial" w:eastAsia="arial" w:hAnsi="arial" w:cs="arial"/>
          <w:i/>
          <w:color w:val="000000"/>
          <w:sz w:val="20"/>
          <w:lang w:val="en-US" w:eastAsia="en-US" w:bidi="ar-SA"/>
        </w:rPr>
        <w:t>Woelders v. Gaudette</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2016 BCSC 1066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In a nutshell, my task is to compare the likely future of Ms. Woelders' working life if the Accident had not happened, to her likely future working life in light of its occurrence: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defendant asserts that Ms. Woelders has failed to prove a real and substantial possibility of a future event leading to an income loss and that consequently, she is not entitled to an award under this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My observation is that in recent years defendants in personal injury actions before this Court have increasingly adopted this submission, namely that the plaintiff's future loss of earning capacity claim falters on the failure to meet the threshold of a real and substantial possibility that the injury will result in a future pecuniary loss. In my experience, this tends to be the position taken by the defence even in cases where that is plainly not so or where there is a reasonable prospect that the Court will find the evidence goes the other way. This practice is of concern, given that such a blanket assertion ordinarily comprises the full extent of the defendant's argument on this factually nuanced and conceptually difficult issue. Where the Court determines that the plaintiff has indeed made out a future loss claim, it is left with no argument of substance from the defendant as to the negative or positive contingencies at play or the quantum of damages to be assessed under this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I would suggest that a more constructive approach would be for defence counsel who contend that the plaintiff has not satisfied the requisite evidentiary test, to make submissions </w:t>
      </w:r>
      <w:r>
        <w:rPr>
          <w:rFonts w:ascii="arial" w:eastAsia="arial" w:hAnsi="arial" w:cs="arial"/>
          <w:i/>
          <w:color w:val="000000"/>
          <w:sz w:val="20"/>
          <w:lang w:val="en-US" w:eastAsia="en-US" w:bidi="ar-SA"/>
        </w:rPr>
        <w:t>in the alternative</w:t>
      </w:r>
      <w:r>
        <w:rPr>
          <w:rFonts w:ascii="arial" w:eastAsia="arial" w:hAnsi="arial" w:cs="arial"/>
          <w:color w:val="000000"/>
          <w:sz w:val="20"/>
          <w:lang w:val="en-US" w:eastAsia="en-US" w:bidi="ar-SA"/>
        </w:rPr>
        <w:t xml:space="preserve"> about the relative contingencies and the quantum of the plaintiff's future loss of earning capacity. Adherence to that advocacy practice will ensure that the Court has the benefit of considered submissions on the issue from all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unfortunately did not provide any alternative argument and as I will grant damages under this head, I only have the considered submissions of the plaintiff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standard of proof in relation to future events is simple probability, and hypothetical events are to be given weight according to their relative likelihood: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leave to appeal ref'd </w:t>
      </w:r>
      <w:hyperlink r:id="rId107" w:history="1">
        <w:r>
          <w:rPr>
            <w:rFonts w:ascii="arial" w:eastAsia="arial" w:hAnsi="arial" w:cs="arial"/>
            <w:i/>
            <w:color w:val="0077CC"/>
            <w:sz w:val="20"/>
            <w:u w:val="single"/>
            <w:shd w:val="clear" w:color="auto" w:fill="FFFFFF"/>
            <w:lang w:val="en-US" w:eastAsia="en-US" w:bidi="ar-SA"/>
          </w:rPr>
          <w:t>[2003] S.C.C.A. No. 221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at para. 101,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Evidence of ongoing pain may be sufficient to ground a substantial possibility that the plaintiff's pain will adversely affect his or her future ability to work, even where the plaintiff has not missed work due to the injury at the time of trial: </w:t>
      </w:r>
      <w:r>
        <w:rPr>
          <w:rFonts w:ascii="arial" w:eastAsia="arial" w:hAnsi="arial" w:cs="arial"/>
          <w:i/>
          <w:color w:val="000000"/>
          <w:sz w:val="20"/>
          <w:lang w:val="en-US" w:eastAsia="en-US" w:bidi="ar-SA"/>
        </w:rPr>
        <w:t>Ahmad v. Pandher</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2017 BCSC 1732</w:t>
        </w:r>
      </w:hyperlink>
      <w:r>
        <w:rPr>
          <w:rFonts w:ascii="arial" w:eastAsia="arial" w:hAnsi="arial" w:cs="arial"/>
          <w:color w:val="000000"/>
          <w:sz w:val="20"/>
          <w:lang w:val="en-US" w:eastAsia="en-US" w:bidi="ar-SA"/>
        </w:rPr>
        <w:t xml:space="preserve"> at para. 107, citing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 plaintiff may still be entitled to damages for loss of future earning capacity even where he or she has not suffered an actual loss of income. What is compensable is the lost capacity, not the actual lost income. The British Columbia Court of Appeal discussed this principle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While in many cases the actual lost income will be the most reliable measure of the value of the loss of capacity to earn income, this is not necessarily so. A hard and fast rule that actual lost income is the only measure would result in the erosion of the distinction made by this Court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it is not the actual lost income which is compensable but the lost capacity i.e. the damage to the asset. The measure may vary where the circumstances require; evidence of the value of the loss may take many forms (see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As was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hyperlink r:id="rId101"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overall fairness and reasonableness of the award must be considered taking into account all the evidence. An award for loss of earning capacity requires the assessment of damages, not calculation according to some mathematical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referring to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sets out some of the considerations a trial judge should take into account when assessing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Having considered the principles and the evidence, I have concluded that there is a real and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considering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I am satisfied that Ms. Cummings who modified her work life to deal with her chronic pain, is rendered less culpable overall from earning income from all types of employment. Ms. Cummings' prognosis appears guarded and she has reached maximum medical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conclude on the evidence that going forward in her career, Ms. Cummings may require more sick days and that she may need to disclose her limitations if she applies for other positions as a care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assessing an amount under this head of damages, I have to consider positive and negative contingencies. I have to consider, as the plaintiff argues, that Ms. Cummings is still relatively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have kept in mind the 10% reduction I earlier referenced relating to the pre-existing lower back injury and the possible post-aggravation of these injuries in the 2017 workplace injury. I have considered that Ms. Cummings may need to retrain in some other occupation, although I do not know whether her plan to retrain as a Registered Nurse is a realistic one since the evidence around the plan was not fully explored. Even if it is, I am not satisfied that decision is entirely related to the accident, and may have been a decision Ms. Cummings made in any event since she is a goal-oriented individual. In any event, I am not satisfied that a Registered Nurse position is sufficiently less physically demanding to factor this into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determined that the future income loss is not easily measureable, and that the capital asset approach is the correct one to apply in this circumstance. Having considered the applicable legal principles, I have concluded that I should award $60,000, which represents one year of earning capacity at Ms. Cummings' average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argues she should be granted an award between $30,000 and $40,000 for loss of homemaking capacity. The plaintiff argues that she possessed the asset of homemaking capacity prior to the accident. This asset has been diminished in value as a result of the injuries she suffered in the motor vehicle accident. The plaintiff argues that prior to the accident, she was not disabled in any way in performing domestic chores. However, after the accident, the plaintiff encounters challenges including doing laundry, carrying grocery bags, and lifting and keeping up with her five-year-old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cites the comparator cases of </w:t>
      </w:r>
      <w:r>
        <w:rPr>
          <w:rFonts w:ascii="arial" w:eastAsia="arial" w:hAnsi="arial" w:cs="arial"/>
          <w:i/>
          <w:color w:val="000000"/>
          <w:sz w:val="20"/>
          <w:lang w:val="en-US" w:eastAsia="en-US" w:bidi="ar-SA"/>
        </w:rPr>
        <w:t>Herman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Severud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argue an award should not be granted under this head of damages, as the defendants assert the plaintiff has been able to handle domestic chores, with the exception of carrying laundry and groceries. The defendants further argue that the plaintiff's difficulty with carrying laundry and groceries is likely due to the plaintiff's lower back problems and pregnancy. In the alternative, the defendants argue an award under this head of damages "ought to be of a very minor nature and included in the award for non-pecuniary damages, with all of the appropriate reductions."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law in respect of assessing a plaintiff's loss of homemaking capacity was summarized in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at paras. 108 and 109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Huddart J.A. comprehensively surveyed the majority and minority decisions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a decision of a five-member panel of the Court of Appeal, as well as other pertinent jurisprudence, and summarized the essential principles in relation to claims for past and future loss of housekeeping capacity. At para. 43, her Ladyship emphasized the vital point that claims for loss of housekeeping capacity are distinct from claims respecting the plaintiff's future cost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I have noted, the majority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quite clearly decided that a reasonable award for the loss of the capacity to do housework was appropriate whether that loss occurred before or after trial. It was, in my view, equally clear that it mattered not whether replacement services had been or would be hired. It did not adopt the analogy with future care as a general rule. Nor did it permit, nor in view of the authorities to which I have referred could it have permitted, a deduction for the contingency that replacement services might not be hired. Allowances for contingencies are for risk factors that might make the loss of capacity more or less 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Because an award for the loss of housekeeping capacity reflects the loss of personal capacity, which is an asset, the issue of whether the plaintiff had used replacement services or is likely to hire such assistance in the future does not inform the analysis. That is a crucial distinction between those damages and awards for a plaintiff's future cost of care as affirmed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[67] ... 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Determining the amount of a reasonable cost of future care award entails a unique set of considerations, as Professor Cooper-Stephenson explains at 416: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both the </w:t>
      </w:r>
      <w:r>
        <w:rPr>
          <w:rFonts w:ascii="arial" w:eastAsia="arial" w:hAnsi="arial" w:cs="arial"/>
          <w:i/>
          <w:color w:val="000000"/>
          <w:sz w:val="20"/>
          <w:lang w:val="en-US" w:eastAsia="en-US" w:bidi="ar-SA"/>
        </w:rPr>
        <w:t>need</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opportunity</w:t>
      </w:r>
      <w:r>
        <w:rPr>
          <w:rFonts w:ascii="arial" w:eastAsia="arial" w:hAnsi="arial" w:cs="arial"/>
          <w:color w:val="000000"/>
          <w:sz w:val="20"/>
          <w:lang w:val="en-US" w:eastAsia="en-US" w:bidi="ar-SA"/>
        </w:rPr>
        <w:t xml:space="preserve"> for the expenditure of moneys is relevant to the assessment. Therefore, if the plaintiff's medical condition may require care of a less expensive nature -- such as institutional care -- then the award for future cost of care should reflect that possibility. Equally, it would seem, if the evidence is not conclusive that more expensive care will be available, or that the plaintiff will find such care to be physically and emotionally satisfactory, then the award should reflect those possibilities; the reduced award will then reflect the best estimate of what will be reasonably necessary to provide optimum care. In this sense, the court is bound to look to the actual spending potential of the plaintiff. [Emphasis by Professor Cooper-Stephenson]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already concluded that all aspects of Ms. Cummings' life have been impacted by the accident and this extends to her ability to perform domestic chores. It is clear from the evidence of Mr. Reid that he has assumed many of the household and domestic duties that were previously shared with Ms. Cummings.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Having considered the evidence, the comparator cases, and the applicable legal principles, I conclude that Ms. Cummings homemaking capacity, a capital asset, has been reduced as a result of the accident. The loss, although it is not easily calculated, is distinct from the loss considered under non-pecuniary damages and is deserving of compensation. Having taken into account future contingencies, both positive and negative, it is my view that $15,000 is a fair and reasonable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argues an award of $40,000 for cost of future care would be fair and reasonable in the circumstances, considering the plaintiff's young age and the fact she has reached maximum medical recovery. In coming to this number, the plaintiff notes Dr. MacKean's recommendations to continue with regular massage therapy during her pregnancy, to begin physiotherapy and IMS following her pregnancy, and a referral to a pain clinic following her pregnancy. The plaintiff also notes Dr. O'Sullivan's confirmation that massage therapy and chiropractic care have been helpful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Under this head of damages, the plaintiff cites the comparator cases of </w:t>
      </w:r>
      <w:r>
        <w:rPr>
          <w:rFonts w:ascii="arial" w:eastAsia="arial" w:hAnsi="arial" w:cs="arial"/>
          <w:i/>
          <w:color w:val="000000"/>
          <w:sz w:val="20"/>
          <w:lang w:val="en-US" w:eastAsia="en-US" w:bidi="ar-SA"/>
        </w:rPr>
        <w:t>Herman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Severud</w:t>
      </w:r>
      <w:r>
        <w:rPr>
          <w:rFonts w:ascii="arial" w:eastAsia="arial" w:hAnsi="arial" w:cs="arial"/>
          <w:color w:val="000000"/>
          <w:sz w:val="20"/>
          <w:lang w:val="en-US" w:eastAsia="en-US" w:bidi="ar-SA"/>
        </w:rPr>
        <w:t>, where the plaintiffs were, respectively, a licensed practical nurse and health care aide. The plaintiff notes these awards did not include any consideration of the cost resulting from a private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argue that the evidence at trial is not sufficient to ground any award under this heading. The defendants argue that in the alternative, if an award is made, it should be relatively small taking into account the plaintiff's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argue that Dr. MacKean did not opine about the need for massage therapy after pregnancy, only that the plaintiff should receive massage for the duration of her pregnancy. The defendants argue that Dr. MacKean did not opine on the frequency or duration of the "passive treatment", which presumably is the physiotherapy, IMS, and the plaintiff's attendance at a pain clinic. The defendants emphasize Dr. MacKean's admission on cross-examination that this recommended treatment would also relate to the plaintiff's lower back pain. Further, the defendants point to Dr. O'Sullivan's opinion that the plaintiff does not require any treatment. The defendants also note that Dr. MacKean mentioned two publically funded local pain clinics and thus the plaintiff would not be required to pay out of pocket to attend these clinics.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set out the legal framework for awards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resulting award may be said to reflect the reasonable or normal expectations of what the injured person will require. Jane Stapleton, "The Normal Expectancies Measure in Tort Damages" (1997), 113 </w:t>
      </w:r>
      <w:r>
        <w:rPr>
          <w:rFonts w:ascii="arial" w:eastAsia="arial" w:hAnsi="arial" w:cs="arial"/>
          <w:i/>
          <w:color w:val="000000"/>
          <w:sz w:val="20"/>
          <w:lang w:val="en-US" w:eastAsia="en-US" w:bidi="ar-SA"/>
        </w:rPr>
        <w:t>L.Q.R</w:t>
      </w:r>
      <w:r>
        <w:rPr>
          <w:rFonts w:ascii="arial" w:eastAsia="arial" w:hAnsi="arial" w:cs="arial"/>
          <w:color w:val="000000"/>
          <w:sz w:val="20"/>
          <w:lang w:val="en-US" w:eastAsia="en-US" w:bidi="ar-SA"/>
        </w:rPr>
        <w:t>.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the subsequent case of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the Court of Appeal set out the test for assessment of a claim for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test for assessing future care costs is well-settled: the test is whether the costs are reasonable and whether the items are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page 78; affirmed </w:t>
      </w:r>
      <w:hyperlink r:id="rId11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McLachlin J., as she then was, then went on to state what has become the frequently cited formulation of the "test" for future care awards at page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satisfied on the evidence of Dr. MacKean and Dr. O'Sullivan in part, that a future claim for massage therapy, physiotherapy and IMS is medically justified. I am, however, reducing this amount considering the positive and negative contingencies, including that the plaintiff may retrain, for example, to a less physically demanding position where these therapies are not required. In the result, I award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argues that she is entitled to $10,000 in special damages. The total expenses incurred by the time of trial was $9,110.52. This amount of damages consist of chiropractic care, massage therapy, and medications. The plaintiff argues the expenditures totalling this amount were necessary and justifiable and the decision to incur them was reasonable. The plaintiff argues that this is because massage therapy was recommended by her general physician and Dr. MacKean. Further, the plaintiff emphasizes that even Dr. O'Sullivan agreed that medication and massage therapy were "appropriate for the injuries sustained" by the plaintiff. The plaintiff argues she should be provided an additional modest amount for the gas mileage and parking she incurred in travelling to and from her extensive massage therapy and chiropractic treatments, rounding the $9,110.52 amount up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argue that the evidence adduced by the plaintiff falls short of establishing what was spent resulting from the motor vehicle accident and what was spent for other reasons. The defendants argue a portion of the chiropractic, massage, and medication relates to the chronic lower back pain. The defendants argue "[i]t is essential that each item of special damages be examined and a ruling made as to what extent, if any, each item was reasonably incurred as a result of the MVA and necessary to pay in order to restore the Plaintiff to the position she would have been in had the MVA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Carillo v. Deschutter</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2018 BCSC 2134</w:t>
        </w:r>
      </w:hyperlink>
      <w:r>
        <w:rPr>
          <w:rFonts w:ascii="arial" w:eastAsia="arial" w:hAnsi="arial" w:cs="arial"/>
          <w:color w:val="000000"/>
          <w:sz w:val="20"/>
          <w:lang w:val="en-US" w:eastAsia="en-US" w:bidi="ar-SA"/>
        </w:rPr>
        <w:t xml:space="preserve"> at para. 165 emphasized the principle that the plaintiff is entitled to recover the reasonable out-of-pocket expenses incurred as a result of the motor vehicle accident, and to be restored to the position she would have been in had the motor vehicle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satisfied that the expenses endured by the plaintiff were reasonable and necessary and that her claim for gas mileage and parking is reasonable. I am going to discount this award by 10% to take into account the pre-existing lower problems, recognizing that some of these treatments may have been required in any event and award $9,000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summary, I find that Ms. Cummings is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568"/>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1359"/>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6"/>
        <w:gridCol w:w="1673"/>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Homemaking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188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58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$189,000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Costs may be spoken to if they are not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Cupo v. Brady, [2013] B.C.J. No. 2086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27 and 28,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23,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S133121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2086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1749</w:t>
      </w:r>
    </w:p>
    <w:p>
      <w:pPr>
        <w:spacing w:before="120" w:line="260" w:lineRule="atLeast"/>
        <w:rPr>
          <w:lang w:val="en-US" w:eastAsia="en-US" w:bidi="ar-SA"/>
        </w:rPr>
      </w:pPr>
      <w:r>
        <w:rPr>
          <w:rFonts w:ascii="arial" w:eastAsia="arial" w:hAnsi="arial" w:cs="arial"/>
          <w:color w:val="000000"/>
          <w:sz w:val="20"/>
          <w:lang w:val="en-US" w:eastAsia="en-US" w:bidi="ar-SA"/>
        </w:rPr>
        <w:t>Between Manlio Cupo, Plaintiff, and Dr. Stephen C. Brady, S.C. Brady, M.D. Ltd., Cambie Surgeries Corporation and Vancouver Coastal Health Authority, operating as Richmond Hospital,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 paras.)</w:t>
      </w:r>
    </w:p>
    <w:p>
      <w:pPr>
        <w:jc w:val="both"/>
        <w:rPr>
          <w:lang w:val="en-US" w:eastAsia="en-US" w:bidi="ar-SA"/>
        </w:rPr>
      </w:pPr>
      <w:bookmarkStart w:id="14" w:name="Counsel_3"/>
      <w:bookmarkEnd w:id="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9" style="position:absolute;z-index:2516633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K.S. Garcha.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Dr. Stephan C. Brady and S.C. Brady M.D. Ltd.: C. Risi.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Cambie Surgeries Corporation: J. Vamplew, L. Leung.</w:t>
      </w:r>
      <w:r>
        <w:rPr>
          <w:lang w:val="en-US" w:eastAsia="en-US" w:bidi="ar-SA"/>
        </w:rPr>
        <w:cr/>
      </w:r>
    </w:p>
    <w:p>
      <w:pPr>
        <w:spacing w:after="240"/>
        <w:rPr>
          <w:lang w:val="en-US" w:eastAsia="en-US" w:bidi="ar-SA"/>
        </w:rPr>
      </w:pPr>
      <w:bookmarkStart w:id="15" w:name="Judgment_3"/>
      <w:bookmarkEnd w:id="15"/>
      <w:r>
        <w:pict>
          <v:line id="_x0000_s1040" style="position:absolute;z-index:2517145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 w:name="K.W. BALL J."/>
            <w:bookmarkEnd w:id="16"/>
            <w:r>
              <w:rPr>
                <w:rFonts w:ascii="arial" w:eastAsia="arial" w:hAnsi="arial" w:cs="arial"/>
                <w:b/>
                <w:color w:val="000000"/>
                <w:sz w:val="30"/>
                <w:lang w:val="en-US" w:eastAsia="en-US" w:bidi="ar-SA"/>
              </w:rPr>
              <w:t>K.W. BALL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Dr. Stephen C. Brady, S.C. Brady, M.D., and Cambie Surgeries Corporation each brought applications to have the plaintiff's action dismissed pursuant to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Additionally, both parties requested that the plaintiff pay the application and action costs pursuant to Rule 14-1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summary, the plaintiff sought Dr. Brady's assistance for elective cosmetic facial surgery. On July 27, 2009, the first surgery occurred at the Surgery Centre operated by Cambie Surgeries Corporation, and on May 18, 2010 a second or revision surgery occurred in Richmond General Hospital. The plaintiff now alleges that the doctor negligently performed the surgery and that the plaintiff has suffered damages. The plaintiff also brought a claim for battery and trespassing in connection with the revision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Plaintiff's counsel submitted that the issues in this application are unclear, complex, and not appropriate for decision under Rule 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case's evidence has a level of complexity. Inconsistencies exist between Dr. Brady's and Mr. Cupo's evidence. In particular, limited inconsistencies arise regarding statements the doctor and patient made in meetings leading to the decision to perform the surgery; disagreements regarding comments allegedly made during the revision surgery; and significant disagreements between the expert medical practitioners being presented by the plaintiff and the defendant Brady. To decide this case, I would need to resolve these inconsistencies, and I would have to make credibility findings. In my view, such findings would exceed the permitted resolution of such issues as Melnick J noted in </w:t>
      </w:r>
      <w:r>
        <w:rPr>
          <w:rFonts w:ascii="arial" w:eastAsia="arial" w:hAnsi="arial" w:cs="arial"/>
          <w:i/>
          <w:color w:val="000000"/>
          <w:sz w:val="20"/>
          <w:lang w:val="en-US" w:eastAsia="en-US" w:bidi="ar-SA"/>
        </w:rPr>
        <w:t>Chu v. Lee</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2006 BCSC 547</w:t>
        </w:r>
      </w:hyperlink>
      <w:r>
        <w:rPr>
          <w:rFonts w:ascii="arial" w:eastAsia="arial" w:hAnsi="arial" w:cs="arial"/>
          <w:color w:val="000000"/>
          <w:sz w:val="20"/>
          <w:lang w:val="en-US" w:eastAsia="en-US" w:bidi="ar-SA"/>
        </w:rPr>
        <w:t xml:space="preserve"> at para 12, "there is a limit to the extent that the court can go in assessing credibility based only on affidavit evidence." Consequently, I find the application is not suitable for disposition under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As I am not making any dispositive order concerning the claim against Dr. Brady and S.C. Brady, M.D. Ltd., I shall not comment on nor make findings regarding the expert witness reports challenged in counsel's submissions. Those issues are best reserved for the trial judge.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Quite a different result occurs with the application by Cambie Surgeries Corporation ("Cambie"). The plaintiff called no evidence concerning the standard of care of a hospital or surgical care facility nor any evidence of a breach of a standard of care. Without such evidence, an action based on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succeed as a matter of law. (</w:t>
      </w:r>
      <w:r>
        <w:rPr>
          <w:rFonts w:ascii="arial" w:eastAsia="arial" w:hAnsi="arial" w:cs="arial"/>
          <w:i/>
          <w:color w:val="000000"/>
          <w:sz w:val="20"/>
          <w:lang w:val="en-US" w:eastAsia="en-US" w:bidi="ar-SA"/>
        </w:rPr>
        <w:t>Crnkovic v. Stockdill</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at para 68; and </w:t>
      </w:r>
      <w:r>
        <w:rPr>
          <w:rFonts w:ascii="arial" w:eastAsia="arial" w:hAnsi="arial" w:cs="arial"/>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at paras 41,46).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only evidence before the Court was that Dr. Brady was an independent contractor, not an employee, agent, or servant of Cambie (See Affidavit of Lorraine Varner sworn 28 January 2013, paragraph 8). Cambie is a non-hospital medical/surgical facility accredited by the College of Physicians and Surgeons of British Columbia ("the College") pursuant to the </w:t>
      </w:r>
      <w:r>
        <w:rPr>
          <w:rFonts w:ascii="arial" w:eastAsia="arial" w:hAnsi="arial" w:cs="arial"/>
          <w:i/>
          <w:color w:val="000000"/>
          <w:sz w:val="20"/>
          <w:lang w:val="en-US" w:eastAsia="en-US" w:bidi="ar-SA"/>
        </w:rPr>
        <w:t>Health Professions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183</w:t>
      </w:r>
      <w:r>
        <w:rPr>
          <w:rFonts w:ascii="arial" w:eastAsia="arial" w:hAnsi="arial" w:cs="arial"/>
          <w:color w:val="000000"/>
          <w:sz w:val="20"/>
          <w:lang w:val="en-US" w:eastAsia="en-US" w:bidi="ar-SA"/>
        </w:rPr>
        <w:t xml:space="preserve">. The surgical procedures Dr. Brady performed on Mr. Cupo are procedures approved by the College's Non-Hospital Medical and Surgical Facilities Program. On the evidence, I also find that Cambie did not offer any advice, recommendation, or diagnosis to the plaintiff concerning his proposed facial surgery. Cambie did not charge the plaintiff any fees, and no contract was established between Cambie and the plaintiff. The law is well established that hospitals are not liable for doctor's conduct when the doctors are not hospital employees. Cambie relied on cases such as </w:t>
      </w:r>
      <w:r>
        <w:rPr>
          <w:rFonts w:ascii="arial" w:eastAsia="arial" w:hAnsi="arial" w:cs="arial"/>
          <w:i/>
          <w:color w:val="000000"/>
          <w:sz w:val="20"/>
          <w:lang w:val="en-US" w:eastAsia="en-US" w:bidi="ar-SA"/>
        </w:rPr>
        <w:t>Stoffman v. Vancouver General Hospital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[1990] 3 S.C.R. 483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Bacher v. Obar</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[1993] O.J. No. 3578</w:t>
        </w:r>
      </w:hyperlink>
      <w:r>
        <w:rPr>
          <w:rFonts w:ascii="arial" w:eastAsia="arial" w:hAnsi="arial" w:cs="arial"/>
          <w:color w:val="000000"/>
          <w:sz w:val="20"/>
          <w:lang w:val="en-US" w:eastAsia="en-US" w:bidi="ar-SA"/>
        </w:rPr>
        <w:t xml:space="preserve"> aff'd </w:t>
      </w:r>
      <w:r>
        <w:rPr>
          <w:rFonts w:ascii="arial" w:eastAsia="arial" w:hAnsi="arial" w:cs="arial"/>
          <w:i/>
          <w:color w:val="000000"/>
          <w:sz w:val="20"/>
          <w:lang w:val="en-US" w:eastAsia="en-US" w:bidi="ar-SA"/>
        </w:rPr>
        <w:t>Bacher v. Obar</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[1989] O.J. No. 1392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Markowa v. Adamson Cosmetic Facial Surgery Inc.</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2012 ONSC 1012</w:t>
        </w:r>
      </w:hyperlink>
      <w:r>
        <w:rPr>
          <w:rFonts w:ascii="arial" w:eastAsia="arial" w:hAnsi="arial" w:cs="arial"/>
          <w:color w:val="000000"/>
          <w:sz w:val="20"/>
          <w:lang w:val="en-US" w:eastAsia="en-US" w:bidi="ar-SA"/>
        </w:rPr>
        <w:t xml:space="preserve"> to demonstrate that hospitals are not liable for doctor's conduct when the doctors are not acting as hospital employees, and the hospital is not liable for the doctor's acts based on vicarious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Garcha argued that Cambie had a duty to ensure that Dr. Brady had the proper skill and credentials to perform the surgery. The defendant provided extensive evidence to demonstrate Dr. Brady's qualifications and expertise; this evidence was unchallenged. Counsel also submitted that Dr. Brady had an ownership interest in Cambie that gave rise to vicarious liability. But Mr. Cupo's counsel provided no case authorities supporting the concept that somehow shared ownership in a medical facility would lead to vicarious liability of that facility. That submission is without merit and would be completely inconsistent with the thrust of the cases noted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action Manlio Cupo brought against Cambie Surgeries Corporation is completely without merit or legal substance. It should not have been commenced. That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Cupo is responsible for the defendant Cambie Surgeries Corporation's costs, both for the entirety of the action and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therefore dismiss Dr. Brady and S.C. Brady, M.D. Ltd application, and I reserve this application's costs to the trial judge.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K.W. BALL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Davis v. Royal Bank of Canada, [2016] B.C.J. No. 2262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and September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S159791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Lou Davis, Plaintiff, and Royal Bank of Canada, Royal Bank of Canada, Sechelt Branch Manager Jennifer Lyon, Royal Lepage Sussex, Ruth Moore and John McKenzie and District of Sechelt,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jc w:val="both"/>
        <w:rPr>
          <w:rFonts w:ascii="arial" w:eastAsia="arial" w:hAnsi="arial" w:cs="arial"/>
          <w:sz w:val="20"/>
          <w:lang w:val="en-US" w:eastAsia="en-US" w:bidi="ar-SA"/>
        </w:rPr>
      </w:pPr>
      <w:bookmarkStart w:id="17" w:name="Counsel_4"/>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self- represented: Mary Lou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District of Sechelt: S. Morishita.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4"/>
      <w:bookmarkEnd w:id="18"/>
      <w:r>
        <w:pict>
          <v:line id="_x0000_s1043"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T.M. McEWAN J."/>
            <w:bookmarkEnd w:id="19"/>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from the District of Sechelt for failure to enforce its bylaws in relation to a property located at 5785 Trail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property was at all material times an unsightly mess owing to an accumulation of building materials and partially completed structures assembled by a resident of the property, one Brian Ross, the son of the actual owner, Yvonne Brennen, who lives in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owned a house adjacent to the Brennan property for several years. On January 22, 2014 the property went into foreclosure. On July 3, 2014 the Royal Bank obtained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in the amount of $310,189.68.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5, 2015 the Royal Bank obtained an order for 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October 15, 2015 Master Muir approved a sale for $346,200. There was a deficiency of $17,406 relating to the mortgage balance and other expenditures (including property tax arrears) incurred by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sale the tax assessment on the property was $463,000.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lost possession of the property on November 13, 2015. On November 24, 2015 the plaintiff filed a claim (subsequently amended on April 20, 2016) against the Royal Bank, Royal Lepage Sussex, a realtor and two of its agents and the District of Sechelt.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2, 2016, Silverman J. of this Court dismissed the claims against all the defendants except for the District of Sechelt. In ruling that the pleadings gave rise to a viable issue Silverman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In my view, the pleadings do reveal a triable issue. The entirety of the Statement of Facts portion of the pleadings that refers to this issue is found in paragraphs 35 and 36. I will read paragraph 35 in its entirety where it says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home was devalued $150,000 due to home next to my where owner lived and never built. The plaintiff filed a complaint with the District of Sechelt who did not take the matter seriously causing a loss to my home. There are a number of complaints with the District of Sechelt with other surrounding neighbours.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District of Sechelt was negligent on not following the Nuisances Act (Tort of Nuisance) which caused the plaintiff home to be devalued.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Bylaw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the entirety of paragraph 35. I will not read paragraph 36 which essentially deals with consequences that flowed from the allegations that Sechelt had not done what was required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bylaw that may be applicable here - and I am indebted to counsel for the District in assisting me in this regard - is the Property Maintenance Bylaw. I will read portions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Section 2, with the heading "Prohibitions" says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owner or occupier of real property shall cause or permit: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 garbage, or other noxious, offensive, or unwholesome material to accumulate on such real property or in any buildings or structures located on such real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unsightly conditions to exist on such real property or in any buildings or structures located on such real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am now going to section 3 "Removal Required":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owner and occupier of real property shall remove, or cause to be removed, from such real property and from any buildings or structures located on such real property all: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accumulations of refuse, garbage, or other noxious, offensive, or unwholesome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Section 4, "Non-compliance":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event the owner or occupier of real property fails to comply with section 3 of this bylaw, and the owner or occupier of such real property has been given an opportunity to appear before Council to be heard in respect of such failure, the District of Sechelt may, by its own officers and employees or other persons, carry out the work necessary to comply with section 3 of this bylaw at the expense of the owner or occupier, and the District of Sechelt may recover the costs of undertaking such work either as a debt against the person in default or in the same manner and with the same remedies as property taxes.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significance of (4) "Non-compliance" for these purposes, and perhaps for trial purposes, are found in the use of the word "may." It is clear that the District does not have to do what a person such as the plaintiff asked them to do, apparently, in this case. However, they have a discretion to do it. Again, I am indebted to counsel who points out to me that failure to comply with that discretion, even if damages do not flow from that, likely does not give rise to a cause of action in the absence of some evidence of bad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that regard, I refer to the comments of my brother Burnyeat in </w:t>
      </w:r>
      <w:r>
        <w:rPr>
          <w:rFonts w:ascii="arial" w:eastAsia="arial" w:hAnsi="arial" w:cs="arial"/>
          <w:i/>
          <w:color w:val="000000"/>
          <w:sz w:val="20"/>
          <w:lang w:val="en-US" w:eastAsia="en-US" w:bidi="ar-SA"/>
        </w:rPr>
        <w:t>Burke v. Sunshine Coast,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[2011] B.C.J. No. 2281</w:t>
        </w:r>
      </w:hyperlink>
      <w:r>
        <w:rPr>
          <w:rFonts w:ascii="arial" w:eastAsia="arial" w:hAnsi="arial" w:cs="arial"/>
          <w:color w:val="000000"/>
          <w:sz w:val="20"/>
          <w:lang w:val="en-US" w:eastAsia="en-US" w:bidi="ar-SA"/>
        </w:rPr>
        <w:t xml:space="preserve"> where he says this in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reviewing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which governs the District, I am satisfied that the Court cannot require the enforcement of a bylaw of the District. Reviewing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the District may make bylaws (s. 260), may establish penalties (s. 263), and may enjoin an action after a conviction has been entered (s. 263(1)). However, there is no requirement that the District do any of those acts. The provisions are permissive. In the absence of a requirement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that the District undertake a particular action, the Court is not in a position to require them to do so. Rather, it is left in the discretion of the District to decide whether they are going to enact a bylaw. After a bylaw has been enacted, it is within the discretion of the District as to whether they will prosecute under that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If that were all there was to it, then this application by the District would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However, in paragraph 14 of the same decision Judge Burnyeat says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Whether the action of Mr. Burke was commenced by petition or whether the matter was more appropriately and properly commenced by way of a Notice of Civil Claim, there is no cause of action available against the District for its alleged refusal to enforce Bylaw 310, for its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refusing to do so, or for its alleged negligent enforcement. It was up to the District to decide whether or not the evidence before it justified a prosecution, justified seeking injunctive relief, or justified entering onto the property as it could under Bylaw 303. </w:t>
      </w:r>
      <w:r>
        <w:rPr>
          <w:rFonts w:ascii="arial" w:eastAsia="arial" w:hAnsi="arial" w:cs="arial"/>
          <w:i/>
          <w:color w:val="000000"/>
          <w:sz w:val="20"/>
          <w:lang w:val="en-US" w:eastAsia="en-US" w:bidi="ar-SA"/>
        </w:rPr>
        <w:t>In the absence of evidence of bad faith, the Court cannot and should not interfere.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 am satisfied that in this case the issue of bad faith has been raised by the pleadings, noting again that they have been drafted by a non-lawyer.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Paragraph 35, which I have already quoted, of the statement of civil claim says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filed a complaint with the District of Sechelt who did not take the matter seriously causing a loss to my home. There are a number of complaints with the District of Sechelt with other surrounding neighbours.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 am satisfied that the foregoing raises the issue of bad faith sufficiently to defeat an application for summary dismissal. It is sufficient to entitle the plaintiff to explore the potential evidence through the usual discovery procedures which precede a trial in order to determine whether or not the basis for this claim does in fact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the proposition of law set out in Silverman J.'s decision. By-law enforcement is discretionary unless there is bad faith in the exercise of that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accept, as well, that a useful working definition of "bad faith" is found in </w:t>
      </w:r>
      <w:r>
        <w:rPr>
          <w:rFonts w:ascii="arial" w:eastAsia="arial" w:hAnsi="arial" w:cs="arial"/>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[1995] B.C.J. No. 1763</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10 B.C.L.R. (3d) 121</w:t>
        </w:r>
      </w:hyperlink>
      <w:r>
        <w:rPr>
          <w:rFonts w:ascii="arial" w:eastAsia="arial" w:hAnsi="arial" w:cs="arial"/>
          <w:color w:val="000000"/>
          <w:sz w:val="20"/>
          <w:lang w:val="en-US" w:eastAsia="en-US" w:bidi="ar-SA"/>
        </w:rPr>
        <w:t xml:space="preserve"> (C.A.) where Finch J.A. (as he then was)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The words bad faith have been used in municipal and administrative case law to cover a wide range of conduct in the exercise of legislatively delegated authority. Bad faith has been held to include dishonesty, fraud, bias, conflict of interest, discrimination, abuse of power, corruption, oppression, unfairness, and conduct that is unreasonable. The words have also been held to include conduct based on an improper motive, or undertaken for an improper, indirect or ulterior purpose. In all these senses, bad faith describes the exercise of delegated authority that is illegal, and renders the consequential act void. And in all these senses bad faith must be proven by evidence of illegal conduct, adequate to support the finding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Bad faith, however, is also used to describe the exercise of power by an administrative body, that is beyond the scope or the ambit of the powers delegated to that body by the legislature. In those cases the exercise of powers is sometimes described as unauthorized, or beyond the scope, or outside the limit of the delegated power. It is an act that is ultra vires. Frequently, allegations of bad faith include both the aspect of illegality in the first sense, and in the sense of ultra vires. To the extent that the allegation focuses on the way the delegated power was exercised, or on the conduct of the administrative body, there is an issue of fact. In those cases where powers are said to have been exceeded, however, there is another issue. That is the scope, or the amplitude, of the powers delegated by the legislature. That issue invariably requires an interpretation of the empowering statutes, and that raises an issue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pleads that the District of Sechelt did not take her complaint of the mess next door "seriously". This is not quite correct. The bylaw enforcement officer who testified, Greg Horning, gave evidence of assiduous efforts since 2013 to try to get Mr. Ross to address the problems on the property. From October of 2013 to May of 2014, Mr. Horning estimates that he went to the property about 100 times, often visiting more than once in a day. He estimated that attempting to oblige Mr. Ross to clean up the property took about 20% of his working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were numerous complaints about the conditions of the property. In the fall of 2013 matters had reached the point where the fire chief considered the accumulation of building materials to be a fire hazard. The District issued a Remedial Action Requirement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Under the Remedial Action Requirement, the District Council declared that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had been contravened in the following ways: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Council considers the accumulation of building materials, plastic, Styrofoam blocks, wood, plywood, cardboard and other materials on the Property constitute a fire hazard and create an unsafe condition within the meaning of s. 73(2)(a) of the </w:t>
      </w:r>
      <w:r>
        <w:rPr>
          <w:rFonts w:ascii="arial" w:eastAsia="arial" w:hAnsi="arial" w:cs="arial"/>
          <w:i/>
          <w:color w:val="000000"/>
          <w:sz w:val="20"/>
          <w:lang w:val="en-US" w:eastAsia="en-US" w:bidi="ar-SA"/>
        </w:rPr>
        <w:t>Community Charter.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Council hereby declares the condition of the Property to be a nuisance within the meaning of s. 74 of the </w:t>
      </w:r>
      <w:r>
        <w:rPr>
          <w:rFonts w:ascii="arial" w:eastAsia="arial" w:hAnsi="arial" w:cs="arial"/>
          <w:i/>
          <w:color w:val="000000"/>
          <w:sz w:val="20"/>
          <w:lang w:val="en-US" w:eastAsia="en-US" w:bidi="ar-SA"/>
        </w:rPr>
        <w:t>Community Charter.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camper located on the Property contravenes the District of Sechelt Building Bylaw No. 409, 2003 and Council considers that it creates an unsafe condition within the meaning of s. 73(2) (a) of the C</w:t>
      </w:r>
      <w:r>
        <w:rPr>
          <w:rFonts w:ascii="arial" w:eastAsia="arial" w:hAnsi="arial" w:cs="arial"/>
          <w:i/>
          <w:color w:val="000000"/>
          <w:sz w:val="20"/>
          <w:lang w:val="en-US" w:eastAsia="en-US" w:bidi="ar-SA"/>
        </w:rPr>
        <w:t>ommunity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following remedial steps were required:</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pursuant to its remedial action powers under Part 3, Division 12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Council hereby requires the owner of the Property, Yvonne Brennan of 807-21 Clayton Drive, Winnipeg MB to:</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camper and building materials, plastic, Styrofoam blocks, wood, plywood, cardboard, miscellaneous materials and unsightly debris from the Property and properly dispose of these items;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Council considers that there is a significant risk to health or safety if action is not taken earlier, that this must be completed no later than 21 days after notice of this remedial action requirement has been given pursuant to s. 77 of the </w:t>
      </w:r>
      <w:r>
        <w:rPr>
          <w:rFonts w:ascii="arial" w:eastAsia="arial" w:hAnsi="arial" w:cs="arial"/>
          <w:i/>
          <w:color w:val="000000"/>
          <w:sz w:val="20"/>
          <w:lang w:val="en-US" w:eastAsia="en-US" w:bidi="ar-SA"/>
        </w:rPr>
        <w:t>Community Charter.</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District shall provide notice of this remedial action requirement to the persons entitled to notice under s. 77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including a copy of this resolution.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District shall notify the persons entitled to notice under s. 77(1)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that they may request that Council reconsider the remedial action requirement pursuant to s. 78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by providing the District's Corporate Officer written notice within 7 days of the date on which notice under s. 77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was sent.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if any or all of the actions in paragraph 4 of this remedial action requirement are not completed by the date set out above, the District may undertake any or all of the actions required by this remedial action requirement at the expense of the owner, Yvonne Brennan of 807-2 Clayton Drive, Winnipeg MB, as authorized by s. 17(1) and 77(3)(b) of the </w:t>
      </w:r>
      <w:r>
        <w:rPr>
          <w:rFonts w:ascii="arial" w:eastAsia="arial" w:hAnsi="arial" w:cs="arial"/>
          <w:i/>
          <w:color w:val="000000"/>
          <w:sz w:val="20"/>
          <w:lang w:val="en-US" w:eastAsia="en-US" w:bidi="ar-SA"/>
        </w:rPr>
        <w:t>Community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Horning's efforts in the fall of 2013 and the spring of 2014, as it relates to the property, were to seek to enforce compliance with the Remedial Action Requirement. By April 2014, the District was not satisfied with the progress that had been made and the District stepped in and started cleaning up the property. After one day of this Mr. Ross stepped up his own efforts and the District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May of 2014 the District felt that Mr. Ross had met the Remedial Action Requirement because the property no longer constituted a fire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16, 2015 another neighbour, Robert Janz complained about the property being unsightly. The condition of the property was documented and Mr. Horning wrote Ms. Brennan again. He also spoke to Mr.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July 15, 2015 the plaintiff contacted the District by e-mail notifying it of her potential claim that her property was being devaluated by the condition of the Ross/Brennan property. The District advised it was following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three more complaints in 2016. By that time, 30 bylaw infraction tickets had been issued. All five complaints remain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the District's position that it does not have the authority to pass or attempt to enforce a new Remedial Action Requirement because the property no longer presents a fire hazard. It has sought legal advice about an injunction but it has not been encouraged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another factor and that is that Mr. Ross has a disability arising from a brain injury suffered in a car accident. At one time he had a "health advocate" corresponding with the District who accused the District of "bullying and harassment". She said this had a debilitating effect on Mr. Ross. This introduced an element of balancing to the considerations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Having reviewed the evidence, it cannot really be said that the District did not take the matter seriously. It expended considerable time and effort to try to get the situation to improve. It took advice on its options and never did see a way to do something more decisive. The context involved a balance between individual property rights and the rights of members of the community to the standards set out in the bylaw. The District was always walking a line between what it was authorized to do, and what would amount to actions in excess of its authority. All of its activities in this regard were undertaken in the valid exercise of its objectives, disappointing as those efforts were to the plaintiff. There was, however, nothing in the behaviour of the District that could be described as bad faith. On that basis the plaintiff's claims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should add, that if I am wrong about bad faith, the plaintiff's theory of damages is untenable. The BC Assessment value of the property was $463,000. The property had been appraised twice, once by a Shawn Phillips at the request of RBC, which came in at $300,000 on May of 2015, and once by a Lynnis Roundeau in June of 2015, which came in at $324,000. In the foreclosure the property ultimately sold for $346,200. The measure of damages the plaintiff seeks is the difference between the BC Assessment value and the price the property sold for $463,000 - $346,200 or $116,800.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evidence as to the reliability of the BC Assessment figure as a measure of market value, which may well vary from an assessment made on a cost or intrinsic basis. Mr. Phillip's appraisal of market value did note that the unsightliness of 5785 Trail Avenue detracted from the value of the plaintiff's property but he offered no estimate of the reduction he would apply. The matter is further complicated by the fact that his estimate of value was $46,000 less than the price the property ultimately attracted in the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submits that even if damages could be proved, the plaintiff has not been able to demonstrate that any act or omission on the part of the District caused any damage. The first formal notice the District had of the plaintiff's concerns was about three months before the final sale. The defendant submits that it is unlikely, even if, to that point, it had acted in bad faith, it could have done anything substantive about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claims punitive damages. There is no basis for such a claim inasmuch as I have found that the defendant's dealing with the situation was undertaken in good faith and approached as a matter of balancing the interests of Mr. Ross and the plaintiff (and others who were concerned), within what the defendant understood to be the constraints of law and practicality.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claim would, in any event, have failed for want of proof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Deo v. Vancouver School No. 39, [2014] B.C.J. No. 3083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J.S. Sigurdson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21-22, 2014.</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28,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S106826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3083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2364</w:t>
      </w:r>
    </w:p>
    <w:p>
      <w:pPr>
        <w:spacing w:before="120" w:line="260" w:lineRule="atLeast"/>
        <w:rPr>
          <w:lang w:val="en-US" w:eastAsia="en-US" w:bidi="ar-SA"/>
        </w:rPr>
      </w:pPr>
      <w:r>
        <w:rPr>
          <w:rFonts w:ascii="arial" w:eastAsia="arial" w:hAnsi="arial" w:cs="arial"/>
          <w:color w:val="000000"/>
          <w:sz w:val="20"/>
          <w:lang w:val="en-US" w:eastAsia="en-US" w:bidi="ar-SA"/>
        </w:rPr>
        <w:t>Between Isaac Deo, an infant, by his Litigation Guardian, Danny Deo, Plaintiff, and The Board of School Trustees of School District No. 39 (Vancouver), Kerri Wallin, Susan Nichols, John Doe, Jane Doe, and the City of Vancouver, Defendants, and Gyan Deo,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 paras.)</w:t>
      </w:r>
    </w:p>
    <w:p>
      <w:pPr>
        <w:jc w:val="both"/>
        <w:rPr>
          <w:lang w:val="en-US" w:eastAsia="en-US" w:bidi="ar-SA"/>
        </w:rPr>
      </w:pPr>
      <w:bookmarkStart w:id="20" w:name="Counsel_5"/>
      <w:bookmarkEnd w:id="2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5" style="position:absolute;z-index:2516654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Paul D. Warnett.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Adam Howden-Duke.</w:t>
      </w:r>
      <w:r>
        <w:rPr>
          <w:lang w:val="en-US" w:eastAsia="en-US" w:bidi="ar-SA"/>
        </w:rPr>
        <w:cr/>
      </w:r>
    </w:p>
    <w:p>
      <w:pPr>
        <w:spacing w:after="240"/>
        <w:rPr>
          <w:lang w:val="en-US" w:eastAsia="en-US" w:bidi="ar-SA"/>
        </w:rPr>
      </w:pPr>
      <w:bookmarkStart w:id="21" w:name="Judgment_5"/>
      <w:bookmarkEnd w:id="21"/>
      <w:r>
        <w:pict>
          <v:line id="_x0000_s1046" style="position:absolute;z-index:2517166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 w:name="J.S. SIGURDSON J. (orally)"/>
            <w:bookmarkEnd w:id="22"/>
            <w:r>
              <w:rPr>
                <w:rFonts w:ascii="arial" w:eastAsia="arial" w:hAnsi="arial" w:cs="arial"/>
                <w:b/>
                <w:color w:val="000000"/>
                <w:sz w:val="30"/>
                <w:lang w:val="en-US" w:eastAsia="en-US" w:bidi="ar-SA"/>
              </w:rPr>
              <w:t>J.S. SIGURDSON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Isaac Deo, was involved in an accident on April 21, 2010, when he suffered a serious eye injury during the lunch hour on the school grounds at Nootka Elementary school in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was dismissed against the City of Vancouver by consent, as the accident occurred on School Board as opposed to City of Vancouver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Howden-Duke, counsel for the remaining defendants (the School Board, Kerri Wallin, and Susan Nichols), applies under Rule 9-7 for summary judgment to have the action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initial issue is whether the questions of liability and quantum of damages should be separated. I think that severance should be ordered, and I find that considering the principles in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severance is appropriate, given that damages is a distinct issue that arises only upon a finding of liability, and the medical and other evidence relating to the extent of the plaintiff's eye injury and its potential impact on his life have not been fully developed. I also think that severance of liability and damages has a potential for significant savings, in terms of the time and cost of this litigation and will likely increase the possibility of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turn to the issue of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counsel, Mr. Hallen, argues that the case is not suitable for summary trial determination in that it would be unjust to decide the issues on the application and because of gaps in the evidence, the Court, on the whole of the evidence on the application, is unable to find the facts necessary to decide the issues of fact or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Howden-Duke disagrees and seeks dismissal of the claim upon summary trial and, relying 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argues that the Court can find the facts to determine the issues of liability in this trial, and that it is just to decide the issue. The plaintiff, on the other hand, in the alternative if the case is suitable for summary trial, seeks judgment on liability on the issue of a failure to properly supervise.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in the school ground when the infant plaintiff, Isaac Deo, then seven years of age, went from a sandpit over to an area of the school ground near a tree where three girls of about the same age were playing, and during that play or activity, a branch of the tree apparently was pulled back and released and whipped and struck the eye of the plaintiff, causing serious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claim is brought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a breach of the duty of care to reasonably supervise the plaintiff child. Many of the submissions of counsel on the application concerned the issue of supervision. By way of introduction to the issue of suitability of this case for a summary trial, I refer to the standard of care described by Finch J.A., as he then was, in </w:t>
      </w:r>
      <w:r>
        <w:rPr>
          <w:rFonts w:ascii="arial" w:eastAsia="arial" w:hAnsi="arial" w:cs="arial"/>
          <w:i/>
          <w:color w:val="000000"/>
          <w:sz w:val="20"/>
          <w:lang w:val="en-US" w:eastAsia="en-US" w:bidi="ar-SA"/>
        </w:rPr>
        <w:t>Hentze (Guardian ad litem of) v. Campbell River School District No. 72</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(1994), 49 B.C.A.C. 241</w:t>
        </w:r>
      </w:hyperlink>
      <w:r>
        <w:rPr>
          <w:rFonts w:ascii="arial" w:eastAsia="arial" w:hAnsi="arial" w:cs="arial"/>
          <w:color w:val="000000"/>
          <w:sz w:val="20"/>
          <w:lang w:val="en-US" w:eastAsia="en-US" w:bidi="ar-SA"/>
        </w:rPr>
        <w:t>, at paras. 14-15: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law does not, of course, require that school authorities keep students under constant supervision at all times. The standard is that of the reasonably careful and prudent parent. How the standard is to be applied in any given case will depend upon many factors, including the nature and size of the area to be supervised, the number and ages of the students involved, and the nature of the activity or activities that are in progress.</w:t>
      </w:r>
    </w:p>
    <w:p>
      <w:pPr>
        <w:spacing w:before="120" w:line="260" w:lineRule="atLeast"/>
        <w:ind w:left="720"/>
        <w:rPr>
          <w:lang w:val="en-US" w:eastAsia="en-US" w:bidi="ar-SA"/>
        </w:rPr>
      </w:pPr>
      <w:r>
        <w:rPr>
          <w:rFonts w:ascii="arial" w:eastAsia="arial" w:hAnsi="arial" w:cs="arial"/>
          <w:color w:val="000000"/>
          <w:sz w:val="20"/>
          <w:lang w:val="en-US" w:eastAsia="en-US" w:bidi="ar-SA"/>
        </w:rPr>
        <w:t>Having regard for all of the circumstances here, and for the appellant's own policies with respect to supervision, I am not persuaded that the learned trial judge erred in concluding that the appellant fell below the applicable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appears that the application of the standard of appropriate supervision and the issue of causation depend upon many factors, including the nature and size of the area to supervise, the ages of the children, the nature of the activity, and the nature of any risk from the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were apparently three supervisors in attendance that day, but none of them saw the accident or apparently were aware of it immediately upon it occurring.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say that the evidence shows that the accident was not reasonably foreseeable and was not in a category of a type of accident that was reasonably foreseeable, that the tree was not a danger, and supervision was reasonable and in accordance with school policy at the time. The grandmother of the plaintiff apparently was in the vicinity and had walked away from the area where the accident occurred shortly before it happened, something the defendant says indicates the activity of the girls and the young boy was not dangerous; but apparently after about five minutes she heard the child scream and took him to the school office where his father came and took his son to the doctor and then to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My decision on this application is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persuaded that it would be unjust to decide this case on a summary trial and on this summary trial I am unable to find the facts to determine 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My reasons for dismissing the summary trial application on this basis are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First, the injury to the boy was very serious and life altering. I think that, although not determinative, is one relevant factor or consideration for having the case determined by a full trial, particularly where facts are unclear, there are gaps in the evidence, and the facts may well be much clearer at trial. Those uncertain or incomplete factual areas include the nature of the interchange between the boy and the girls near the tree, the nature of the playing or activity at the tree, and any possible risks to a young person of the activity, the nature and degree of any supervision, and the reasons why the accident was not seen by the supervision that was undertaken by the three supervisors at the relevant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Secondly, and relevant to the aspects of the evidence that I have just mentioned, the plaintiff seeks to be able to cross-examine the three supervisors at trial. The plaintiff wishes to demonstrate that the supervision was inadequate and that with proper supervision the accident would have been avoided. The evidence of the supervisors is of course potentially very relevant, particularly given the defendants' position that there was no foreseeable risk of harm and the incident happened very quickly and could not have been avoided. The plaintiff challenges these propositions. The amount of time the boy played with the girls, whether the trees with young children playing was an activity that was risky, why, if adequate supervision was in place, the supervisors did not see the boy or become aware of the injury when it occurred are all largely factual and important questions that I find are relevant and not resolved or determinable on the state of the evidence on this summary trial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Defendants' counsel cites authority for the general proposition that to cross-examine an affiant (such as the supervisors on their affidavits) in chambers, even on a summary trial application, you must first introduce contradictory evidence. While that is generally true, I think that I must take into consideration that at a conventional trial the plaintiff could cross-examine the supervisors or call them as adverse witnesses and explore, by cross-examination, the numerous factual issues that are relevant to whether the duty to supervise was breached and caused the accident. In this case, there seem to be significant gaps as to what occurred, the precise nature of the activity undertaken that led to the injury, the nature of the supervision, the time period the activity was going on before the injury occurred, and, as such, I think it would be unjust to determine the case without cross-examination of the supervisors in the context of all of the evidence at a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Thirdly, the plaintiff objects to evidence that the defendants have filed on the basis that it is hearsay or evidence on information and belief, perhaps largely the same objection, and that objection is made because this is a final matter. While I would find this case not suitable for summary trial apart from this objection, it serves to highlight why I think this particular summary trial application is not appropriate. The evidence of the accident from the defendant was introduced by an affidavit from the principal, describing the activity as it was apparently reported to her by the three young girls. That is hearsay and I am not persuaded that the girls' evidence is admissible under the principled exception to the hearsay rule, as the defendant has not established the element of necessity.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only account of the accident then is the short affidavit of the young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Moreover, there were steps taken by the school to prune the tree after the accident occurred, and there appears to be some dispute in the evidence as to the reason for that, which again is another factor in the whole of the evidence that I determined could not be resolved justly on the summary trial. However, even absent that aspect, I would still find the case unsuitable for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these reasons, and in all the circumstances, I exercise my discretion and conclude that it is not appropriate to determine this case on a summary trial and the application is dismissed. I would also dismiss the alternate application by the plaintiff for judgment on the same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will be to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[After further submissions, the Court made an order for costs against the School Board in any event of the cause and costs in the cause with respect to the individual defendants. The defendants were given liberty to bring on a further summary trial application with respect to Ms. Wallin and Ms. Nichols.]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J.S. SIGURDSON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Exclusive Flor Sales Ltd. v. Fipke, [2010] B.C.J. No. 2142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26-30, May 3, 4, 6, 2010;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September 21 and 29,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S86306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2142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1551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C.L.R. (3d) 91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2943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194 A.C.W.S. (3d) 388</w:t>
      </w:r>
    </w:p>
    <w:p>
      <w:pPr>
        <w:spacing w:before="120" w:line="260" w:lineRule="atLeast"/>
        <w:rPr>
          <w:lang w:val="en-US" w:eastAsia="en-US" w:bidi="ar-SA"/>
        </w:rPr>
      </w:pPr>
      <w:r>
        <w:rPr>
          <w:rFonts w:ascii="arial" w:eastAsia="arial" w:hAnsi="arial" w:cs="arial"/>
          <w:color w:val="000000"/>
          <w:sz w:val="20"/>
          <w:lang w:val="en-US" w:eastAsia="en-US" w:bidi="ar-SA"/>
        </w:rPr>
        <w:t>Between Exclusive Flor Sales Limited, Plaintiff, and Mark Fipke,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 paras.)</w:t>
      </w:r>
    </w:p>
    <w:p>
      <w:pPr>
        <w:jc w:val="both"/>
        <w:rPr>
          <w:lang w:val="en-US" w:eastAsia="en-US" w:bidi="ar-SA"/>
        </w:rPr>
      </w:pPr>
      <w:bookmarkStart w:id="23" w:name="Counsel_6"/>
      <w:bookmarkEnd w:id="2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8" style="position:absolute;z-index:251666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J.M. Le Dressay.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T.M. Tomchak, E. Goodman.</w:t>
      </w:r>
      <w:r>
        <w:rPr>
          <w:lang w:val="en-US" w:eastAsia="en-US" w:bidi="ar-SA"/>
        </w:rPr>
        <w:cr/>
      </w:r>
    </w:p>
    <w:p>
      <w:pPr>
        <w:spacing w:after="240"/>
        <w:rPr>
          <w:lang w:val="en-US" w:eastAsia="en-US" w:bidi="ar-SA"/>
        </w:rPr>
      </w:pPr>
      <w:bookmarkStart w:id="24" w:name="Judgment_6"/>
      <w:bookmarkEnd w:id="24"/>
      <w:r>
        <w:pict>
          <v:line id="_x0000_s1049" style="position:absolute;z-index:2517176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 on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 w:name="A. SAUNDERS J."/>
            <w:bookmarkEnd w:id="25"/>
            <w:r>
              <w:rPr>
                <w:rFonts w:ascii="arial" w:eastAsia="arial" w:hAnsi="arial" w:cs="arial"/>
                <w:b/>
                <w:color w:val="000000"/>
                <w:sz w:val="30"/>
                <w:lang w:val="en-US" w:eastAsia="en-US" w:bidi="ar-SA"/>
              </w:rPr>
              <w:t>A. SAUNDERS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sued for the sum of $18,422.25, alleged to be an amount left owing after performance of a construction contract, over and above the amount of the plaintiff's original quote. The defendant counterclaimed for $93,935.81, alleging deficiencies which had necessitated the complete replacement of the plaintiff's work. Following an eight-day trial which commenced April 26, 2010, I awarded judgment for the plaintiff in the amount of $10,236.23, and I dismissed the counterclaim.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a letter dated April 15, 2010, the plaintiff had offered to settle by way of mutual abandonment of the claim and counterclaim, without costs, and the mutual execution of general releases. That offer was not accepted.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an award of double costs for all steps taken after April 15, 2010, pursuant to subrule 9-1(5). At the time the statement of claim was filed, the monetary jurisdiction of the Provincial Court was $10,000; the limit was not raised to $25,000 until September 1, 2005. The counterclaim, of course, far exceeded the current small claims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first position, citing </w:t>
      </w:r>
      <w:r>
        <w:rPr>
          <w:rFonts w:ascii="arial" w:eastAsia="arial" w:hAnsi="arial" w:cs="arial"/>
          <w:i/>
          <w:color w:val="000000"/>
          <w:sz w:val="20"/>
          <w:lang w:val="en-US" w:eastAsia="en-US" w:bidi="ar-SA"/>
        </w:rPr>
        <w:t>Coquitlam (City) v. Crawford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2008 BCSC 1507</w:t>
        </w:r>
      </w:hyperlink>
      <w:r>
        <w:rPr>
          <w:rFonts w:ascii="arial" w:eastAsia="arial" w:hAnsi="arial" w:cs="arial"/>
          <w:color w:val="000000"/>
          <w:sz w:val="20"/>
          <w:lang w:val="en-US" w:eastAsia="en-US" w:bidi="ar-SA"/>
        </w:rPr>
        <w:t>, is that nominal offers should not normally be viewed as sufficient to support an award of double costs. In that case, the offer to settle conveyed by the respondent to the petitioner was for settlement on the basis of a waiver of costs only, and conferred no other benefit on the petitioner. In the present case, the plaintiff was offering to waive its entitlement to an award of monetary damages. In no sense of the word was this a "nominal" offer.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Second, the defendant points to the evidence of the plaintiff's culpability. The plaintiff, however, says that the inherent weakness of the counterclaim was exposed through the examination for discovery of the defendant, when the defendant admitted that he had been warned by the plaintiff's tile installer Mr. Hutt of the absence of expansion joints in the tile. The defendant, in his submission, says that he was only notified by the plaintiff of the absence of expansion joints at the completion of the project, and prior to this had expected that all required work would be performed by the plaintiff. Hence, the defendant says that his failure to take action after the warning by Mr. Hutt was reasonably perceived as giving rise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in respect of the counterclaim. There are two problems with this position. One is that the absence of the expansion joint ought to have been known - and, as I have found, was in fact known - by the defendant's project manager Mr. Heinrichs, who was acting on the defendant's behalf. And, while expansion joints were "required" in order that the defendant would have a properly functioning deck, they were not contractually required of the plaintiff. The defendant had contractually required the previous tile installation contractor to install expansion joints, but made no such request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points to other aspects of his case, including his interpretation of the case law and his reliance on an expert opinion. The weaknesses of all of these positions are addressed in the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my view, the defendant ought to have settled this case on the best terms available following examinations for discovery, and the offer to settle was one that ought reasonably to have been accepted when made. The terms offered to the defendant were better for the defendant than the ultimate result. I also note that there is no evidence before me of a counter-offer or any other willingness on the part of the defendant to compromise his counterclaim.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letter setting out the plaintiff's offer was dated April 15, 2010. There is no evidence before me as to the date it was actually delivered. I award the plaintiff double costs of all steps taken in the proceeding from April 22, 2010.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 SAUNDERS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Foote v. Hallen, [2014] B.C.J. No. 578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1342791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Foote and Elly Foote, Raya Leith, Naomi Davidsen, Conchita Foote, Plaintiffs, and Manjot S. Hallen, Mark Lyons, Partner, Klein Lyons LLP, David Klein, Partner, Klein Lyons LLP, Klein Lyons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jc w:val="both"/>
        <w:rPr>
          <w:rFonts w:ascii="arial" w:eastAsia="arial" w:hAnsi="arial" w:cs="arial"/>
          <w:sz w:val="20"/>
          <w:lang w:val="en-US" w:eastAsia="en-US" w:bidi="ar-SA"/>
        </w:rPr>
      </w:pPr>
      <w:bookmarkStart w:id="26" w:name="Counsel_7"/>
      <w:bookmarkEnd w:id="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Nathan and Elly Foote, appeared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Corbett, As Agent.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7"/>
      <w:bookmarkEnd w:id="27"/>
      <w:r>
        <w:pict>
          <v:line id="_x0000_s1052"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R.S. TINDALE J."/>
            <w:bookmarkEnd w:id="28"/>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an order pursuant to Rule 9-5 (1)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the plaintiffs' claim be struck as disclosing no reasonable cause of action. The defendants' basis for this application is that the impugned actions were taken in the course of judicial proceedings and on an occasion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opposed to this application. They are self represented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are the lawyers for Miranda Lorraine Knight in a personal injury action commenced by Ms. Knight in the Supreme Court of British Columbia out of the Vancouver Registry ("the Knight action"). The plaintiffs in this action are the defendants in the Knight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Knight action is still before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filed their Notice of Civil Claim in this action on April 15, 2013. They seek damages against the defendants for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process and what appears to be a claim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filed their Response to Civil Claim on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argue that all of the actions complained of by the plaintiffs were taken in the pursuit of the Knight action. They argue that all of these actions were done on an occasion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argue that the only material fact pled in the Notice of Civil Claim is at paragraph 6 of that document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negligently or maliciously in making a claim for permanent physical disability, concealing that in April 2008, Miranda Lorraine Knight was not disabled when she finished in the top forty per cent of her age category: Females 16-18 in the 10 km Vancouver Run in a time of 1 hour, 15 minutes and 58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argue that the other statement of facts pled in the Notice of Civil Claim are conclusions of law and not sufficient to support the claims made by the plaintiffs. The defendants also argue that they do not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main argument however is that all of the actions taken in the Knight action are on occasion of absolute privilege and therefore the entire Notice of Civil Claim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argue that the plaintiffs' action is a collateral attack on the Knight action. They argue that the plaintiffs' proper course if successful in the Knight action would be to seek costs against Ms. Knight, her lawyers or to seek remedies from the Law Society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argue that there is no basis for the Knight action. The plaintiffs point to the fact that the Knight action was not commence until five years after the accident occurred. They also note that no accident report or report to the Insurance Corporation of British Columbia was made. I will note that Ms. Knight was a minor at the time of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argue that the doctrine of absolute privilege as a shield for lawyers is frightening. They further argue that the defendants owe a duty of care to the general public not to bring frivolous actions. They point to the fact that they are members of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view is that the defendants are the adults whereas Ms. Knight is a young lady therefore the defendants are responsible for the actions taken in the Knight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argue that a basic premise is that lawyers must act ethically and not be "gossip mongers". The plaintiffs argue that how lawyers conduct themselves in litigation is an important point and if need be they should be given the opportunity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9-5 (1) (a), (b) and (d)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Supreme Court of Canada considered the test for striking out a pleading in the decision of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court, at p. 15, stated the following regarding Rule 19 (24) of the British Columbia</w:t>
      </w:r>
      <w:r>
        <w:rPr>
          <w:rFonts w:ascii="arial" w:eastAsia="arial" w:hAnsi="arial" w:cs="arial"/>
          <w:i/>
          <w:color w:val="000000"/>
          <w:sz w:val="20"/>
          <w:lang w:val="en-US" w:eastAsia="en-US" w:bidi="ar-SA"/>
        </w:rPr>
        <w:t xml:space="preserve"> Rules of Court</w:t>
      </w:r>
      <w:r>
        <w:rPr>
          <w:rFonts w:ascii="arial" w:eastAsia="arial" w:hAnsi="arial" w:cs="arial"/>
          <w:color w:val="000000"/>
          <w:sz w:val="20"/>
          <w:lang w:val="en-US" w:eastAsia="en-US" w:bidi="ar-SA"/>
        </w:rPr>
        <w:t xml:space="preserve"> (now Rule 9 - 5):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 (24) (a)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R.S.C.O. 18, r.19: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 (24)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be relevant portions of a plaintiffs statement of claim be struck out under rule 19 (24)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burden on the party seeking to strike a claim is high. The question on this application is whether or not it is plain and obvious that the plaintiffs Notice of Civil Claim discloses no reasonable claim or is unnecessary, scandalous, frivolous or vexatious or 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Hamouth v. Smart Video Technologist Inc.</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2005 BCCA 172</w:t>
        </w:r>
      </w:hyperlink>
      <w:r>
        <w:rPr>
          <w:rFonts w:ascii="arial" w:eastAsia="arial" w:hAnsi="arial" w:cs="arial"/>
          <w:color w:val="000000"/>
          <w:sz w:val="20"/>
          <w:lang w:val="en-US" w:eastAsia="en-US" w:bidi="ar-SA"/>
        </w:rPr>
        <w:t>, considered whether absolute privilege arises in the context of a claim for defamation against lawyers arising out of a letter written by the law firm on behalf of its client. The court said this at paras. 2 and 3:</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dispute is whether the letter referred to in the statement of claim was written on an occasion of absolute privilege. There is no dispute that a lawyer is protected by absolute privilege regarding statements made in a court proceeding, and that the privilege extends to communications made in the course of inquiry with respect to or in preparation for judicial proceedings:...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no dispute that absolute privilege provides immunity against suit. If the alleged defamatory statement was made on an occasion of absolute privilege, the statement of claim may be struck out under Rule 19 (24) (a) as "it discloses no reasonable claim": see </w:t>
      </w:r>
      <w:r>
        <w:rPr>
          <w:rFonts w:ascii="arial" w:eastAsia="arial" w:hAnsi="arial" w:cs="arial"/>
          <w:i/>
          <w:color w:val="000000"/>
          <w:sz w:val="20"/>
          <w:lang w:val="en-US" w:eastAsia="en-US" w:bidi="ar-SA"/>
        </w:rPr>
        <w:t>Web Offset Publications</w:t>
      </w:r>
      <w:r>
        <w:rPr>
          <w:rFonts w:ascii="arial" w:eastAsia="arial" w:hAnsi="arial" w:cs="arial"/>
          <w:color w:val="000000"/>
          <w:sz w:val="20"/>
          <w:lang w:val="en-US" w:eastAsia="en-US" w:bidi="ar-SA"/>
        </w:rPr>
        <w:t xml:space="preserve"> at 803;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xml:space="preserve"> at para.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British Columbia Court of Appeal went on to explain the principles for granting absolute privilege to lawyers at paras. 37 and 38:</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Granting absolute privilege to lawyers when they act in the course of their duties to their clients is for the public benefit. It frees lawyers from fear that in advocating their client's cause they will be sued if what they say on behalf of a client is found not to be true. The principal was stated broadly by Brett, M.R., in </w:t>
      </w:r>
      <w:r>
        <w:rPr>
          <w:rFonts w:ascii="arial" w:eastAsia="arial" w:hAnsi="arial" w:cs="arial"/>
          <w:i/>
          <w:color w:val="000000"/>
          <w:sz w:val="20"/>
          <w:lang w:val="en-US" w:eastAsia="en-US" w:bidi="ar-SA"/>
        </w:rPr>
        <w:t>Munster v. Lamb</w:t>
      </w:r>
      <w:r>
        <w:rPr>
          <w:rFonts w:ascii="arial" w:eastAsia="arial" w:hAnsi="arial" w:cs="arial"/>
          <w:color w:val="000000"/>
          <w:sz w:val="20"/>
          <w:lang w:val="en-US" w:eastAsia="en-US" w:bidi="ar-SA"/>
        </w:rPr>
        <w:t xml:space="preserve"> (at pp. 603-04):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upon the grounds of public policy and free administration of the law the privilege be extended to judges and witnesses, although they speak maliciously and without reasonable or probable cause, is it not for the benefit of the administration of the law that counsel also should have an entirely free mind? Of the three classes - judge, witness, and counsel - it seems to me that a counsel has a special need to have his mind clear from all anxiety. A counsel's position is one of the utmost difficulty. He is not to speak of that which he knows; he is not called upon to consider, whether the facts with which he is dealing are true or false. What he has to do, is to argue as best he can, without degrading himself, in order to maintain the proposition which will carry with it either the protection or the remedy which he desires for his client. If amidst the difficulties of his position he were to be called upon during the heat of his argument to consider whether what he says is true or false, whether what he says is relevant or irrelevant, he would have his mind so embarrassed that he could not do the duty which he is called upon to perform. For, more than a judge, infinitely more than a witness, he wants protection on the ground of benefit to the public. The rule of law is that what is said in the course of the administration of the law, is privileged; and the reason of that rule covers a counsel even more than a judge or a witness. To my mind it is illogical to argue that the protection of privilege ought not to exist for a counsel who deliberately and maliciously slanders another person. The reason of the rule is, that a counsel, who is not malicious and who is acting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may not be in danger of having actions brought against him. If the rule of law were otherwise, the most innocent of counsel might be unrighteously harassed with suits, and therefore it is better to make the rule of law so large that an innocent counsel shall never be troubled, although by making it so large counsel are included who have been guilty of malice and misconduct.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was stated in more modern language in </w:t>
      </w:r>
      <w:r>
        <w:rPr>
          <w:rFonts w:ascii="arial" w:eastAsia="arial" w:hAnsi="arial" w:cs="arial"/>
          <w:i/>
          <w:color w:val="000000"/>
          <w:sz w:val="20"/>
          <w:lang w:val="en-US" w:eastAsia="en-US" w:bidi="ar-SA"/>
        </w:rPr>
        <w:t>Big Pond Communications 2000 Inc. v. Kennedy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(2004), 236 D.L.R. (4th) 727</w:t>
        </w:r>
      </w:hyperlink>
      <w:r>
        <w:rPr>
          <w:rFonts w:ascii="arial" w:eastAsia="arial" w:hAnsi="arial" w:cs="arial"/>
          <w:color w:val="000000"/>
          <w:sz w:val="20"/>
          <w:lang w:val="en-US" w:eastAsia="en-US" w:bidi="ar-SA"/>
        </w:rPr>
        <w:t xml:space="preserve"> at para. 19 (O.S.C.J.):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Counsel have a professional duty to pursue their client's interests, within the law, to the fullest extent possible. At times, a lawyer finds himself or herself advocating unpopular causes. Our system of justice depends upon courageous lawyers undertaking cases that may be distasteful to the public at large, and to the lawyer personally. Nonetheless, the Bar does so, often without thanks from society that does not appreciate the importance of this task. But it is this professional responsibility to argue the law that ensures our democratic freedoms continue. Our system of law would be rendered ineffectual if counsel were required to look behind them for fear of a lawsuit as a result of presenting his client's case. This is the mischief that the privilege seeks to prevent.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"elephant in the room" in this application is the fact that the Knight action is still ongoing. There has not been any judicial determination as to the merits of that case. The allegations made by the plaintiffs in their Notice of Civil Claim all relate to actions taken by the defendants on behalf of Ms. Knight in her lawsuit. The lawsuit brought by the plaintiffs is exactly the mischief that absolute privilege seeks to prevent.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do not owe a duty of care to the plaintiffs. There is no evidence or even submissions that there are any exceptional circumstances which would cause the defendants to owe a duty of care to the plaintiff's as discussed in the decision of this court in </w:t>
      </w:r>
      <w:r>
        <w:rPr>
          <w:rFonts w:ascii="arial" w:eastAsia="arial" w:hAnsi="arial" w:cs="arial"/>
          <w:i/>
          <w:color w:val="000000"/>
          <w:sz w:val="20"/>
          <w:lang w:val="en-US" w:eastAsia="en-US" w:bidi="ar-SA"/>
        </w:rPr>
        <w:t>Jensen v. Macgregor</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[1992] B.C.J. No. 467</w:t>
        </w:r>
      </w:hyperlink>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89 D.L.R. (4th) 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keeping in mind that the plaintiffs are self represented and that they have requested an opportunity to amend their pleadings. In my view however it is clear that this action relates to the steps taken by the defendants on behalf of their client in the Knight action. Absolute privilege will extend to any of the claims made by the plaintiffs against the defendants in relationship to the Knight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plain and obvious that there is no reasonable claim against the defendants. This litigation in my view is unnecessary, scandalous, frivolous, vexatious and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order that the plaintiffs' Notice of Civil Claim filed on April 15, 2013 be struck in its entirety pursuant to Rule 9-5 (1) of the Supreme Court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defendants have not asked for costs in their Notice of Application I will make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Gaida Estate v. McLeod, [2013] B.C.J. No. 1423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44507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Siegfried F. Gaida, as Executor of the Estate of Brenda Leah Gaida, Plaintiff, and Dr. Barrie Daniel McLeod, Dr. William Michael Lemiski, Dr. Frank Philip Ballauf, Dr. Glenn Francis Vaz, Vernon Jubilee Hospital, Interior Health Authority, John Doe #1, John Doe #2, John Doe #3, John Doe #4, John Doe #5 and John Doe #6,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jc w:val="both"/>
        <w:rPr>
          <w:rFonts w:ascii="arial" w:eastAsia="arial" w:hAnsi="arial" w:cs="arial"/>
          <w:sz w:val="20"/>
          <w:lang w:val="en-US" w:eastAsia="en-US" w:bidi="ar-SA"/>
        </w:rPr>
      </w:pPr>
      <w:bookmarkStart w:id="29" w:name="Counsel_8"/>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Saccomani, Q.C. and A. Price-Stephens.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McLeod, Lemiski, Ballauf, Vaz: C.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Vernon Jubilee Hospital and Interior Health Authority: J. Cotter.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8"/>
      <w:bookmarkEnd w:id="30"/>
      <w:r>
        <w:pict>
          <v:line id="_x0000_s1055"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P.J. PEARLMAN J."/>
            <w:bookmarkEnd w:id="31"/>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Dr. Barrie Daniel McLeod, Dr. William Michael Lemiski, Dr. Frank Philip Ballauf and Dr. Glenn Francis Vaz (the "physicians") apply for a declaration that the parties have made a binding settlement agreement. The physicians' application is supported by the defendants Vernon Jubilee Hospital and Interior Health Authority (collectively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Siegfried F. Gaida is the executor of the estate of the late Brenda Leah Gaida. He brought this action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on his own behalf, on behalf of Brian Gaida, the deceased's husband of 21 years, and her children, Timothy, Reneé, Jamie and Joshua Gaida.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Timothy is now 22 years old, Reneé is 20, and the two minor children, Jamie and Joshua are respectively 17 and 13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Brian Gaida is a 48-year-old high school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say that the parties made a binding settlement when they agreed to settle the claim of all six claimants by payment of the global amount of $440,000, inclusive of costs and disbursements, confirmation that neither British Columbia nor Alberta would pursue health care costs recovery claims, execution of a release, and entry of a consent dismissal order. Specifically, the defendants submit that allocation of the settlement amount among each of the claimants is not an essential requirement to the formation of a binding settlement agreement regarding an action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opposes the defendants' application on two grounds. First, the plaintiff contends that the failure to allocate specific amounts of the settlement money to the two minor children renders the proposed settlement too uncertain and vague to be enforceable. Second, the plaintiff says that former counsel either misapprehended or defied instructions when he accepted the defendants' settlement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third ground raised in the plaintiff's application response, but not pursued on the hearing of this application was an allegation that former counsel for the claimants had pressured Mr. Brian Gaida into accepting the settlement through the exercise of undue influence or duress.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2007, while the Gaida family were vacationing in the Okanagan, Mrs. Brenda Gaida was admitted to the Vernon Jubilee Hospital for treatment of a non-life threatening inflammatory skin condition. During her hospitalization at Vernon, she received excessive doses of methotrexate. Over the course of her 16 day stay at Vernon Jubilee Hospital, Mrs. Gaida's condition deteriorated. She was ultimately transported by air ambulance, at Siegfried Gaida's expense, to a hospital in Edmonton, where she unfortunately passed away on October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Brenda Gaida was 40 years old when she died. She was a registered nurse, a full-time homemaker, and a devoted wife and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retained Mr. Paul Foisy to pursue a wrongful death action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on behalf of himself, Brian Gaida, and the four children. In this action, which commenced on July 21, 2009, the plaintiff claimed that the defendants' negligent care and treatment of the deceased caused her death by methotrexate brain toxicity. The plaintiff claimed damages for loss of past and future household services, loss of love, guidance and affection, loss of inheritance, special damages, pre-judgment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Liability is not in issue. The defendants admit that Brenda Gaida died as a result of methotrexate toxicity and that the medication was mistakenly given to her daily, rather than weekly.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Mr. Foisy was retained to act on behalf of all six claimants. Although Siegfried Gaida is the named plaintiff, at all material times Brian Gaida provided instructions to Mr. Foisy respecting the conduct and settlement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Bena Stock acted as counsel for the physicians and Mr. James Cotter represented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addition to the claim brought by the plaintiff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the parties also sought to resolve health care costs recovery claims in both British Columbia and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December 9, 2009, Mr. Foisy wrote to defence counsel proposing a settlement in the amount of $1,067,324.45. That amount included $700,000 for past and future loss of household services; $15,038.78 to reimburse Mr. Siegfried Gaida for the air ambulance expenses; $12,367.91 for funeral expenses; an award for the four children for loss of care, guidance and companionship totalling $120,000; $40,000 for the four children for loss of inheritance; and $85,000 to compensate Brian Gaida and the children for nervous shock. The balance of the proposed settlement amount consisted of interest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did not respond to Mr. Foisy's initial proposal until late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September 2011, the parties agreed to mediate and, ultimately, scheduled a mediation for January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December 12, 2011, the physicians and hospital made a settlement offer of $262,406 plus assessed costs and disbursements. The defendants provided a breakdown of their offer. For the purpose of the negotiations, the defendants were prepared to accept the plaintiff's proposal that the children receive $120,000 for loss of guidance, care and affection. The defendants also advised that they were prepared to accept the plaintiff's claim of $12,367.91 for funeral expenses and $15,038.78 for the expenses incurred by Siegfried Gaida in transporting Brenda Gaida by air from Vernon Hospital to Edmonton. The defendants' offer also included $10,000 for loss of inheritance for the children. The defendants rejected the plaintiff's claim on behalf of Brian Gaida and the children for nervous shock, but offered $105,000 for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offer was subject to approval by the B.C. Ministry of Health Services and was contingent upon the plaintiff signing a release and consent dismissal order. Any health care costs recovery claim of the Alberta Ministry of Health would be dealt with independently of the plaintiff's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15, 2011, Mr. Foisy made a counter-offer for $642,902.73 plus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21, 2011, the defendants made a counter-offer of $400,000 all inclusive, in exchange for a consent dismissal order, a release, and approval by the British Columbia Ministry of Health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22, 2011, Mr. Foisy, on instructions from Mr. Brian Gaida, made a counter-offer of $465,000 including costs and disbursements. Mr. Foisy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client was a bit taken aback by the all-inclusive manner in which your figures were presented. The family is trying hard to understand the claim in its various aspects and is requesting a breakdown in your reply to this so they can be at peace with their decisions. I trust that you can understand that this settlement means a lot to them in terms of assisting with closure in Brenda's death and that they have not been able to achieve this as of yet. Having said that, they are prepared to make considerable concessions with respect to their position to try to resolve this matter. I have instructions to go back to you and Mrs. Stock with an all-inclusive figure of $465,000 with the main difference from our last position being in the difference in valuations between our experts, the claim for nervous shock which we agree is tenuous and any interest differential between this position and our last position resulting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4:07 p.m. on December 22, 2011, the defendants responded with a joint offer of $440,000 all-inclusive. In exchange, the defendants required a release and consent dismissal order. Their offer was subject to approval from the B.C. Ministry of Health Services respecting any potential health care costs recovery claim. The Alberta Health claim was to be settled separately. In response to the request for a breakdown of the settlement amount, Mr. Cotter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breakdown, I believe the main difference in our numbers relates to the valuation of the economic loss claimed as analyzed by our respective experts. We also differ in our views on the nervous shock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Mr. Cotter spoke of the valuation of economic loss as the main difference between the parties, he was referring to the different approaches of the parties' experts to the valuation of the claim for loss of past and future housekeeping services. There was no difference between the parties with respect to funeral expenses, the reimbursement of Siegfried Gaida's air ambulance expenses or the allocation of $120,000 to the four children for loss of care, guidance and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Foisy advised Brian Gaida of the defendants' offer of $440,000 and recommended its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Gaida had remarried in July 2011. Mr. Foisy advised Mr. Gaida that if the case went to mediation, disclosure of his recent remarriage would likely reduce the value of the claim for loss of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Between 7:49 p.m. and 8:50 p.m. on December 22, 2011, Mr. Foisy and Mr. Brian Gaida had three telephone conversations respecting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Gaida has deposed that during the first telephone call, which lasted about 15 minutes, Mr. Foisy strongly advised against going to mediation, and warned Mr. Gaida that if the offer was not accepted the claimants would likely receive less than $440,000. Mr. Gaida deposed that he urged Mr. Foisy to ask for more money and expressed his lack of understanding about how the claim could be reduced by hundreds of thousands of dollars in a matter of days. According to Mr. Gaida, when he suggested a counter offer of $450,000 Mr. Foisy told him opposing counsel would not agree, and reiterated that the claimants would likely get less than the amount of the defendants' offer if they went to mediation. Mr. Gaida's evidence is that ultimately he "just gave in" and told Mr. Foisy that he would accept the $440,000. After a brief discussion with Mr. Foisy about the fact that the Alberta Health costs recovery claim was still pending and needed to be resolved, Mr. Gaida terminated the call in order to assist in putting his young stepson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Gaida called Mr. Foisy back almost immediately. He expressed concerns about the potential Alberta Health Services claim and told Mr. Foisy he had lost confidence in the process. Mr. Foisy told Mr. Gaida that the proposed offer was more than reasonable in the circumstances and that once Mr. Gaida disclosed his remarriage, his claim would likely be reduced. According to Mr. Gaida, he told Mr. Foisy that he was prepared to attend the mediation and could live with the result. Mr. Gaida says he was highly agitated during this conversation, terminated the call after 29 minutes, and told Mr. Foisy he would call him back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approximately 8:42 p.m. on December 22, 2011, Mr. Gaida called Mr. Foisy again and asked him to confirm what Mr. Gaida would net at the end of the day. Mr. Gaida said that Mr. Foisy should make a counter-offer of $450,000. According to Mr. Gaida, during this conversation, Mr. Foisy offered to reduce his contingency fee so that the net settlement for the claimants would be equivalent to a global offer of $450,000. Mr. Gaida has deposed that Mr. Foisy told him that he would net $310,000 and would be in the same position as if an offer for $450,000 had been made and accepted. Mr. Foisy encouraged Mr. Gaida to trust him and to accept the offer on the basis that it was the best that could be negotiated in the circumstances. Mr. Gaida has sworn that he was exhausted from preparing and marking end of term exams, dealing with the pre-Christmas rush, and coping with his own children's emotional stress, and that he "relented to Mr. Foisy's urging".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Gaida's third telephone call with Mr. Foisy lasted about eight minutes and ended at 8:50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at no time during the three telephone conversations did Mr. Gaida instruct Mr. Foisy to obtain a breakdown of the settlement offer before communicating his acceptance of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9:02 p.m. on December 22, 2011, Mr. Foisy placed a telephone call to Mr. Cotter and left a voicemail that his clients had accepted the defendants' counter-offer of $440,000: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clients have accepted the $440,000, so I hope you and Bena [Ms. Stock] will be pleased to know we have a settlement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Foisy went on to state that he wanted written confirmation from Alberta Health that they would release any and all interest in the $440,000, and that he would write to Mr. Cotter again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by 8:50 p.m. on December 22, 2011, Mr. Foisy had convinced Mr. Gaida to accept the defendants' offer of $440,000 all inclusive. While Mr. Gaida had wanted to make a counter-offer at $450,000, he agreed to accept the $440,000 offer after Mr. Foisy agreed to reduce his fees so that the claimants would receive the same amount as if the parties had settled at $450,000. When Mr. Foisy communicated his clients' acceptance of the $440,000 settlement offer at 9:02 p.m. on December 22, 2011, he was acting on the instructions he had recently received from Mr. Gaida.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Later that night, at 0:11 a.m. on December 23, Mr. Gaida left a voicemail message instructing Mr. Foisy not to communicate with opposing counsel until Mr. Gaida received a breakdown of the proposed offer and confirmation that the Alberta Health Services costs recovery claim would have no bearing on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Gaida followed up that message with an e-mail to Mr. Foisy at 6:51 a.m. on December 23, 2011 in which he reiterated that Mr. Foisy was not to communicate acceptance of the offer until Mr. Gaida had received a satisfactory explanation of the breakdown and confirmation that the Alberta Health claim would not affect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9:42 a.m. on December 23, 2011, Mr. Foisy responded to Mr. Gaida by sending him copies of the defendants' settlement offers of $400,000 and $440,000, together with the following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Fw: Gaida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the offer which has been accepted subject to the modifications you provided me with in your instructions. As we discussed, I will ensure that the Estate received net settlement proceeds of $310,000.00. We have had to move quickly on this to avoid mediator fees and to cancel the mediation.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Alberta Health subrogated claim, before our office receives any funds, I will have a letter from them releasing the Estate from the settlement amount of $440,000.00. I left a voicemail with the fellow handling the claim this morning and the follow up letter is going to him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at peace Brian, the confirmation of the settlement indicates to the BC lawyers that the settlement is subject to receiving confirmation from Alberta Health that is required. I will not do anything that will prejudice this settlement and you have to trust me when I say that it's a very good settlement under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Merry Christmas and enjoy your time off. You are in good hands!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9:51 a.m. on December 23, 2011, Mr. Foisy sent the following e-mail to counsel for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Re: Gaida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James,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the message that I left you my client accepts the $440,000.00 subject to a few things: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need to be in receipt of a letter from Alberta Health stating that they release their interest in this settlement on the understanding that you and Mrs. Stock (or either of you) will pay their subrogated claim (or any amount that can be agreed to as between the parties) once the liability aspect in that regard has been determined;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Health services confirms in writing that they are not advancing a claim and that they release any interest they may have in this settlement;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receive confirmation from you and Mrs. Stock that until the issue of these Health Claims is resolved, any consent dismissal ordered will not be filed at the Registry but will be held by either of you in trust until these claims are finally determined;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release signed by my client will not prejudice the rights of subrogation of the Ministry of Health of BC or Alberta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 have #1 and #2 in hand, I will advise you of this and provide you with copies of their letters. Given the time of the year, this will likely be in the early New Year. Please confirm #3 and #4 with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I will write to Mr. Vos as I believe we could now cancel the mediation scheduled for January 9th. Thank you and Mrs. Stock for your diligent work on this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Foisy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Before noon on December 23, 2011, Ms. Stock and Mr. Cotter, on behalf of the physicians and the hospital respectively, confirmed their agreement with the conditions set out in Mr. Foisy's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12:44 p.m. on December 23, 2011, Brian Gaida e-mailed Mr. Foisy to request copies of the correspondence between counsel respecting the $465,000 offer and a breakdown of the offers being exchanged. Mr. Gaida asserted that his "voice has not been adequately heard" and instructed Mr. Foisy that "nothing can move forward" until he received a breakdown of the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12:51 p.m. on December 23, 2011, Mr. Foisy e-mailed defendants' counsel stating that his client was insisting on a breakdown of the $440,000 from the defendants and requesting that defence counsel reply to him on a separate e-mail concerning the breakdown that he could then forward Mr. Gaida. In his correspondence to defence counsel, Mr. Foisy proposed the following breakdown: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claim: $185,000;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care, guidance and companionship: $120,000;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funeral costs: $12,367.91;</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headstone allowance: $5,500;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airlift costs: $15,038.78;</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nervous shock: $20,000;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inheritance: $15,000;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firm costs and disbursements: $20,000;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interest: $47,093.31.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2:49 p.m. on December 23, 2011, Ms. Stock replied to Mr. Foisy's e-mail. She informed Mr. Foisy that while she did not see a problem with his proposed breakdown, Mr. Cotter was away from his office until January 3, and she would need his agreement before sending the e-mail Mr. Foisy had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same day, Mr. Foisy wrote to the mediator, confirmed the matter was resolved and cancelled the mediation. Mr. Foisy copied that correspondence to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December 28, 2011, Ms. Stock wrote to Mr. Foisy confirming the matter had settled for $440,000 inclusive of costs and disbursements and that the claim of the Alberta Ministry of Health would be negotiated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condition that Alberta Health confirm that it would not pursue any interest in the settlement, and that the B.C. Ministry of Health Services confirm that it would not pursue a health care costs recovery claim were both satisfied by January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January 16, 2012, Mr. Foisy e-mailed defendants' counsel to inform them that he had received further instructions from Brian Gaida and that Mr. Gaida's position was that he had not yet accepted the final settlement, and would not accept that settlement until he had seen a breakdown of the $440,000. Mr. Foisy also advised that Mr. Gaida had requested an independent opinion from another law firm. Mr. Foisy reiterated his earlier request for the defendants' breakdown of the settlement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Later that day, Ms. Stock e-mailed Mr. Foisy. She provided a breakdown of the settlement identical to that previously proposed by Mr. Foisy in his email of December 23, 2011. Ms. Stock also confirmed the defendants' position that the parties had reached a binding settlement and pointed out that the plaintiff's request for a breakdown was received after the settlement had been concluded, and that she was providing the defendants' breakdown as a courtesy.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April 17, 2012, Mr. Foisy wrote to defence counsel to inform them that after taking independent legal advice, the plaintiff's position was that no binding settlement had been concluded between the parties. The plaintiff took the position that without apportionment of the global settlement amount among the beneficiaries, and in particular, without the allocation of a portion of the settlement monies to each of the two minor children, there was no completed settlement agreement. Mr. Foisy also communicated the plaintiff's position that there had been no unconditional acceptance of the defendants' offer. He characterized his acceptance of the defendants' offer on December 23, 2011 as a conditional acceptance, and went on to state: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receiving your response, Mr. Gaida sent an email to my attention at 06h51 am on the morning of December 23, 2011 with very specific instructions/details that had to be followed. These instructions were given to me before my email to you of 09h51 am that morning. These instructions required a review of all email communication between counsel and a breakdown of the proposed settlement amount </w:t>
      </w:r>
      <w:r>
        <w:rPr>
          <w:rFonts w:ascii="arial" w:eastAsia="arial" w:hAnsi="arial" w:cs="arial"/>
          <w:b/>
          <w:color w:val="000000"/>
          <w:sz w:val="20"/>
          <w:lang w:val="en-US" w:eastAsia="en-US" w:bidi="ar-SA"/>
        </w:rPr>
        <w:t>prior to communicating any conditional acceptance of your offer</w:t>
      </w:r>
      <w:r>
        <w:rPr>
          <w:rFonts w:ascii="arial" w:eastAsia="arial" w:hAnsi="arial" w:cs="arial"/>
          <w:color w:val="000000"/>
          <w:sz w:val="20"/>
          <w:lang w:val="en-US" w:eastAsia="en-US" w:bidi="ar-SA"/>
        </w:rPr>
        <w:t>. A copy of Mr. Gaida's email is attached. Under normal working circumstances, these instructions would have been immediately communicated to you but for the commencement of the Christmas break at noon that day and other pressing matters;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the defendants responded by asserting their clients' position that the parties had concluded a binding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it was not a term or condition of settlement that the defendants provide a breakdown of how the global settlement amount would be allocated among the heads of damages claimed. Mr. Foisy did not communicate his client's position that provision of a breakdown of the $440,000 was a condition of settlement until January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Did the parties enter into a binding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provides a statutory scheme for fatal accident compensation that abrogated the common law rule that no one has a cause of action in tort against a person who has wrongfully caused the death of a third person: </w:t>
      </w:r>
      <w:r>
        <w:rPr>
          <w:rFonts w:ascii="arial" w:eastAsia="arial" w:hAnsi="arial" w:cs="arial"/>
          <w:i/>
          <w:color w:val="000000"/>
          <w:sz w:val="20"/>
          <w:lang w:val="en-US" w:eastAsia="en-US" w:bidi="ar-SA"/>
        </w:rPr>
        <w:t>Charlton v. Co-operators Life Insurance Co.</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1999 BCCA 35</w:t>
        </w:r>
      </w:hyperlink>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Under sections 3 and 6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only one action may be brought for the benefit of all persons entitled to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(1)The action must be for the benefit of the spouse, parent or child of the person whose death has been caused, and must be brought by and in the name of the personal representative of the deceased.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recovered, after deducting any costs not recovered from the defendant, must be divided among the parties in shares as the court or jury by their judgment or verdict directs.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action brought must be for the benefit of the same person or persons as if it were brought in the name of the personal representative.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defendant in any action desires to pay money into court in satisfaction, the defendant may pay the money into court in one sum as compensation to all persons entitled to recover damages in the action, without specifying the shares into which, or the parties among whom, it is to be divided under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Only one action may be brought for the same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Ross</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2000 BCCA 671</w:t>
        </w:r>
      </w:hyperlink>
      <w:r>
        <w:rPr>
          <w:rFonts w:ascii="arial" w:eastAsia="arial" w:hAnsi="arial" w:cs="arial"/>
          <w:color w:val="000000"/>
          <w:sz w:val="20"/>
          <w:lang w:val="en-US" w:eastAsia="en-US" w:bidi="ar-SA"/>
        </w:rPr>
        <w:t xml:space="preserve">, Donald J.A., for the Court, described the legislative purpose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is because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requires that there be only one action and that it be taken on behalf of all persons entitled to claim. The legislative purpose behind this requirement is twofold: (1) to avoid a multiplicity of proceedings and (2) to ensure that damages for a wrongful death are assessed globally and divided once and for all amongst the eligible claimants.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Magill v. The Township of Moore and the Moore Municipal Telephone Association</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(1919), 59 S.C.R. 9</w:t>
        </w:r>
      </w:hyperlink>
      <w:r>
        <w:rPr>
          <w:rFonts w:ascii="arial" w:eastAsia="arial" w:hAnsi="arial" w:cs="arial"/>
          <w:color w:val="000000"/>
          <w:sz w:val="20"/>
          <w:lang w:val="en-US" w:eastAsia="en-US" w:bidi="ar-SA"/>
        </w:rPr>
        <w:t xml:space="preserve"> at 15, Anglin J. for the majority characterized the cause of action under the Ontario </w:t>
      </w:r>
      <w:r>
        <w:rPr>
          <w:rFonts w:ascii="arial" w:eastAsia="arial" w:hAnsi="arial" w:cs="arial"/>
          <w:i/>
          <w:color w:val="000000"/>
          <w:sz w:val="20"/>
          <w:lang w:val="en-US" w:eastAsia="en-US" w:bidi="ar-SA"/>
        </w:rPr>
        <w:t>Fatal Accidents Act</w:t>
      </w:r>
      <w:r>
        <w:rPr>
          <w:rFonts w:ascii="arial" w:eastAsia="arial" w:hAnsi="arial" w:cs="arial"/>
          <w:color w:val="000000"/>
          <w:sz w:val="20"/>
          <w:lang w:val="en-US" w:eastAsia="en-US" w:bidi="ar-SA"/>
        </w:rPr>
        <w:t>, R.S.O. 1914 c. 151,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single; it is for the entire damages sustained by the whole class on whose behalf of the statute provides that compensation may be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in the case of any other contract, a settlement agreement is binding when the parties have reached an agreement on all essential terms: </w:t>
      </w:r>
      <w:r>
        <w:rPr>
          <w:rFonts w:ascii="arial" w:eastAsia="arial" w:hAnsi="arial" w:cs="arial"/>
          <w:i/>
          <w:color w:val="000000"/>
          <w:sz w:val="20"/>
          <w:lang w:val="en-US" w:eastAsia="en-US" w:bidi="ar-SA"/>
        </w:rPr>
        <w:t>Fieuguth v. Acklands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(1989), 59 D.L.R. (4th) 114</w:t>
        </w:r>
      </w:hyperlink>
      <w:r>
        <w:rPr>
          <w:rFonts w:ascii="arial" w:eastAsia="arial" w:hAnsi="arial" w:cs="arial"/>
          <w:color w:val="000000"/>
          <w:sz w:val="20"/>
          <w:lang w:val="en-US" w:eastAsia="en-US" w:bidi="ar-SA"/>
        </w:rPr>
        <w:t xml:space="preserve"> (B.C.C.A.) at 121, 123. Conversely, there will be no binding settlement agreement if essential terms are left open for future negotiation or are too uncertain to be enforceable: </w:t>
      </w:r>
      <w:r>
        <w:rPr>
          <w:rFonts w:ascii="arial" w:eastAsia="arial" w:hAnsi="arial" w:cs="arial"/>
          <w:i/>
          <w:color w:val="000000"/>
          <w:sz w:val="20"/>
          <w:lang w:val="en-US" w:eastAsia="en-US" w:bidi="ar-SA"/>
        </w:rPr>
        <w:t>Srebut v. Srebut Farms Ltd.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[2011] O.J. No. 3480</w:t>
        </w:r>
      </w:hyperlink>
      <w:r>
        <w:rPr>
          <w:rFonts w:ascii="arial" w:eastAsia="arial" w:hAnsi="arial" w:cs="arial"/>
          <w:color w:val="000000"/>
          <w:sz w:val="20"/>
          <w:lang w:val="en-US" w:eastAsia="en-US" w:bidi="ar-SA"/>
        </w:rPr>
        <w:t xml:space="preserve"> at para. 64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relies upon the decision of the Manitoba Court of Appeal in </w:t>
      </w:r>
      <w:r>
        <w:rPr>
          <w:rFonts w:ascii="arial" w:eastAsia="arial" w:hAnsi="arial" w:cs="arial"/>
          <w:i/>
          <w:color w:val="000000"/>
          <w:sz w:val="20"/>
          <w:lang w:val="en-US" w:eastAsia="en-US" w:bidi="ar-SA"/>
        </w:rPr>
        <w:t>Smith Estate v. Manitoba Housing and Renewal Corp.</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[1992] M.J. No. 276</w:t>
        </w:r>
      </w:hyperlink>
      <w:r>
        <w:rPr>
          <w:rFonts w:ascii="arial" w:eastAsia="arial" w:hAnsi="arial" w:cs="arial"/>
          <w:color w:val="000000"/>
          <w:sz w:val="20"/>
          <w:lang w:val="en-US" w:eastAsia="en-US" w:bidi="ar-SA"/>
        </w:rPr>
        <w:t xml:space="preserve">, in support of his submission that the settlement in this action was too uncertain to be enforceable in the absence of an allocation of the settlement monies among the infant and adult claimants. In </w:t>
      </w:r>
      <w:r>
        <w:rPr>
          <w:rFonts w:ascii="arial" w:eastAsia="arial" w:hAnsi="arial" w:cs="arial"/>
          <w:i/>
          <w:color w:val="000000"/>
          <w:sz w:val="20"/>
          <w:lang w:val="en-US" w:eastAsia="en-US" w:bidi="ar-SA"/>
        </w:rPr>
        <w:t>Smith Estate</w:t>
      </w:r>
      <w:r>
        <w:rPr>
          <w:rFonts w:ascii="arial" w:eastAsia="arial" w:hAnsi="arial" w:cs="arial"/>
          <w:color w:val="000000"/>
          <w:sz w:val="20"/>
          <w:lang w:val="en-US" w:eastAsia="en-US" w:bidi="ar-SA"/>
        </w:rPr>
        <w:t>, the issue was whether a settlement involving infant and adult plaintiffs was enforceable where there was no allocation of settlement funds among the plaintiffs and no separate amount was allocated to the infant plaintiff. At first instance, when the defendants applied for an order enforcing the settlement, the Chambers Judge made an order requiring the defendants to pay $3,000 in full settlement of the infant's claim. The Manitoba Court of Appeal reversed the Chambers Judge and held that the lack of the allocation of a specific amount of the settlement to the infant rendered the settlement agreement too vague and uncertain to be enforceable. Twaddle J.A., for the Court, held that the Court could not approve an infant settlement without a specific sum allocated to the infant and could not require the adult plaintiffs to accept a lesser share of the settlement than they wanted in order to provide a sum for the infant which was acceptable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There is no indication in the reasons for judgment of the Manitoba Court of Appeal whether </w:t>
      </w:r>
      <w:r>
        <w:rPr>
          <w:rFonts w:ascii="arial" w:eastAsia="arial" w:hAnsi="arial" w:cs="arial"/>
          <w:i/>
          <w:color w:val="000000"/>
          <w:sz w:val="20"/>
          <w:lang w:val="en-US" w:eastAsia="en-US" w:bidi="ar-SA"/>
        </w:rPr>
        <w:t>Smith Estate</w:t>
      </w:r>
      <w:r>
        <w:rPr>
          <w:rFonts w:ascii="arial" w:eastAsia="arial" w:hAnsi="arial" w:cs="arial"/>
          <w:color w:val="000000"/>
          <w:sz w:val="20"/>
          <w:lang w:val="en-US" w:eastAsia="en-US" w:bidi="ar-SA"/>
        </w:rPr>
        <w:t xml:space="preserve"> was decided under the Manitoba wrongful death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Section 8 of the Manitoba </w:t>
      </w:r>
      <w:r>
        <w:rPr>
          <w:rFonts w:ascii="arial" w:eastAsia="arial" w:hAnsi="arial" w:cs="arial"/>
          <w:i/>
          <w:color w:val="000000"/>
          <w:sz w:val="20"/>
          <w:lang w:val="en-US" w:eastAsia="en-US" w:bidi="ar-SA"/>
        </w:rPr>
        <w:t>Fatal Accidents Act</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C.C.S.M. c. F50</w:t>
        </w:r>
      </w:hyperlink>
      <w:r>
        <w:rPr>
          <w:rFonts w:ascii="arial" w:eastAsia="arial" w:hAnsi="arial" w:cs="arial"/>
          <w:color w:val="000000"/>
          <w:sz w:val="20"/>
          <w:lang w:val="en-US" w:eastAsia="en-US" w:bidi="ar-SA"/>
        </w:rPr>
        <w:t xml:space="preserve">, like s. 3(6)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provides that a defendant may pay into court one sum of money as compensation to all persons entitled to damages without specifying how that amount is to be allocated among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were unable to find any case decided in British Columbia or any other province that has applied, followed or considered </w:t>
      </w:r>
      <w:r>
        <w:rPr>
          <w:rFonts w:ascii="arial" w:eastAsia="arial" w:hAnsi="arial" w:cs="arial"/>
          <w:i/>
          <w:color w:val="000000"/>
          <w:sz w:val="20"/>
          <w:lang w:val="en-US" w:eastAsia="en-US" w:bidi="ar-SA"/>
        </w:rPr>
        <w:t>Smith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To the extent that </w:t>
      </w:r>
      <w:r>
        <w:rPr>
          <w:rFonts w:ascii="arial" w:eastAsia="arial" w:hAnsi="arial" w:cs="arial"/>
          <w:i/>
          <w:color w:val="000000"/>
          <w:sz w:val="20"/>
          <w:lang w:val="en-US" w:eastAsia="en-US" w:bidi="ar-SA"/>
        </w:rPr>
        <w:t>Smith Estate</w:t>
      </w:r>
      <w:r>
        <w:rPr>
          <w:rFonts w:ascii="arial" w:eastAsia="arial" w:hAnsi="arial" w:cs="arial"/>
          <w:color w:val="000000"/>
          <w:sz w:val="20"/>
          <w:lang w:val="en-US" w:eastAsia="en-US" w:bidi="ar-SA"/>
        </w:rPr>
        <w:t xml:space="preserve"> stands for the proposition that the court cannot require adult plaintiffs to accept a lesser share of a settlement than they want in order to provide a sum for an infant which is acceptable to the court, it is not consistent with the law relating to the settlement of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claims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British Columbia, the court must approve the amount to be paid in settlement of an infant's claim before the settlement of a claim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may be implemented. The court may approve payment to an infant in an amount different from that proposed by the parties or recommended by the Public Trustee and Guardian. The court may increase the amount to be paid in settlement of an infant's claim beyond that proposed by the parties, and may do so at the expense of an adult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Waller et al v. Thody et al.</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2006 BCSC 1388</w:t>
        </w:r>
      </w:hyperlink>
      <w:r>
        <w:rPr>
          <w:rFonts w:ascii="arial" w:eastAsia="arial" w:hAnsi="arial" w:cs="arial"/>
          <w:color w:val="000000"/>
          <w:sz w:val="20"/>
          <w:lang w:val="en-US" w:eastAsia="en-US" w:bidi="ar-SA"/>
        </w:rPr>
        <w:t xml:space="preserve">, the children of a driver killed in a motor vehicle accident brought an action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by their Guardians ad litem. The action was settled at mediation for $229,500. However, the parties were unable to agree on the distribution of the settlement funds for almost a year after the mediation. The Public Trustee and Guardian reviewed the proposed distribution and opposed the payment of the largest share of the settlement to the youngest child, at the expense of two of his brothers. The youngest child's Guardian ad litem applied to enforce the settlement distribution agreement made among the parties. The court was not prepared to approve a distribution that resulted in one child receiving a disproportionate share and accepted the recommendation of the Public Guardian and Trustee for a more equal distribution of the settlement monies among the minor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Coulson Estate v. Taylor</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[1974] B.C.J. No. 434</w:t>
        </w:r>
      </w:hyperlink>
      <w:r>
        <w:rPr>
          <w:rFonts w:ascii="arial" w:eastAsia="arial" w:hAnsi="arial" w:cs="arial"/>
          <w:color w:val="000000"/>
          <w:sz w:val="20"/>
          <w:lang w:val="en-US" w:eastAsia="en-US" w:bidi="ar-SA"/>
        </w:rPr>
        <w:t xml:space="preserve"> (S.C.), the court considered the division of a $35,000 settlement between the widow and child of the deceased. The petitioner proposed that $2,500 be set aside for the child while the Public Trustee contended that the child should receive no less than $8,500 from the global settlement amount. The court, after considering the circumstances of the mother and child, determined that the proper amount to be allotted to the child was $5,000. Thus, the court reduced the adult mother's share of the settlement in order to ensure that the child received a share that satisfied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an action where claims are brought on behalf of minors, where the parties agree on a settlement, they must comply with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Where the proposed settlement amount is greater than $50,000, a party to the proceeding must obtain the written comments of the Public Guardian and Trustee and apply to the court for approval of the settlement. The relevant provisions of s. 40 of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to settle a claim by an infant for unliquidated damages is proposed after a proceeding for recovery of the unliquidated damages is commenced and the proposed amount is greater than $50 000, exclusive of interest and costs, a litigation guardian, on receipt of a court order granting approval, may consent to an order awarding damages in favour of the infant.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approval of the court under subsection (8) must be made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court in which the proceeding has been commenced,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 of a party to the proceeding.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 party, other than the Public Guardian and Trustee, applies for approval of the court under subsection (5) or (8), the party must obtain written comments from the Public Guardian and Trustee with respect to the proposed agreement to settle and must provide the written comments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Lorenson (Guardian ad litem of) v. Becker</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[1998] B.C.J. No. 118</w:t>
        </w:r>
      </w:hyperlink>
      <w:r>
        <w:rPr>
          <w:rFonts w:ascii="arial" w:eastAsia="arial" w:hAnsi="arial" w:cs="arial"/>
          <w:color w:val="000000"/>
          <w:sz w:val="20"/>
          <w:lang w:val="en-US" w:eastAsia="en-US" w:bidi="ar-SA"/>
        </w:rPr>
        <w:t xml:space="preserve"> (S.C.), the court held that a settlement agreement involving a minor is binding unless and until the court refuses to approve it, and that the Public Trustee's favourable recommendation is not a condition precedent to the completion of a settlement agreement. At paras. 4 and 19,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parties agreed to the settlement, which expressly included the payment of interest. The plaintiffs never agreed to change this settlement, although the defendants unilaterally attempted to do so.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c.79</w:t>
      </w:r>
      <w:r>
        <w:rPr>
          <w:rFonts w:ascii="arial" w:eastAsia="arial" w:hAnsi="arial" w:cs="arial"/>
          <w:color w:val="000000"/>
          <w:sz w:val="20"/>
          <w:lang w:val="en-US" w:eastAsia="en-US" w:bidi="ar-SA"/>
        </w:rPr>
        <w:t xml:space="preserve"> at the time of the settlement was not applicable in the face of the agreement to pay interest. The subsequent or amended Act similarly has no application. The settlement agreement is binding unless and until the Court refuses to approve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It is my opinion that the settlement agreement concluded between Mr. Blackmore and the defendants' insurers on April 5, 1990 was a binding settlement agreement, and subject only to the court approving it. While the court much appreciates the Public Trustee's statutory comments, and indeed rarely makes an Order contrary to the Public Trustee's recommendation, the Public Trustee's favourable recommendations is not a condition precedent to the completion of a settlement agreement. The court can approve a settlement which the Public Trustee has refused to recommend, and has done so in the past on occasion. It is only the approval of the court which is required by the parties. The refusal of the Public Trustee to recommend approval of an infant settlement, does not affect the existence or validity of the settlement, as between the parties. I leave the situation where the court refuses to approve the infant settlement agreement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Although a review of the settlement by the Public Guardian and Trustee and court approval are both required under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before a settlement may be implemented, they are not conditions precedent to the formation of a binding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global settlement amount of $440,000 was an essential term of the settlement of this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Any amounts which the parties propose to allocate to the heads of damages applicable to minor claimants, including loss of care, guidance and companionship, and loss of inheritance, are proposals only, subject to the court's approval. Ultimately, the court must determine the amount to be allocated to each minor claimant, which may require the reapportionment of allocations proposed by the parties within the global settlement amount. While the global amount of settlement will not change, there can be no certainty respecting the parties' allocation of specific amounts to each of the claimants, because the court has the exclusive jurisdiction to determine the allocation of settlement monies to the minor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Under s. 3(6)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 defendant may make a single payment into court, in satisfaction of all claims, without specifying how that amount is to be allocated among the claimants. There is no requirement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that a defendant making a payment into court must specify the amounts to be paid out to minor claimants. In cases where the payment into court is accepted by the plaintiff, if the claim involves infant claimants the court must still approve the distribution of settlement monies to the minor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conclude that the allocation of specific amounts to minor claimants, which is always subject to the court's approval, and may vary from the amount proposed by the parties, is not an essential term for the formation of an enforceable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find that the parties reached agreement on all essential terms of the settlement when Mr. Foisy communicated his clients' acceptance of the defendants' offer of $440,000 all inclusive on the evening of December 22, 2011. The essential terms were payment of $440,000 all inclusive by the defendants in satisfaction of all of the claims made in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action, a release, a consent dismissal order, confirmation that the British Columbia Ministry of Health Services was not advancing a health care costs recovery claim and a separate settlement of any Alberta Health costs recovery claim with confirmation from Alberta Health that it released any interest in the settlement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this case, because the parties disagreed on whether they had concluded a binding settlement, the Public Guardian and Trustee has advised that once there is a determination that a settlement exists between the parties, it will review the settlement and provide statutory comments pursuant to s. 40(10) of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If the defendants apply for approval of the settlement, then it will be incumbent upon them to propose the amounts to be allocated to each claimant, including the two minor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Was former counsel's acceptance of the defendants' settlement offer the result of innocent misapprehension or deliberate defiance of his client's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submits that here, where court intervention is required to give effect to the settlement by entry of a consent dismissal order, the court has jurisdiction not to enforce the settlement on the basis of former counsel's misapprehension of his instructions, or alternatively, his defiance of those instructions. Counsel for the plaintiff referred to </w:t>
      </w:r>
      <w:r>
        <w:rPr>
          <w:rFonts w:ascii="arial" w:eastAsia="arial" w:hAnsi="arial" w:cs="arial"/>
          <w:i/>
          <w:color w:val="000000"/>
          <w:sz w:val="20"/>
          <w:lang w:val="en-US" w:eastAsia="en-US" w:bidi="ar-SA"/>
        </w:rPr>
        <w:t>Lofthaug v. Canadian Immigration Specialists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2011 ABQB 609</w:t>
        </w:r>
      </w:hyperlink>
      <w:r>
        <w:rPr>
          <w:rFonts w:ascii="arial" w:eastAsia="arial" w:hAnsi="arial" w:cs="arial"/>
          <w:color w:val="000000"/>
          <w:sz w:val="20"/>
          <w:lang w:val="en-US" w:eastAsia="en-US" w:bidi="ar-SA"/>
        </w:rPr>
        <w:t>, where the court identified the following circumstances in which a settlement agreement would be set aside, at para. 34:</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mutual mistake and a fresh action could be commenced to achieve the same effect;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misapprehension or mistake by the lawyer entering into the agreement, but only if Court intervention is necessary to give effect to the settlement;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lawyer settles without authority and the third party is aware of that limited authority (</w:t>
      </w:r>
      <w:r>
        <w:rPr>
          <w:rFonts w:ascii="arial" w:eastAsia="arial" w:hAnsi="arial" w:cs="arial"/>
          <w:i/>
          <w:color w:val="000000"/>
          <w:sz w:val="20"/>
          <w:lang w:val="en-US" w:eastAsia="en-US" w:bidi="ar-SA"/>
        </w:rPr>
        <w:t>Alken Basin Drilling Ltd v. Fraser</w:t>
      </w:r>
      <w:r>
        <w:rPr>
          <w:rFonts w:ascii="arial" w:eastAsia="arial" w:hAnsi="arial" w:cs="arial"/>
          <w:color w:val="000000"/>
          <w:sz w:val="20"/>
          <w:lang w:val="en-US" w:eastAsia="en-US" w:bidi="ar-SA"/>
        </w:rPr>
        <w:t xml:space="preserve"> (1994), 30 C.P.C. (3d) 250 (ABQB), </w:t>
      </w:r>
      <w:r>
        <w:rPr>
          <w:rFonts w:ascii="arial" w:eastAsia="arial" w:hAnsi="arial" w:cs="arial"/>
          <w:i/>
          <w:color w:val="000000"/>
          <w:sz w:val="20"/>
          <w:lang w:val="en-US" w:eastAsia="en-US" w:bidi="ar-SA"/>
        </w:rPr>
        <w:t>Racz v. District of Mission</w:t>
      </w:r>
      <w:r>
        <w:rPr>
          <w:rFonts w:ascii="arial" w:eastAsia="arial" w:hAnsi="arial" w:cs="arial"/>
          <w:color w:val="000000"/>
          <w:sz w:val="20"/>
          <w:lang w:val="en-US" w:eastAsia="en-US" w:bidi="ar-SA"/>
        </w:rPr>
        <w:t xml:space="preserve">, (BCCA), </w:t>
      </w:r>
      <w:hyperlink r:id="rId189" w:history="1">
        <w:r>
          <w:rPr>
            <w:rFonts w:ascii="arial" w:eastAsia="arial" w:hAnsi="arial" w:cs="arial"/>
            <w:i/>
            <w:color w:val="0077CC"/>
            <w:sz w:val="20"/>
            <w:u w:val="single"/>
            <w:shd w:val="clear" w:color="auto" w:fill="FFFFFF"/>
            <w:lang w:val="en-US" w:eastAsia="en-US" w:bidi="ar-SA"/>
          </w:rPr>
          <w:t>(1988) 22 B.C.L.R. (2d) 70</w:t>
        </w:r>
      </w:hyperlink>
      <w:r>
        <w:rPr>
          <w:rFonts w:ascii="arial" w:eastAsia="arial" w:hAnsi="arial" w:cs="arial"/>
          <w:color w:val="000000"/>
          <w:sz w:val="20"/>
          <w:lang w:val="en-US" w:eastAsia="en-US" w:bidi="ar-SA"/>
        </w:rPr>
        <w:t xml:space="preserve"> (BCCA),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that the lawyer entered into the agreement in defiance of express and specific instructions from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the plaintiff relies on grounds (b) and (d) as bases for setting aside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Plaintiff's counsel also relied upon </w:t>
      </w:r>
      <w:r>
        <w:rPr>
          <w:rFonts w:ascii="arial" w:eastAsia="arial" w:hAnsi="arial" w:cs="arial"/>
          <w:i/>
          <w:color w:val="000000"/>
          <w:sz w:val="20"/>
          <w:lang w:val="en-US" w:eastAsia="en-US" w:bidi="ar-SA"/>
        </w:rPr>
        <w:t>Heath v. Heath</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2009 NLTD 71</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[2009] N.J. No. 120</w:t>
        </w:r>
      </w:hyperlink>
      <w:r>
        <w:rPr>
          <w:rFonts w:ascii="arial" w:eastAsia="arial" w:hAnsi="arial" w:cs="arial"/>
          <w:color w:val="000000"/>
          <w:sz w:val="20"/>
          <w:lang w:val="en-US" w:eastAsia="en-US" w:bidi="ar-SA"/>
        </w:rPr>
        <w:t>, where the defendant applied to set aside a settlement agreement and signed consent order concerning the grant to the plaintiff of an easement over the defendant's property. There, the court found that there had been no formation of a clear and binding settlement agreement because there was no certainty regarding the description and location of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Heath</w:t>
      </w:r>
      <w:r>
        <w:rPr>
          <w:rFonts w:ascii="arial" w:eastAsia="arial" w:hAnsi="arial" w:cs="arial"/>
          <w:color w:val="000000"/>
          <w:sz w:val="20"/>
          <w:lang w:val="en-US" w:eastAsia="en-US" w:bidi="ar-SA"/>
        </w:rPr>
        <w:t xml:space="preserve"> at para. 34, the court also found the applicant had provided timely instructions to her solicitor not to take any further steps to confirm the settlement. Heath is of no assistance because here, Brian Gaida instructed Mr. Foisy not to communicate acceptance of the defendants' offer until he had received and agreed to the breakdown of the global settlement amount after he had authorized his former solicitor to accept the defendants' offer and Mr. Foisy had already communicated that acceptance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Srebut v. Srebut Farms Ltd.</w:t>
      </w:r>
      <w:r>
        <w:rPr>
          <w:rFonts w:ascii="arial" w:eastAsia="arial" w:hAnsi="arial" w:cs="arial"/>
          <w:color w:val="000000"/>
          <w:sz w:val="20"/>
          <w:lang w:val="en-US" w:eastAsia="en-US" w:bidi="ar-SA"/>
        </w:rPr>
        <w:t xml:space="preserve">, Chapnik J. of the Ontario Superior Court of Justice, citing </w:t>
      </w:r>
      <w:r>
        <w:rPr>
          <w:rFonts w:ascii="arial" w:eastAsia="arial" w:hAnsi="arial" w:cs="arial"/>
          <w:i/>
          <w:color w:val="000000"/>
          <w:sz w:val="20"/>
          <w:lang w:val="en-US" w:eastAsia="en-US" w:bidi="ar-SA"/>
        </w:rPr>
        <w:t>Milios v. Zhagus</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(1998), 38 O.R. (3d) 218</w:t>
        </w:r>
      </w:hyperlink>
      <w:r>
        <w:rPr>
          <w:rFonts w:ascii="arial" w:eastAsia="arial" w:hAnsi="arial" w:cs="arial"/>
          <w:color w:val="000000"/>
          <w:sz w:val="20"/>
          <w:lang w:val="en-US" w:eastAsia="en-US" w:bidi="ar-SA"/>
        </w:rPr>
        <w:t xml:space="preserve"> (C.A.), held at paras. 71 and 72 that the Ontario Superior Court has "broad and complete discretion to determine whether to enforce settlement" under Rule 49.09 of the Ontario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R.R.O. 1990, Reg. 194</w:t>
      </w:r>
      <w:r>
        <w:rPr>
          <w:rFonts w:ascii="arial" w:eastAsia="arial" w:hAnsi="arial" w:cs="arial"/>
          <w:color w:val="000000"/>
          <w:sz w:val="20"/>
          <w:lang w:val="en-US" w:eastAsia="en-US" w:bidi="ar-SA"/>
        </w:rPr>
        <w:t xml:space="preserve">. Under that Rule, where a party to an accepted settlement offer fails to comply with its terms, the other party may apply to the court for judgment on the terms of the accepted offer. The court may either grant judgment or continue the proceedings as if there had been no accepted offer to settle. Under the Ontario jurisprudence, the court has a broad discretion to not enforce a settlement that is unreasonable, that would be unfair or would result in an injustice. Although the discretion under Rule 49.09 not to enforce a settlement is rarely exercised, the court in </w:t>
      </w:r>
      <w:r>
        <w:rPr>
          <w:rFonts w:ascii="arial" w:eastAsia="arial" w:hAnsi="arial" w:cs="arial"/>
          <w:i/>
          <w:color w:val="000000"/>
          <w:sz w:val="20"/>
          <w:lang w:val="en-US" w:eastAsia="en-US" w:bidi="ar-SA"/>
        </w:rPr>
        <w:t>Srebut</w:t>
      </w:r>
      <w:r>
        <w:rPr>
          <w:rFonts w:ascii="arial" w:eastAsia="arial" w:hAnsi="arial" w:cs="arial"/>
          <w:color w:val="000000"/>
          <w:sz w:val="20"/>
          <w:lang w:val="en-US" w:eastAsia="en-US" w:bidi="ar-SA"/>
        </w:rPr>
        <w:t xml:space="preserve"> concluded at para. 84 that it should decline to enforce an unfair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contain no provision equivalent to Ontario Rule 49.09 conferring a broad jurisdiction on the court to refuse to enforce a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legal principles applicable to the enforcement of settlement agreements in this Province are stated in the recent reasons for judgment of Mr. Justice Sewell in </w:t>
      </w:r>
      <w:r>
        <w:rPr>
          <w:rFonts w:ascii="arial" w:eastAsia="arial" w:hAnsi="arial" w:cs="arial"/>
          <w:i/>
          <w:color w:val="000000"/>
          <w:sz w:val="20"/>
          <w:lang w:val="en-US" w:eastAsia="en-US" w:bidi="ar-SA"/>
        </w:rPr>
        <w:t>Roumanis v. Hill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2013 BCSC 1047</w:t>
        </w:r>
      </w:hyperlink>
      <w:r>
        <w:rPr>
          <w:rFonts w:ascii="arial" w:eastAsia="arial" w:hAnsi="arial" w:cs="arial"/>
          <w:color w:val="000000"/>
          <w:sz w:val="20"/>
          <w:lang w:val="en-US" w:eastAsia="en-US" w:bidi="ar-SA"/>
        </w:rPr>
        <w:t xml:space="preserve">. There, the defendants applied to enforce settlement agreements in two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Plaintiff's counsel agreed to settle each action in exchange for a waiver of costs and disbursements. Defence counsel sent consent dismissal orders to the plaintiff's lawyer, who signed them. The plaintiff then withdrew her consent to the settlement. The court found that the terms of the settlement offer were clear and unambiguous and that the parties had concluded a binding settlement agreement. The plaintiff contended that the court has an inherent jurisdiction to permit a party to withdraw its consent to a settlement where it is in the interests of justice to do so and the settlement is not yet perfected. In </w:t>
      </w:r>
      <w:r>
        <w:rPr>
          <w:rFonts w:ascii="arial" w:eastAsia="arial" w:hAnsi="arial" w:cs="arial"/>
          <w:i/>
          <w:color w:val="000000"/>
          <w:sz w:val="20"/>
          <w:lang w:val="en-US" w:eastAsia="en-US" w:bidi="ar-SA"/>
        </w:rPr>
        <w:t>Roumanis</w:t>
      </w:r>
      <w:r>
        <w:rPr>
          <w:rFonts w:ascii="arial" w:eastAsia="arial" w:hAnsi="arial" w:cs="arial"/>
          <w:color w:val="000000"/>
          <w:sz w:val="20"/>
          <w:lang w:val="en-US" w:eastAsia="en-US" w:bidi="ar-SA"/>
        </w:rPr>
        <w:t>, the settlement had not been perfected by entry of the consent dismissal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found that the plaintiff's solicitor had made the settlement with the knowledge of the client and on her express instructions. The plaintiff had initially agreed to the settlement but later changed her mind shortly after her lawyer had communicated her acceptance to defendants'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court reviewed the law in this Province, including the decision of the Court of Appeal in </w:t>
      </w:r>
      <w:r>
        <w:rPr>
          <w:rFonts w:ascii="arial" w:eastAsia="arial" w:hAnsi="arial" w:cs="arial"/>
          <w:i/>
          <w:color w:val="000000"/>
          <w:sz w:val="20"/>
          <w:lang w:val="en-US" w:eastAsia="en-US" w:bidi="ar-SA"/>
        </w:rPr>
        <w:t>Moric v. Handspiker</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[1985] B.C.J. No. 1698</w:t>
        </w:r>
      </w:hyperlink>
      <w:r>
        <w:rPr>
          <w:rFonts w:ascii="arial" w:eastAsia="arial" w:hAnsi="arial" w:cs="arial"/>
          <w:color w:val="000000"/>
          <w:sz w:val="20"/>
          <w:lang w:val="en-US" w:eastAsia="en-US" w:bidi="ar-SA"/>
        </w:rPr>
        <w:t xml:space="preserve">, which rejected the argument that the court has a discretion to refuse to enforce a binding settlement made on the instructions of the client, and </w:t>
      </w:r>
      <w:r>
        <w:rPr>
          <w:rFonts w:ascii="arial" w:eastAsia="arial" w:hAnsi="arial" w:cs="arial"/>
          <w:i/>
          <w:color w:val="000000"/>
          <w:sz w:val="20"/>
          <w:lang w:val="en-US" w:eastAsia="en-US" w:bidi="ar-SA"/>
        </w:rPr>
        <w:t>Robertson v. Walwyn Stodgell Cochrane Murray Ltd.</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[1988] B.C.J. No. 485</w:t>
        </w:r>
      </w:hyperlink>
      <w:r>
        <w:rPr>
          <w:rFonts w:ascii="arial" w:eastAsia="arial" w:hAnsi="arial" w:cs="arial"/>
          <w:color w:val="000000"/>
          <w:sz w:val="20"/>
          <w:lang w:val="en-US" w:eastAsia="en-US" w:bidi="ar-SA"/>
        </w:rPr>
        <w:t xml:space="preserve"> (C.A.), where the Court held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it is not disputed that Mr. and Mrs. Robertson gave their lawyer instructions to make the settlement agreement that was made. The Robertsons' argument is that they received erroneous advice from their lawyer; that the advice induced them to make the settlement agreement; that the settlement agreement was unfair; and that the court should not enforce the settlement agreement. That argument depends on the view that the court, under s. 8 of the Law and Equity Act or otherwise, has power to refuse to give effect to a settlement agreement if the court considers that the settlement is not just. In my opinion, that view is wrong. A completed settlement agreement is the same as any other contract. If the contract is valid and enforceable by ordinary principles of contract law, and if it is put in issue in appropriate proceedings, then the court, in the end, must give effect to it. That was the point that governed the decision of this court in </w:t>
      </w:r>
      <w:r>
        <w:rPr>
          <w:rFonts w:ascii="arial" w:eastAsia="arial" w:hAnsi="arial" w:cs="arial"/>
          <w:i/>
          <w:color w:val="000000"/>
          <w:sz w:val="20"/>
          <w:lang w:val="en-US" w:eastAsia="en-US" w:bidi="ar-SA"/>
        </w:rPr>
        <w:t>Moric v. Handspiker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Moric v. Yablonski</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(1985), 65 B.C.L.R. 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at 388, the Court of Appeal held that where a settlement agreement is made with the knowledge and consent of the parties, and where there is no ground for setting aside the agreement under general contract principles, such as fraud, duress, lack of capacity or mutual mistake, the court has no alternative but to enforce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Roumanis</w:t>
      </w:r>
      <w:r>
        <w:rPr>
          <w:rFonts w:ascii="arial" w:eastAsia="arial" w:hAnsi="arial" w:cs="arial"/>
          <w:color w:val="000000"/>
          <w:sz w:val="20"/>
          <w:lang w:val="en-US" w:eastAsia="en-US" w:bidi="ar-SA"/>
        </w:rPr>
        <w:t xml:space="preserve"> at para. 48, the court concluded that "a binding settlement agreement made by counsel on the instructions of a client is enforceable on the same basis as any other contract and that the court has no power to refuse to give effect to such a settlement because it considers it to be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result, the court granted a stay of all proceedings except those necessary to carry out the terms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December 22, 2011, the defendants made their counter-offer of $440,000 all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Between 7:49 p.m. and 8:50 p.m., on December 22, 2011, Mr. Gaida had three telephone conversations with Mr. Foisy concerning the defendants' offer. Mr. Foisy convinced Mr. Gaida to accept the defendants' offer. Mr. Gaida instructed Mr. Foisy to accept the defendants' offer after Mr. Foisy agreed to reduce his fees and assured him that the claimant would recover the same amount as if the action settled for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During those conversations, Mr. Gaida did not instruct Mr. Foisy that his acceptance of the defendants' offer was subject to his receipt or approval of a breakdown of the global amount among the various heads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9:02 p.m. on December 22, 2011, Mr. Foisy, in keeping with the instructions he had received from Brian Gaida, accepted the defendants' counter-offer for $440,000.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Brian Gaida communicated to Mr. Foisy his change of mind at 0:11 a.m. and 6:51 a.m. on December 23, 2011, after Mr. Foisy had accepted the defendants' settlement offer on behalf of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Mr. Foisy accepted the defendants' settlement offer, he was not acting under any misapprehension of his instructions nor was he deliberately defying his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Mr. Foisy, as the solicitor conducting this action and the settlement negations, acted on behalf of all of the claimants and had ostensible authority to settle the action. A solicitor acting for a party in settlement negotiations acts as the agent of the client, and is presumed to have the authority to bind the client "unless his client has limited his authority and the opposing side has knowledge of the limitation ...": </w:t>
      </w:r>
      <w:r>
        <w:rPr>
          <w:rFonts w:ascii="arial" w:eastAsia="arial" w:hAnsi="arial" w:cs="arial"/>
          <w:i/>
          <w:color w:val="000000"/>
          <w:sz w:val="20"/>
          <w:lang w:val="en-US" w:eastAsia="en-US" w:bidi="ar-SA"/>
        </w:rPr>
        <w:t>Sekhon v. Khangura</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2009 BCSC 670</w:t>
        </w:r>
      </w:hyperlink>
      <w:r>
        <w:rPr>
          <w:rFonts w:ascii="arial" w:eastAsia="arial" w:hAnsi="arial" w:cs="arial"/>
          <w:color w:val="000000"/>
          <w:sz w:val="20"/>
          <w:lang w:val="en-US" w:eastAsia="en-US" w:bidi="ar-SA"/>
        </w:rPr>
        <w:t xml:space="preserve"> at para. 110, citing </w:t>
      </w:r>
      <w:r>
        <w:rPr>
          <w:rFonts w:ascii="arial" w:eastAsia="arial" w:hAnsi="arial" w:cs="arial"/>
          <w:i/>
          <w:color w:val="000000"/>
          <w:sz w:val="20"/>
          <w:lang w:val="en-US" w:eastAsia="en-US" w:bidi="ar-SA"/>
        </w:rPr>
        <w:t>Scherer v. Paletta</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[1966] O.J. No. 1017</w:t>
        </w:r>
      </w:hyperlink>
      <w:r>
        <w:rPr>
          <w:rFonts w:ascii="arial" w:eastAsia="arial" w:hAnsi="arial" w:cs="arial"/>
          <w:color w:val="000000"/>
          <w:sz w:val="20"/>
          <w:lang w:val="en-US" w:eastAsia="en-US" w:bidi="ar-SA"/>
        </w:rPr>
        <w:t xml:space="preserve"> (C.A.) at para. 11. The other parties are under no obligation to make inquiries regarding a solicitor's authority to settle a matter on behalf of his or her client: </w:t>
      </w:r>
      <w:r>
        <w:rPr>
          <w:rFonts w:ascii="arial" w:eastAsia="arial" w:hAnsi="arial" w:cs="arial"/>
          <w:i/>
          <w:color w:val="000000"/>
          <w:sz w:val="20"/>
          <w:lang w:val="en-US" w:eastAsia="en-US" w:bidi="ar-SA"/>
        </w:rPr>
        <w:t>Hartslief v. Terra Nova Royalty Corporation</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2012 BCSC 1705</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Here, Mr. Gaida had not limited Mr. Foisy's authority to settle the action before Mr. Foisy communicated acceptance of the defendants' $440,000 settlement offer and neither Mr. Cotter nor Ms. Stock had knowledge of any limitation on Mr. Foisy's authority to make a binding settlement on behalf of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have found that Mr. Gaida changed his mind shortly after he instructed Mr. Foisy to accept the defendants' offer of $440,000. He later received advice from new counsel that, in her opinion, the claim was worth more than the amount of the settlement. A change of mind based on further consideration of the law or facts concerning the possibility of success is not sufficient to set aside a settlement: </w:t>
      </w:r>
      <w:r>
        <w:rPr>
          <w:rFonts w:ascii="arial" w:eastAsia="arial" w:hAnsi="arial" w:cs="arial"/>
          <w:i/>
          <w:color w:val="000000"/>
          <w:sz w:val="20"/>
          <w:lang w:val="en-US" w:eastAsia="en-US" w:bidi="ar-SA"/>
        </w:rPr>
        <w:t>Adam v. I.C.B.C. et al</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(1985), 66 B.C.L.R. 164</w:t>
        </w:r>
      </w:hyperlink>
      <w:r>
        <w:rPr>
          <w:rFonts w:ascii="arial" w:eastAsia="arial" w:hAnsi="arial" w:cs="arial"/>
          <w:color w:val="000000"/>
          <w:sz w:val="20"/>
          <w:lang w:val="en-US" w:eastAsia="en-US" w:bidi="ar-SA"/>
        </w:rPr>
        <w:t xml:space="preserve"> (C.A.) at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suggestion of mutual mistake concerning the terms of settlement, and no allegation of fraud, duress or undue influence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Brian Gaida has asserted that he was "pressured" by Mr. Foisy to accept the defendants' offer, the plaintiff abandoned the allegation that his former counsel had exercised duress or undue influence at the commencement of the hearing. Further, there is no evidence -- and indeed no suggestion -- that defendants' counsel had any knowledge of any undue influence or coercive conduct on the part of Mr. Foisy when counsel made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Any complaint by the plaintiff that Mr. Foisy provided inadequate legal advice or representation in the settlement of this action is a matter for the plaintiff to pursue in separate proceedings. However, I wish to stress that I make no finding of misconduct by Mr. Foisy. Likely on the basis of legal advice, he has not provided affidavit evidence on the matters in dispute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have found that the parties made an enforceable settlement agreement and that former counsel for the claimants neither misapprehended nor defied his instructions when he accepted the defendants' settlement offer. Accordingly, the defendants are entitled to a declaration that there is a binding settlement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Unless there are matters that counsel wish to bring to the court's attention, the defendants are entitled to the costs of this application,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Ghuman v. Insurance Corp. of British Columbia, [2019] B.C.J. No. 1547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and February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M164664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C.C.L.I. (5th) 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2359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Jaspal Ghuman,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jc w:val="both"/>
        <w:rPr>
          <w:rFonts w:ascii="arial" w:eastAsia="arial" w:hAnsi="arial" w:cs="arial"/>
          <w:sz w:val="20"/>
          <w:lang w:val="en-US" w:eastAsia="en-US" w:bidi="ar-SA"/>
        </w:rPr>
      </w:pPr>
      <w:bookmarkStart w:id="32" w:name="Counsel_9"/>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J.V. Payne, J. Jowarski, appearing by telephone on May 13,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D.W. Barber.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9"/>
      <w:bookmarkEnd w:id="33"/>
      <w:r>
        <w:pict>
          <v:line id="_x0000_s1058" style="position:absolute;z-index:251720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Costs of Summary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S.A. DONEGAN J. (orally)"/>
            <w:bookmarkEnd w:id="34"/>
            <w:r>
              <w:rPr>
                <w:rFonts w:ascii="arial" w:eastAsia="arial" w:hAnsi="arial" w:cs="arial"/>
                <w:b/>
                <w:color w:val="000000"/>
                <w:sz w:val="30"/>
                <w:lang w:val="en-US" w:eastAsia="en-US" w:bidi="ar-SA"/>
              </w:rPr>
              <w:t>S.A. DONEGAN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relate to the costs arising from the defendant's summary trial application. The underlying action arises out of a hit and run motor vehicle collision (the "Collision") that occurred on November 14, 2014, on an access road leading from a commercial complex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Mr. Ghuman, alleges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an unknown vehicle and that he suffered damage to his vehicle and bodily injury as a result. He named the Insurance Corporation of British Columbia ("ICBC") as the nominal defendant because he was unable to ascertain the identity of the driver and owner of the vehicle that struck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Through its summary trial application, ICBC sought to have Mr. Ghuman's claim dismissed on the basis that he had not made reasonable efforts to ascertain the identity of the unknown driver and owner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reasons indexed at </w:t>
      </w:r>
      <w:r>
        <w:rPr>
          <w:rFonts w:ascii="arial" w:eastAsia="arial" w:hAnsi="arial" w:cs="arial"/>
          <w:i/>
          <w:color w:val="000000"/>
          <w:sz w:val="20"/>
          <w:lang w:val="en-US" w:eastAsia="en-US" w:bidi="ar-SA"/>
        </w:rPr>
        <w:t>Ghuman v. ICBC</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2019 BCSC 3</w:t>
        </w:r>
      </w:hyperlink>
      <w:r>
        <w:rPr>
          <w:rFonts w:ascii="arial" w:eastAsia="arial" w:hAnsi="arial" w:cs="arial"/>
          <w:color w:val="000000"/>
          <w:sz w:val="20"/>
          <w:lang w:val="en-US" w:eastAsia="en-US" w:bidi="ar-SA"/>
        </w:rPr>
        <w:t xml:space="preserve"> (the "Reasons"), I concluded that Mr. Ghuman had met his burden pursuant to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ICBC's application was dismissed. In my decision, I indicated that unless the parties wished to make submissions, costs on the summary trial proceeding would be awarded to Mr. Ghuman as the successful party. Both parties have now made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ICBC argues that I ought to depart from the usual order and order each party to bear their own costs. It takes this position largely on the basis that the Mr. Ghuman failed to produce key evidence prior to the summary trial and only disclosed it following the summary trial hearing, causing the parties to seek leave to file further evidence and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ICBC argues that this key evidence (Mr. Ghuman's cellular telephone records for the time frame immediately following the Collision or shortly after) was an important piece of evidence in relation to one of the significant issues in the trial: whether Mr. Ghuman had failed to prove he had notified police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submits that the costs award ought to remain. He says that he was never obligated to disclose his telephone records and no costs consequences should flow as a result. Mr. Ghuman submits that he consented to the disclosure of his cellular telephone records, and even after receiving them and seeing that he did indeed call police the day after the Collision, ICBC still maintained that his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brief summary, Mr. Ghuman was operating his motor vehicle in the late afternoon on November 14, 2014, and as he waited to turn left out of the Strawberry Hill commercial complex in Surrey, the vehicle immediately in front of him inexplicably reversed his vehicle and then fled the scene. The plaintiff was unable to obtain the licence plate number or provide more than a general description of the vehicle. His wife, driving her car a vehicle or two behind him, did not see or hear the Collision, and Mr. Ghuman did not see any other drivers or pedestrians in the immediate area that may have seen what occurred. After looking around the scene for potential witnesses and looking at the damage to his car, Mr. Ghuman got into his car and drove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Within about a week of the Collision, Mr. Ghuman posted some flyers around the area asking any witnesses to call him. He retained counsel, and in December of 2014, his counsel arranged for more signs seeking witnesses to be posted around the intersection and for an advertisement seeking witnesses to run in the local newspaper. No witnesses came forward in response to the signs or the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One of the central issues at the summary trial application was whether Mr. Ghuman telephoned police following the Collision. As I outlined in the Reasons,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statutory right of action enabling a person subjected to a hit and run collision to sue ICBC as a nominal defendant where the identity of the negligent driver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If a plaintiff wishes to take advantage of this avenue of recovery, he or she must comply with the provisions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plaintiff bears a positive obligation at a hit and run collision scene. In the days and weeks following the collision, he or she is to take all necessary and reasonable steps to establish the identity of the offending owner and/or driver. Whether all reasonable efforts have been shown requires a case-by-case assessment - one in this case that is informed by the unique circumstances of the facts surrounding the Collision and Mr. Ghuman's conduct in the days, week, and perhaps months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Whether Mr. Ghuman called police to report the Collision was one of the central issues from the beginning of the litigation. Mr. Ghuman was examined for discovery on June 29, 2017, and testified that he was pretty sure he had called police from his cellular telephone to report the Collision the evening of the Collision. ICBC requested that he produce his cellphone records from the date of the Collision. No objection was taken to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5 and then November 30, 2017, counsel for ICBC demanded that Mr. Ghuman produce his outgoing calls list from his cellular telephone on the day of the Collision. On January 5, 2018, plaintiff's counsel advised counsel for ICBC that they had ordered the records in accordance with the terms of the letter of November 30,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January 29, 2018, ICBC served a Notice of Case Planning Conference ("CPC") to be held on March 7, 2018 on plaintiff's counsel. ICBC's CPC form indicated, among other things, that it would be seeking an order that Mr. Ghuman endorse an authorization for production of his cellular telephone records within seven days. Mr. Ghuman's counsel filed his own CPC proposal, wherein he indicated agreement to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30, 2018, ICBC's lawyer wrote to Mr. Ghuman's lawyer to request that Mr. Ghuman sign an authorization to produce his Fido call detail records and billing records for his cellular telephone for the period of November 1, 2014, to December 31, 2014. In the letter, counsel specifically noted the relevance of the records to the circumstances of the Collision under s. 24 of the Act, writing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Fido records are relevant to the circumstances surrounding the subject motor vehicle accident, which is an unidentified motorist's claim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At examination for discovery on June 29, 2017, the Plaintiff stated that he called the Surrey RCMP the evening of the Accident and told them what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28, 2018, counsel for Mr. Ghuman replied to this request, writing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ordered the record, and upon receipt, we will review the records for relevance and privilege, and will provide you with the relevant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2, 2018, counsel for Mr. Ghuman wrote again to counsel for ICBC in respect to the Case Plan Proposal and the request for various records. Regarding Mr. Ghuman's cellular telephone outgoing calls list from the date of the Collision, counsel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Records have been requested and upon receipt we will review for relevance and privilege and will forward a copy to you together with any invoice for reimbursement to our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CPC was held on March 7, 2018, in front of Master Scarth. ICBC's Case Plan Proposal sought a number of records, identified at Schedule B. No order was made with respect to the cellular telephone records of Mr. Ghuman (identified at item 1 of that Schedule), which is consistent with the evidence showing Mr. Ghuman was agreeable to the request. The plaintiff was ordered to provide an amended list of documents by March 21,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was on April 19, 2018 that ICBC filed its summary trial application seeking a determination on the issue of ICBC's liability and Mr. Ghuman's compliance with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26, 2018, Mr. Ghuman filed an application seeking an order to dismiss the summary trial application on the basis that the s. 24 issue was not suitable for determination by way of summary trial, primarily for two reasons: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Ghuman's credibility was said to be a critical issue, particularly in the area of his calling the police and following up with police following the collision;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summary trial application was very close to the scheduled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3, 2018, Master Harper denied Mr. Ghuman's application, left the issue of suitability to the judge hearing the summary trial application and ordered that costs of the application would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9, 2018, the summary trial came before me for hearing. Suitability and the merits were both argued. On suitability, Mr. Ghuman's argument was the same as it had been in front of Master Harper. ICBC argued that the matter was suitable for summary trial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merits, both parties made thorough submissions about the reasonableness of Mr. Ghuman's efforts to ascertain the identity of the unknown driver and owner of the offending vehicle. An area of controversy was whether Mr. Ghuman called police following the Collision, and his failure to produce his cellular telephone records. In the context of what was said to be his ambiguous examination for discovery answer on this topic, counsel for ICBC asked me to draw an adverse inference from his failure to produce those cellular telephone records, despite his counsel's repeated representations that the records were forthcoming, and urged me to find that Mr. Ghuman did not call the RCMP or police following the Collision. Mr. Ghuman's counsel spent some time in argument opposing this submission and, at the conclusion of the hearing, I reserved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Unbeknownst to me at the time, and it looks like about six days after I reserved judgment, ICBC filed an application for an order that Mr. Ghuman's cellphone service provider, Fido, prepare and deliver a copy of Mr. Ghuman's cellular telephone records within seven days. The hearing of the application was set for May 31,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May 17, 2018, counsel for Mr. Ghuman wrote to counsel for ICBC in response to this application. He wrote, in part, that he hoped: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avoid the necessity of [the application] in any event by obtaining the records. I believe that what happened previously was that we asked Mr. Ghuman to get the records himself and he struggled to figure out how given Fido is no longer his provider. I will keep you posted on the status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ICBC responded that same day and proposed that Mr. Ghuman sign an authorization and send the authorization to a representative for Fido/Rogers and produce the records to ICBC within five days. That is, on the material that I have been provided, precisely what did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22, 2018, counsel for Mr. Ghuman delivered redacted cellphone records to counsel for ICBC. Those records show that Mr. Ghuman did telephone the Surrey RCMP the day following the Collision. He called them from his cellular telephone. By consent, counsel then notified me of this new material evidence and sought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my granting leave to do so, counsel filed an Agreed Statement of Facts dated May 23, 2018, outlining that Mr. Ghuman's cellphone invoice showed an outgoing call on November 15, 2014, at 1:18 p.m. to the Surrey RCMP, which of course is the afternoon following the Collision. ICBC filed further written submissions on June 18, 2018, Mr. Ghuman filed his on June 19, 2018, and then ICBC filed its reply submissions on June 25,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submissions that I received were thorough, but in short, ICBC maintained that even though Mr. Ghuman called police the following day, his efforts still fell short of what is required under s. 24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January 2, 2019, I released the Reasons finding that Mr. Ghuman had discharged his burden under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he called police the afternoon after the Collision was a factor in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establishes the usual framework for a costs award. It provides: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Kakavelakis v. Boutsakis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2017 BCCA 396</w:t>
        </w:r>
      </w:hyperlink>
      <w:r>
        <w:rPr>
          <w:rFonts w:ascii="arial" w:eastAsia="arial" w:hAnsi="arial" w:cs="arial"/>
          <w:color w:val="000000"/>
          <w:sz w:val="20"/>
          <w:lang w:val="en-US" w:eastAsia="en-US" w:bidi="ar-SA"/>
        </w:rPr>
        <w:t>, our Court of Appeal affirmed that costs considerations are intended to guide counsel and litigants in the choices and strategies they choose to pursue in court proceedings. Under Rule 14-1(9), costs usually follow the event, subject to the Court's residual discretion to deny a substantially successful party the costs to which it would otherwise be entitled: paras. 94-95.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question here that Mr. Ghuman has been substantially successful in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 argues that although Mr. Ghuman was successful, I should nevertheless find that he acted improperly or unnecessarily within the meaning of Rule 14-1(14)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and that I ought to, as a consequence of this behaviour, exercise my discretion to order the parties to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Rule 14-1(14) provides: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anything is done or omitted improperly or unnecessarily, by or on behalf of a party, the court or a registrar may order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costs arising from or associated with any matter related to the act or omission not be allowed to the party,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party pay the costs incurred by any other party by reason of the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VR 390 v. Harvey</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2014 BCSC 2580</w:t>
        </w:r>
      </w:hyperlink>
      <w:r>
        <w:rPr>
          <w:rFonts w:ascii="arial" w:eastAsia="arial" w:hAnsi="arial" w:cs="arial"/>
          <w:color w:val="000000"/>
          <w:sz w:val="20"/>
          <w:lang w:val="en-US" w:eastAsia="en-US" w:bidi="ar-SA"/>
        </w:rPr>
        <w:t>, Justice Gray had occasion to interpret this subrule. In that case each party claimed to have been substantially successful and sought special costs against the other. The petitioner relied primarily on the respondent's breach of a court order, and the respondent relied primarily upon the impropriety of some aspects of the petitioner's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hearing of the petition lasted about ten and a half days. The first two days of the hearing were occupied by the respondent's submissions regarding the inadmissibility of some of the petitioner's affidavit material. Written submissions were also extensive. Shortly after the petitioner began her submissions on the admissibility topic, the petitioner agreed to argue the merits of the petition based on versions of the petitioner's affidavit that had many of the impugned passages and exhibits deleted. As a result of this concession, the Court was not required to make any ruling about 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rejecting the notion that the petitioner's conduct with respect to the affidavits was reprehensible, Gray J. turned to consider whether the petitioner's conduct nevertheless was an improper act contemplated under Rule 14-1(14). At para. 51, she summarized this subrule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original form of some of the SC's affidavits included improper passages. As set out in </w:t>
      </w:r>
      <w:r>
        <w:rPr>
          <w:rFonts w:ascii="arial" w:eastAsia="arial" w:hAnsi="arial" w:cs="arial"/>
          <w:i/>
          <w:color w:val="000000"/>
          <w:sz w:val="20"/>
          <w:lang w:val="en-US" w:eastAsia="en-US" w:bidi="ar-SA"/>
        </w:rPr>
        <w:t>Fotheringham</w:t>
      </w:r>
      <w:r>
        <w:rPr>
          <w:rFonts w:ascii="arial" w:eastAsia="arial" w:hAnsi="arial" w:cs="arial"/>
          <w:color w:val="000000"/>
          <w:sz w:val="20"/>
          <w:lang w:val="en-US" w:eastAsia="en-US" w:bidi="ar-SA"/>
        </w:rPr>
        <w:t xml:space="preserve">, the court can consider whether there are reasons to deprive the SC of its costs. As set out in Rule 14?1(14), which I read out, </w:t>
      </w:r>
      <w:r>
        <w:rPr>
          <w:rFonts w:ascii="arial" w:eastAsia="arial" w:hAnsi="arial" w:cs="arial"/>
          <w:color w:val="000000"/>
          <w:sz w:val="20"/>
          <w:u w:val="single"/>
          <w:lang w:val="en-US" w:eastAsia="en-US" w:bidi="ar-SA"/>
        </w:rPr>
        <w:t>the court can do two things if anything was done improperly: one is to disallow the costs relating to the improper act, and the other is to require the party to pay the costs incurred by the other party relating to the improper act</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Justice Gray ultimately determined that the petitioner had been the successful party, but did conclude that a just result ought to include a variation of the usual costs award under this particular subrule. She ordered the petitioner ought to be deprived of its costs for the two days of argument that was required regarding the admissibility of the improper affidavits that were ultimately unnecessary: para. 52. She did not deprive the petitioner of its preparation costs for those two days, in recognition of the fact that the petitioner may have been successful in some of its arguments before it conceded. Considering the matter as a whole, Gray J. concluded that depriving the offending party of its costs for those two days of submissions adequately reflected its fault in tendering improper affidavit evidence in the context of the case: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Justice Baker also considered this subrule in </w:t>
      </w:r>
      <w:r>
        <w:rPr>
          <w:rFonts w:ascii="arial" w:eastAsia="arial" w:hAnsi="arial" w:cs="arial"/>
          <w:i/>
          <w:color w:val="000000"/>
          <w:sz w:val="20"/>
          <w:lang w:val="en-US" w:eastAsia="en-US" w:bidi="ar-SA"/>
        </w:rPr>
        <w:t>Boutin v. MacPherson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2013 BCSC 831</w:t>
        </w:r>
      </w:hyperlink>
      <w:r>
        <w:rPr>
          <w:rFonts w:ascii="arial" w:eastAsia="arial" w:hAnsi="arial" w:cs="arial"/>
          <w:color w:val="000000"/>
          <w:sz w:val="20"/>
          <w:lang w:val="en-US" w:eastAsia="en-US" w:bidi="ar-SA"/>
        </w:rPr>
        <w:t>, in a context where the defendant made numerous efforts to obtain particulars and documents relating to the plaintiff's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that case, the court concluded that the plaintiff had failed to comply with orders made at the Trial Management Conference ("TMC") and that particulars and documents should have been delivered well in advance of the TMC. After finding that earlier disclosure may well have led to more efficient conduct of the trial, Baker J. awarded the plaintiff two days of costs instead of the three days that the trial had taken: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Justice Wilson also considered this subrule in </w:t>
      </w:r>
      <w:r>
        <w:rPr>
          <w:rFonts w:ascii="arial" w:eastAsia="arial" w:hAnsi="arial" w:cs="arial"/>
          <w:i/>
          <w:color w:val="000000"/>
          <w:sz w:val="20"/>
          <w:lang w:val="en-US" w:eastAsia="en-US" w:bidi="ar-SA"/>
        </w:rPr>
        <w:t>Sartori v. Gates</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2011 BCSC 419</w:t>
        </w:r>
      </w:hyperlink>
      <w:r>
        <w:rPr>
          <w:rFonts w:ascii="arial" w:eastAsia="arial" w:hAnsi="arial" w:cs="arial"/>
          <w:color w:val="000000"/>
          <w:sz w:val="20"/>
          <w:lang w:val="en-US" w:eastAsia="en-US" w:bidi="ar-SA"/>
        </w:rPr>
        <w:t xml:space="preserve">. In that case, the court found that a doctor's report tendered by the plaintiff as an expert opinion should not have been, because the doctor was clearly both an advocate and unqualified to give the opinion. In the circumstances, Justice Wilson disallowed the plaintiff's costs for a day spent in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arguing over the admissibility of that report: paras. 73-75.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satisfied of two things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First, had Mr. Ghuman provided the promised cellular telephone records at issue, suitability of the summary trial procedure would not have been argued. The plaintiff conceded as much in his post-hearing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Second, even if Mr. Ghuman had provided the cellphone records prior to the hearing, the summary trial would have proceeded, but arguments regarding Mr. Ghuman's calls to police would have been more focussed.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ICBC's counsel made multiple pre-trial efforts to obtain Mr. Ghuman's cellular telephone records after the Collision. Counsel's failure to bring a formal court application to obtain those records before trial is, I conclude, understandable in light of the repeated promises from plaintiff's counsel that the records had been ordered and the relevant ones would be provided. After Mr. Ghuman's counsel's post-trial email explanation (May 17, 2018), it is clear that neither Mr. Ghuman nor his counsel had actually ordered the cellular telephone records prior to trial. When Mr. Ghuman finally took active steps to obtain them, it only took a total of five days for them to be obtained, redacted and delivered to ICBC. Although his failure to obtain them as promised appears to have been as a result of oversight or perhaps a misunderstanding, given the number of requests and assurances over many months and the ease with which the records were produced following the summary trial, there really is no good reason why Mr. Ghuman did not produce these records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agree with ICBC that this wasted some amount of time in gathering evidence prior to the summary trial, and it also wasted some amount of time in argument, both at the pre-trial suitability application and at the summary trial itself. It also required the parties to file further written submissions and tender further evidence following the summary trial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position that he was under no legal obligation to produce the telephone records at any time is, in my respectful view, not an answer. Defence counsel was entitled to rely upon plaintiff's counsel's repeated confirmations that the records were ordered and relevant ones would be provided upon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Clearly a record showing that Mr. Ghuman called the Surrey RCMP detachment from his cellphone in the aftermath of the Collision would be relevant. In the face of the absence of those records at the summary trial hearing, ICBC took the reasonable position that an adverse inference should be drawn from the failure to produce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this did waste time in preparation and at the summary trial hearing, and required additional submissions after the hearing, it is clear that even after ICBC received the record showing that Mr. Ghuman was being truthful about calling police, ICBC maintained the same course and, as Mr. Ghuman submits, shifted to its other argument that Mr. Ghuman had waited too long to call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these circumstances, I am satisfied that even if ICBC had received the telephone records before the summary trial hearing, it still would have pushed forward with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all of the circumstances of this case, I find that it is appropriate that Mr. Ghuman not recover the full costs to which he would be entitled. Rather, I find that a just result would see him recover 50 percent of his costs with respect to the summary trial procedure. This will permit Mr. Ghuman to recover some of his costs for preparation for and responding to ICBC's summary trial application and argument, but it will also recognize that considerable time was wasted in preparations for and time at the summary trial hearing. Had the records been produced as promised, the suitability argument would not have been made, arguments about the adverse inference would not have been made, and the post-hearing evidence and submissions would have been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all of those reasons, I order that Mr. Ghuman recover 50 percent of his costs with respect to the summary trial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wish to extend my thanks to counsel for their very helpful and thorough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Is there anything else or any questions,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JAWORSKI: Not from the plaintiff,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BARBER: Not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All right. Again, my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JAWORSKI: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BARBER: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Gichuru v. Purewal, [2019] B.C.J. No. 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S167828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Mokua Gichuru, Plaintiff, and Kulbir Purewal and Sukhbir Purewal, also known as Sukhbir Purawal,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jc w:val="both"/>
        <w:rPr>
          <w:rFonts w:ascii="arial" w:eastAsia="arial" w:hAnsi="arial" w:cs="arial"/>
          <w:sz w:val="20"/>
          <w:lang w:val="en-US" w:eastAsia="en-US" w:bidi="ar-SA"/>
        </w:rPr>
      </w:pPr>
      <w:bookmarkStart w:id="35" w:name="Counsel_10"/>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 Gichuru.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Sukhbir Purewal: A.E. Syer.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10"/>
      <w:bookmarkEnd w:id="36"/>
      <w:r>
        <w:pict>
          <v:line id="_x0000_s1061"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J.A. POWER J._0"/>
            <w:bookmarkEnd w:id="37"/>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Mokua Gichuru brings an action for defamation that he alleges occurred in the context of a residential tenancy dispute with the defendants. Mr. Gichuru, who is non-practising lawyer, represented himself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Sukhbir Purewal is a 77-year-old woman who is the owner of the property in question, and the defendant Kulbir Purewal is her son. Ms. Purewal was represented at trial, although she herself did not attend the trial because of age and infirmity. Mr. Purewal did not attend trial, and counsel for the defendant Ms. Purewal did not represent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rented a basement suite from the defendants starting December 2010. Mr. Purewal made the alleged defamatory statements on August 30, 2014. Mr. Gichuru stopped paying rent in September 2014, and ultimately vacated the premises in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alleges that Mr. Purewal made slanderous statements to multiple 911 operators including that the plaintiff threatened to "light the place on fire", that he had "unplugged or "unhooked" the smoke detectors and that "he had some sort of mental illness and something's wrong with him in the head." The police officers who attended the residence, Constable Kunikata and Constable Robeson, testified that Mr. Purewal repeated words to that effect to them although they did not investigate since they did not believe the allegations or consider them to be a credible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background to this dispute was dealt with by the Residential Tenancy Branch and by the Human Rights tribunal. Mr. Purewal ultimately admitted at a Human Rights Tribunal hearing that he had fabricated the allegation that the plaintiff had threatened to burn down the residential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at trial include whether the words spoken amount to defamation and if so whether the plaintiff is entitled to damages. The plaintiff is claiming general damages, aggravated damages, punitive damages and special costs. Also at issue is whether Ms. Purewal should be liable for defamatory statements made by her son and whether the son's conduct was sufficiently authorized by the mother to justify the imposition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have determined that the mother should be held vicariously liable for the words of her son since the landlord relationship between son and mother was sufficiently close, and Mr. Purewal's words were sufficiently related to the conduct that she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further found that the words spoken did amount to defamation, since they were allegations of criminal conduct that were fabricated. However, after consideration of all of the evidence, I have concluded that the plaintiff should only be entitled to damages that are much more modest than what he is claiming.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Much of the background to this dispute relates to a residential tenancy dispute which has been the subject of hearings at the Residential Tenancy Branch and the Human Rights Tribunal. Accordingly, as I indicated to Mr. Gichuru throughout the trial, it is of limited relevance except to give context to the alleged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Gichuru represented himself on the trial and chose to testify at the end of his case. He admitted that he did so in order to hear how the rest of his evidence of his case unfolded. Notwithstanding that, I generally found Mr. Gichuru to be a credible witness, except that I find that he exaggerated the impact of these events on him in order to further his litigation interests, which were present in his mind throughout the events. Accordingly, I generally accept his rendition of the background to the dispute that gave rise to the events that are the subject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Since Mr. Purewal did not attend at the trial, hearsay statements made by him were led as part of Mr. Gichuru's case. That evidence was clearly necessary as a result of Mr. Purewal's non-attendance. The majority of those statements attributed to Mr. Purewal relate only to the background of the case and are not relevant to the legal issues I must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part of his case, in addition to giving evidence himself, Mr. Gichuru called Constable Kunikata and Constable Robeson, who attended to investigate as a result of the 911 calls; a process server who attempted to serve the son to establish that the son was avoiding service; Ronnie Purewal (Ms. Purewal's daughter and Kulbir Purewal's sister), who represented the family in the residential tenancy dispute; and Constable See, who attended the residence on another date. Mr. Gichuru learned during the evidence of Ronnie Purewal that Ms. Purewal's doctor was recommending that she not attend trial as a result of various medical complaints which included dementia. In the end she did not attend the trial, and Mr. Gichuru read in portions of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he testified last, I will start with a brief review of the events from the perspective of Mr. Gichuru. He is a highly educated man, having obtained his M.D. and a Masters Degree in Speech Pathology before applying to and completing Law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Gichuru testified that he was diagnosed with depression in 1994 and has received treatment in various forms since that diagnosis. He described the difficulties created by mandatory questions about his mental health in his Law Society Application. Ultimately, that resulted in a Human Rights Complaint against the Law Society as a result of which he obtained a damages award. It seems that after that, he has become something of a professional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Gichuru described the circumstances under which he came to be a tenant at the defendant's property where he rented a basement suite commencing on December 15, 2010. He described finding the property as a result of an ad on Craigslist and meeting with Mr. Purewal who presented himself as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Mr. Gichuru there were two basement suites in the building, and the extended Purewal family lived upstairs, including the mother Ms. Purewal, the son Mr. Kulbir Purewal and his wife and three children, and Mr. Purewal's brother, Randy, who has since passed away. Mr. Gichuru testified that there were a number of tenants in the other basement suite during the course of his tenancy. He testified that it became clear to him in the early part of the tenancy that the Purewals preferred to be paid in cash and for the majority of the tenancy he paid his rent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Gichuru stated that during the course of his tenancy he came to the view that Mr. Purewal had a problem with alcohol and he described various observations in that regard. He also described altercations that he witnessed between Mr. Purewal and his brother Randy.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Gichuru testified that during the course of the tenancy he became close to Mr. Purewal's daughter -- who referred to him as "Uncle Peter" -- and the family dog named Rocco.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tenancy was for the most part uneventful until sometime in early 2014 when Mr. Gichuru saw the tenant at the other rental suite paying by cheque and he began to do so himself. He testified that Mr. Purewal approached him and asked him to pay his rent in cash, saying that if he paid by cheque it would impact the mother's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From that point on until the events of August 30, 2014, when the alleged defamation occurred, the tenancy was volatile. Mr. Gichuru, who had previously worked for the Residential Tenancy Branch, was well aware of his rights as a tenant and was fully engaged in exercising those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example, Mr. Gichuru received a written eviction notice on August 1, 2014 requiring him to vacate the suite by September 1, 2014 so that the defendants could gain control of the suite for family purposes. They had relatives that were coming from overseas and according to Ronnie Purewal, they wanted to use the suite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Gichuru knew that the eviction notice provided did not meet the requirements under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and was not in the proper form. He had no intention of leaving by September 1, 2014, but did not advise the defendants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August 25, 2014, Mr. Gichuru called Mr. Purewal and advised him that the notice was not in the proper form. Mr. Gichuru testified that Mr. Purewal came to his door later that day. He described Mr. Purewal as being very angry and threatening, including threats to throw Mr. Gichuru's belongings on the lawn. On August 26, 2014, Mr. Gichuru claims Mr. Purewal came to his door again and made more statements that Mr. Gichuru perceived as 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Gichuru called the police non-emergency line. On August 27, 2014, Cst. See came to the residence and after hearing Mr. Gichuru's concerns told Mr. Purewal to stay away from Mr. Gichuru.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August 30, 2014, Mr. Purewal came to his door again and Mr. Gichuru set up an audio-recording device to capture the conversation. In the course of that conversation Mr. Purewal stated that he did not understand why Mr. Gichuru did not want to move, and said words to the effect "There's something wrong with your head, you have a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Later that day Mr. Gichuru received a message from Cst. Robeson indicating that the landlord had reported that Mr. Gichuru was threatening to burn the house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Purewal made three phone calls to 911 which included allegations that "the guy in my basement says he's going to light a fire", that "I can't trust this guy because he unhooked all smoke alarms" and that he was "mentally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Gichuru ultimately did leave the suite in December 2014, and the background to this dispute was the subject of a hearing at the Residential Tenancy Branch and the Human Rights Tribunal. At the Human Rights Tribunal, the son Kulbir Purewal admitted under cross-examination that he had fabricated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have indicated, the mother did not testify in her own defence at the trial, but portions of her evidence from examination for discovery were read in. I will return to these later in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three key issues that I must address to determine this case. First, do Mr. Purewal's comments constitute defamation, and if so, are they protected by qualified privilege? Second, if Mr. Purewal's comments do constitute defamation, is Ms. Purewal vicariously liable for Mr. Purewal's defamation? Finally, what damages, if any, is Mr. Gichuru entitled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now to the issues I must decide, starting with the issue of defamation.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Elements of the Tort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onus is on the plaintiff to prove, on the balance of probabilities, the three key elements of the tort of defamation:</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that they tend to lower the plaintiff's reputation in the eyes of a reasonable person; 2) that the words in fact referred to the plaintiff; and 3) that the words were published, meaning that they were communicated to at least one person other than the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If the defamation is slander (that is, if it consists of spoken or other transitory forms of communication, rather than more permanently broadcasted written communications), the action generally requires a fourth element: proof of special damages: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28. The plaintiff must show that he has actually suffered damage by loss or injury flowing from the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However, the imputation of a crime is an exception to the general rule that slander is not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Slander that falsely accuses someone of committing a criminal offence is actionable without the plaintiff proving resulting damage: </w:t>
      </w:r>
      <w:r>
        <w:rPr>
          <w:rFonts w:ascii="arial" w:eastAsia="arial" w:hAnsi="arial" w:cs="arial"/>
          <w:i/>
          <w:color w:val="000000"/>
          <w:sz w:val="20"/>
          <w:lang w:val="en-US" w:eastAsia="en-US" w:bidi="ar-SA"/>
        </w:rPr>
        <w:t>Lalli v Athwal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2017 BCSC 1931</w:t>
        </w:r>
      </w:hyperlink>
      <w:r>
        <w:rPr>
          <w:rFonts w:ascii="arial" w:eastAsia="arial" w:hAnsi="arial" w:cs="arial"/>
          <w:color w:val="000000"/>
          <w:sz w:val="20"/>
          <w:lang w:val="en-US" w:eastAsia="en-US" w:bidi="ar-SA"/>
        </w:rPr>
        <w:t xml:space="preserve"> at para.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that Mr. Purewal's false allegation to the police, claiming that Mr. Gichuru had threatened to start a fire in their shared residence, constituted slander. The claim that Mr. Gichuru was uttering threats to start a fire in a residence would tend to lower the opinion of a reasonable person who heard and believed those words. Mr. Purewal's other comments to the police, claiming that Mr. Gichuru had unhooked the fire alarms and was mentally unstable, are not themselves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Instead, I find that they were intended to bolster the credibility and urgency of Mr. Purewal's false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debate that Mr. Purewal referred to Mr. Gichuru when making these reports, and Mr. Purewal conceded that he made up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Because Mr. Purewal's words were spoken they constitute slander. Since his words falsely imputed a crime, Mr. Gichuru need not prove resulting damage. Mr. Purewal's false accusation to the police is slander that is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If the defendant can establish that the defamatory statements were made in a communication protected by qualified privilege, they are protected from liability. Qualified privilege applies when there is a duty, "legal, social or moral, to publish the matter complained of to persons with a corresponding duty or interest to receive it": </w:t>
      </w:r>
      <w:r>
        <w:rPr>
          <w:rFonts w:ascii="arial" w:eastAsia="arial" w:hAnsi="arial" w:cs="arial"/>
          <w:i/>
          <w:color w:val="000000"/>
          <w:sz w:val="20"/>
          <w:lang w:val="en-US" w:eastAsia="en-US" w:bidi="ar-SA"/>
        </w:rPr>
        <w:t>Pressler v. Lethbridge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2000 BCCA 639</w:t>
        </w:r>
      </w:hyperlink>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defence of qualified privilege can be defeated if the dominant motive for publishing is actual or express malice. This may be established by showing that the defendant either knew they were not telling the truth, or was reckless in that regard: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Statements made to police prior to the commencement of judicial proceedings are generally subject to qualified privilege: </w:t>
      </w:r>
      <w:r>
        <w:rPr>
          <w:rFonts w:ascii="arial" w:eastAsia="arial" w:hAnsi="arial" w:cs="arial"/>
          <w:i/>
          <w:color w:val="000000"/>
          <w:sz w:val="20"/>
          <w:lang w:val="en-US" w:eastAsia="en-US" w:bidi="ar-SA"/>
        </w:rPr>
        <w:t>Caron v. A. (Litigation guardian of)</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2015 BCCA 47</w:t>
        </w:r>
      </w:hyperlink>
      <w:r>
        <w:rPr>
          <w:rFonts w:ascii="arial" w:eastAsia="arial" w:hAnsi="arial" w:cs="arial"/>
          <w:color w:val="000000"/>
          <w:sz w:val="20"/>
          <w:lang w:val="en-US" w:eastAsia="en-US" w:bidi="ar-SA"/>
        </w:rPr>
        <w:t xml:space="preserve"> at para. 37. An honest statement to a police officer is protected by qualified privilege: </w:t>
      </w:r>
      <w:r>
        <w:rPr>
          <w:rFonts w:ascii="arial" w:eastAsia="arial" w:hAnsi="arial" w:cs="arial"/>
          <w:i/>
          <w:color w:val="000000"/>
          <w:sz w:val="20"/>
          <w:lang w:val="en-US" w:eastAsia="en-US" w:bidi="ar-SA"/>
        </w:rPr>
        <w:t>Popat v. MacLennan</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2014 BCSC 1601</w:t>
        </w:r>
      </w:hyperlink>
      <w:r>
        <w:rPr>
          <w:rFonts w:ascii="arial" w:eastAsia="arial" w:hAnsi="arial" w:cs="arial"/>
          <w:color w:val="000000"/>
          <w:sz w:val="20"/>
          <w:lang w:val="en-US" w:eastAsia="en-US" w:bidi="ar-SA"/>
        </w:rPr>
        <w:t xml:space="preserve"> at para. 21. A statement made maliciously, knowing that it was untrue or being reckless in regards to its truth, is not protected by qualified privilege: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Mr. Purewal did not appear before me, he has previously admitted that the statements he made to the police were false. Mr. Gichuru testified that there was nothing in his own behaviour that could have led Mr. Purewal to believe that he intended to start a fire in the residence. Instead, Mr. Purewal made the comments in the context of an acrimonious tenancy dispute, when he was frustrated by Mr. Gichuru's refusal to vacate his apartment. I conclude that Mr. Purewal intentionally lied to the police, and his dominant motive for making the false claim was malicious. Accordingly, qualified privilege is no defence to Mr. Purewal's slander.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Having found that Mr. Purewal's false allegation to the police was slander, I must determine whether Ms. Purewal is vicariously liable for her son's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 successful claim for vicarious liability requires the plaintiff to prove two things: first, that the relationship between the tortfeasor and the person against whom liability is sought is "sufficiently close as to make a claim for liability appropriate"; and second, that the tort is "sufficiently connected to the tortfeasor's assigned tasks that the tort can be regarded as a materialization of the risks created by the enterprise":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the Supreme Court of Canada set out the major policy considerations animating the imposition of vicarious liability: "(1) provision of a just and practical remedy for the harm; and (2) deterrence of future harm": para. 29. The first is focused on practical considerations of recovery for the person injured by the tortfeasor. At para. 33, the Court expanded on the second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Beyond the narrow band of employer conduct that attracts direct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a vast area where imaginative and efficient administration and supervision can reduce the risk that the employer has introduced into the community. Holding the employer vicariously liable for the wrongs of its employee may encourage the employer to take such steps, and hence, reduce the risk of future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Vicarious liability arises primarily in the context of employer-employee relationships, but it may also arise in principal-agent relationships. Mr. Gichuru submits that Mr. Purewal was acting as agent for his mother when he made the slanderous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principal-agent relationship exists where the agent is considered in law to represent the principal in such as a way as to be able to affect the principal's legal position by the making of contracts or the disposition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Gichuru introduced read-in evidence from examination for discovery in which, on cross-examination, Ms. Purewal agreed that Mr. Purewal acted as her agent. I do not find this statement to be determinative. For one, Ms. Purewal is not legally trained, and is not in a position to determine whether or not the relationship met the legal definition for agency. More significantly, though, an agency relationship cannot be determined merely from the use of the word "agent". Instead, the true nature of the relationship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consideration is made difficult by the lack of meaningful evidence before me. In her oral reasons for judgment on Ms. Purewal's application for summary trial (unpublished; July 27, 2018), Justice Sharma remarked that she was not satisfied she had sufficient evidence to determine whether the mother and son's relationship was sufficiently close that policy dictates it would be fair and just to hold the defendant liable for the son's wrongful act. She stated, and I agree, that "the factual context of the circumstances of the alleged defamation in this case are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Unfortunately, I did not have the benefit of either defendant's testimony at trial, and therefore do have concerns about the lack of evidence on the circumstances of their relationship. However, I find that I cannot draw an adverse inference against Ms. Purewal, as I am satisfied by the note from her physician and the evidence of Ronnie Purewal that her non-attendance at trial was legitimately based on medical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draw an adverse inference against Mr. Purewal. Mr. Gichuru led evidence that he was actively avoiding service. I conclude on the basis of the evidence, including the close relationships between the Purewal family members, that Mr. Purewal would have known the trial was ongoing, and made a deliberate decision not to attend. Accordingly, I am prepared to draw an adverse inference against him, where necessary and appropriate. I am not, however, prepared to draw adverse inferences from Mr. Purewal's absence against his mother on the question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absence of more fulsome testimony from the two defendants, I must rely on their read-in evidence from earlier hearings, as well as the evidence of the witnesses who did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read-in transcript from Ms. Purewal's examination for discovery, she provided the following information as to how she and her son dealt with tenants. I would note that this cross-examination took place with the use of a translator; when Mr. Gichuru refers in his questions to "she", I understand him to in fact mean "you", as in Ms. Purewal: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Is she the owner of the property located at 1306 East 60th Avenue, Vancouver,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Who is responsible for getting tenants for the rental suites?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Kulbir is the one doing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Although you are the owner of the premises you are not the one who deals with the tenants; is that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do it. I have never considered that. They can do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Who is 'they'?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Meaning?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Who is responsible for dealing with tenants?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Kulbir is the one doing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you delegate responsibility to Kulbir to do that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tell them to rent it out and he does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Kulbir is the one who deals with the tenants on an ongoing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she agrees that he can do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Is she aware that I was served with an eviction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My sister was arriving from England and she was going to live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When was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remember exactly.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you wanted me to vacate the rental unit; is that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did you ask Kulbir to serve me with an eviction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Was I served with an eviction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Who served me with an eviction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asked -- I don't know who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She asked?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told Kulbir.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She told Kulbir to serve me with an eviction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she ask Kulbir to report to her about any problems that were occurring with the tenants?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did not say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she supervise Kulbir in his dealings with the tenants?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never supervised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From these statements, I conclude that Mr. Purewal was acting as an agent for his mother when he performed landlord duties. While Ms. Purewal may not have supervised all of Mr. Purewal's interactions with their tenants, she does appear to have authorized Mr. Purewal to manage their tenants, both generally, and through specific directions. Ms. Purewal testified at the examination for discovery that she told her son to rent out the rental suites; more specifically, she asked her son to evict Mr. Gichuru in anticipation of their family arriving in Canada. Supporting the closeness of the relationship is the simple fact that at all material times Ms. Purewal lived with her son, in the same residence as their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that the relationship between Mr. Purewal and his mother was sufficiently close that Mr. Gichuru's claim for vicarious liability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second stage of the test is whether Mr. Purewal's slander was sufficiently connected to his assigned tasks that it can be regarded as a materialization of the risks created by the enterprise at hand. This test was set out in </w:t>
      </w:r>
      <w:r>
        <w:rPr>
          <w:rFonts w:ascii="arial" w:eastAsia="arial" w:hAnsi="arial" w:cs="arial"/>
          <w:i/>
          <w:color w:val="000000"/>
          <w:sz w:val="20"/>
          <w:lang w:val="en-US" w:eastAsia="en-US" w:bidi="ar-SA"/>
        </w:rPr>
        <w:t>Bazley: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question is whether the wrongful act is </w:t>
      </w:r>
      <w:r>
        <w:rPr>
          <w:rFonts w:ascii="arial" w:eastAsia="arial" w:hAnsi="arial" w:cs="arial"/>
          <w:color w:val="000000"/>
          <w:sz w:val="20"/>
          <w:u w:val="single"/>
          <w:lang w:val="en-US" w:eastAsia="en-US" w:bidi="ar-SA"/>
        </w:rPr>
        <w:t>sufficiently related</w:t>
      </w:r>
      <w:r>
        <w:rPr>
          <w:rFonts w:ascii="arial" w:eastAsia="arial" w:hAnsi="arial" w:cs="arial"/>
          <w:color w:val="000000"/>
          <w:sz w:val="20"/>
          <w:lang w:val="en-US" w:eastAsia="en-US" w:bidi="ar-SA"/>
        </w:rPr>
        <w:t xml:space="preserve"> to conduct authorized by the employer to justify the imposition of vicarious liability. Vicarious liability is generally appropriate where there is a significant connection between the </w:t>
      </w:r>
      <w:r>
        <w:rPr>
          <w:rFonts w:ascii="arial" w:eastAsia="arial" w:hAnsi="arial" w:cs="arial"/>
          <w:color w:val="000000"/>
          <w:sz w:val="20"/>
          <w:u w:val="single"/>
          <w:lang w:val="en-US" w:eastAsia="en-US" w:bidi="ar-SA"/>
        </w:rPr>
        <w:t>creation or enhancement of a risk</w:t>
      </w:r>
      <w:r>
        <w:rPr>
          <w:rFonts w:ascii="arial" w:eastAsia="arial" w:hAnsi="arial" w:cs="arial"/>
          <w:color w:val="000000"/>
          <w:sz w:val="20"/>
          <w:lang w:val="en-US" w:eastAsia="en-US" w:bidi="ar-SA"/>
        </w:rPr>
        <w:t xml:space="preserve"> and the wrong that accrues therefrom, even if unrelated to the employer's desires.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went on to lay out a non-exhaustive list of factors that may be considered in determining vicarious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related to intentional torts, the relevant factors may include, but are not limited to, the following:</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have already discussed, Mr. Purewal made his defamatory statements to the police in the context of a heated tenancy dispute. The Purewals wanted Mr. Gichuru out of the residence, and Mr. Purewal was frustrated that Mr. Gichuru was not leaving. Their conflict escalated when Mr. Gichuru began recording their conversations, in what may have been a peremptory attempt to bolster anticipated legal action. In this context, I find that Mr. Purewal's slander was part of this tenancy dispute, perhaps an ill-advised and poorly planned attempt to get Mr. Gichuru out of the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When I apply the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factors to this context, I find that Mr. Purewal's slander is sufficiently connected to the risks inherent in his duties as his mother's agent that vicarious liability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First, authorizing someone to act as a landlord affords that person power over their tenants. While bound by the provisions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a landlord retains significant power over tenants, notably the power to evict them from their homes. In addition, Mr. Purewal was acting as landlord not just for the legally sophisticated Mr. Gichuru, but other tenants as well. The power imbalance frequently inherent in the landlord-tenant relationship weighs in favour of finding of vicarious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Second, Mr. Purewal's actions -- though misguided -- were intended to further Ms. Purewal's aims. Ms. Purewal wanted Mr. Gichuru evicted, because she wanted to provide a place for her family members to stay once they arrived in Canada. Mr. Purewal's slander was part of his attempt to remove Mr. Gichuru from their home. To be clear, the context suggests that his statements were made spontaneously and without any specific authority of the mother; there is no indication that she knew her son had resorted to these tactics, nor that she would have approved had she known. Nonetheless, attempts to evict Mr. Gichuru, even if beyond the law, would have furthered Ms. Purewal's aims. This also weighs in favour of finding vicarious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Third, the wrongful act was immediately and directly related to friction inherent in Mr. Purewal's role as Ms. Purewal's agent. A landlord can reasonably be expected to end up in situations of high friction and confrontation. Dealing directly with tenants -- particularly tenants residing in the same house as the landlord -- will regularly involve tension, as the landlord will be expected to enforce tenancy rules or evictions. These circumstances are inherently stressful, and commonly involve conflict. That this conflict was the motivation for Mr. Purewal's wrongful actions weighs in favour of finding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Overall, I have concluded that although this aspect of the analysis may be a close call, I am satisfied on balance that Ms. Purewal is vicariously liable for her son's wrongful actions. While less robust than I might hope, Mr. Gichuru has led sufficient evidence to prove on the balance of probabilities that the relationship between Mr. Purewal and his mother was sufficiently close, and Mr. Purewal's actions were sufficiently connected to his assigned tasks, that she is vicariously liable for his wrongdoing.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turn now to an assessment of damages. Mr. Gichuru is seeking combined damages of $135,000 under the categories of general damages, aggravated damages and punitive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discussed above, slander that falsely accuses someone of criminal behaviour is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general damages are presumed: </w:t>
      </w:r>
      <w:r>
        <w:rPr>
          <w:rFonts w:ascii="arial" w:eastAsia="arial" w:hAnsi="arial" w:cs="arial"/>
          <w:i/>
          <w:color w:val="000000"/>
          <w:sz w:val="20"/>
          <w:lang w:val="en-US" w:eastAsia="en-US" w:bidi="ar-SA"/>
        </w:rPr>
        <w:t>Lalli</w:t>
      </w:r>
      <w:r>
        <w:rPr>
          <w:rFonts w:ascii="arial" w:eastAsia="arial" w:hAnsi="arial" w:cs="arial"/>
          <w:color w:val="000000"/>
          <w:sz w:val="20"/>
          <w:lang w:val="en-US" w:eastAsia="en-US" w:bidi="ar-SA"/>
        </w:rPr>
        <w:t xml:space="preserve"> at para. 131. However there is no presumption that the damages for defamation should be significant: </w:t>
      </w:r>
      <w:r>
        <w:rPr>
          <w:rFonts w:ascii="arial" w:eastAsia="arial" w:hAnsi="arial" w:cs="arial"/>
          <w:i/>
          <w:color w:val="000000"/>
          <w:sz w:val="20"/>
          <w:lang w:val="en-US" w:eastAsia="en-US" w:bidi="ar-SA"/>
        </w:rPr>
        <w:t>Boehmke v. Grant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2010 BCSC 682</w:t>
        </w:r>
      </w:hyperlink>
      <w:r>
        <w:rPr>
          <w:rFonts w:ascii="arial" w:eastAsia="arial" w:hAnsi="arial" w:cs="arial"/>
          <w:color w:val="000000"/>
          <w:sz w:val="20"/>
          <w:lang w:val="en-US" w:eastAsia="en-US" w:bidi="ar-SA"/>
        </w:rPr>
        <w:t xml:space="preserve"> at para. 158, citing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182, the Supreme Court of Canada set out the factors which should be taken into account in assessing general damages for defamation. They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conduct of the plaintiff, his position and standing, the nature of the libel, the mode and extent of publication, the absence or refusal of any retraction or apology, and the whole conduct of the defendant from the time when the libel was published down to the very moment of their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also notes that each case of libel is unique, and detailed comparisons of libel awards is not necessarily productive. Instead, courts must take an individualized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libel case flows from a particular confluence of the following elements: the nature and circumstances of the publication of the libel, the nature and position of the victim of the libel, the possible effects of the libel statement upon the life of the plaintiff, and the actions and motivations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I have indicated, Mr. Gichuru is litigious by nature and I conclude that there is little evidence of objective harm caused to him by the statements. It must be remembered that although these statements of alleged criminal activity were troubling, the mode and extent of publication was minimal. Mr. Purewal made his statement by phone to 911 operators, and in person to two police officers. There is no evidence that the allegations were published beyond this. It is also clear that at no point did the police take the accusations seriously, nor did they investigate beyond attending at the residence. They treated this matter as an ongoing residential tenancy dispute. Accordingly, I am assessing damages for allegations of criminal conduct made within the context of a heated residential tenancy dispute, one in which Mr. Gichuru had already called the police on Mr. Purewal (although I make no findings of fact on whether that call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Further, although generally a tenant is in a vulnerable position relative to the landlord, here Mr. Gichuru was well aware of his tenancy rights both as a result of his legal training and his experience with the Residential Tenancy Branch. He had no problem asserting his rights, including attempting to record his interactions with the landlord, which can only have served to inflame the dispute. While Mr. Gichuru was under no obligation to assist the landlord in their attempts to evict him, he also cannot be rewarding for actively seeking to escalate the dispute to his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This context does not justify Mr. Purewal's behaviour, which was serious. But, like the case in </w:t>
      </w:r>
      <w:r>
        <w:rPr>
          <w:rFonts w:ascii="arial" w:eastAsia="arial" w:hAnsi="arial" w:cs="arial"/>
          <w:i/>
          <w:color w:val="000000"/>
          <w:sz w:val="20"/>
          <w:lang w:val="en-US" w:eastAsia="en-US" w:bidi="ar-SA"/>
        </w:rPr>
        <w:t>Chase v. Anfinson</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2018 BCSC 856</w:t>
        </w:r>
      </w:hyperlink>
      <w:r>
        <w:rPr>
          <w:rFonts w:ascii="arial" w:eastAsia="arial" w:hAnsi="arial" w:cs="arial"/>
          <w:color w:val="000000"/>
          <w:sz w:val="20"/>
          <w:lang w:val="en-US" w:eastAsia="en-US" w:bidi="ar-SA"/>
        </w:rPr>
        <w:t>, "this is not a situation where the plaintiff was innocent of any involvement in the events giving rise to the defamation":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On the factor of the plaintiff's standing, I point again to Mr. Gichuru's extensive and well-publicized history of litigation. Mr. Gichuru is legally trained and has significant litigation experience. In </w:t>
      </w:r>
      <w:r>
        <w:rPr>
          <w:rFonts w:ascii="arial" w:eastAsia="arial" w:hAnsi="arial" w:cs="arial"/>
          <w:i/>
          <w:color w:val="000000"/>
          <w:sz w:val="20"/>
          <w:lang w:val="en-US" w:eastAsia="en-US" w:bidi="ar-SA"/>
        </w:rPr>
        <w:t>Acumen Law Corporation v. Nguyen</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2018 BCSC 961</w:t>
        </w:r>
      </w:hyperlink>
      <w:r>
        <w:rPr>
          <w:rFonts w:ascii="arial" w:eastAsia="arial" w:hAnsi="arial" w:cs="arial"/>
          <w:color w:val="000000"/>
          <w:sz w:val="20"/>
          <w:lang w:val="en-US" w:eastAsia="en-US" w:bidi="ar-SA"/>
        </w:rPr>
        <w:t>, Justice Murray expressed concerns about lawyers suing for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 add here that a lawyer must exercise restraint when it comes to launching legal action when they receive a review that displeases them. It takes little for them to commence a lawsuit as they are familiar with the law and can represent themselves. Defendants on the other hand are often not so fortunate. They will have to incur expense to defend themselves, or they can do as this defendant did and ignore the claim -- in which case default judgment may be entered against them. This is particularly problematic in the context of defamation actions where a defendant must actively raise the available defences, such as the defence of truth or justification. It is likely that they will suffer significant anxiety about being sued by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negative review is not directly comparable to unfounded claims of criminal activity; but, while not determinative on this issue, I note that the greatest threat to Mr. Gichuru's reputation and standing in the community may be his own insistence on bringing legal action for every real or perceived slight he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for actual harm suffered, Mr. Gichuru led little evidence. His position seems to be based on the emotional harm caused by the statements. For example, he testified that when Mr. Purewal admitted at the Human Rights Tribunal that he had fabricated the allegations surrounding the alleged threats of arson he had to take a break and it was only then that he realized the ongoing emotional harm those statements caused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law is clear as a result of the Supreme Court of Canada case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that expert evidence is not necessary on the issue of emotional or psychological harm. A court can be satisfied on the basis of the evidence of the plaintiff if that evidence is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concluded that although the statements did cause Mr. Gichuru some personal distress, I also conclude that he has amplified their significance to him in order to further his litigation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Other than the emotional distress that Mr. Gichuru has suffered, there is no evidence that Mr. Purewal's statements have affected or will continue to affect his life (beyond, of course, the litigation that he elected to bring). Mr. Gichuru suffered the inconvenience of having to speak with the police when they attended the residence. But as noted above, Mr. Gichuru had already initiated contact with the police in relation to his tenancy dispute with Mr. Purewal. He was not arrested or detained, nor was his reputation with the police impacted, who did not take Mr. Purewal's allegations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With that said, the false allegation of crime is a serious accusation: </w:t>
      </w:r>
      <w:r>
        <w:rPr>
          <w:rFonts w:ascii="arial" w:eastAsia="arial" w:hAnsi="arial" w:cs="arial"/>
          <w:i/>
          <w:color w:val="000000"/>
          <w:sz w:val="20"/>
          <w:lang w:val="en-US" w:eastAsia="en-US" w:bidi="ar-SA"/>
        </w:rPr>
        <w:t>Clark v. East Sooke Rural Association</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2004 BCSC 1120</w:t>
        </w:r>
      </w:hyperlink>
      <w:r>
        <w:rPr>
          <w:rFonts w:ascii="arial" w:eastAsia="arial" w:hAnsi="arial" w:cs="arial"/>
          <w:color w:val="000000"/>
          <w:sz w:val="20"/>
          <w:lang w:val="en-US" w:eastAsia="en-US" w:bidi="ar-SA"/>
        </w:rPr>
        <w:t xml:space="preserve"> at para. 132. I have already found that Mr. Purewal acted maliciously, deliberately making a false report to the police out of frustration and in an attempt to illegally force Mr. Gichuru from his residence. These are certainly aggravating circumstances. Further, Mr. Gichuru testified that Mr. Purewal did not concede that he had lied about the allegation until the Human Rights Tribunal hearing. Mr. Purewal himself declined to appear at this trial, without reasons given. I draw an adverse inference from his absence, and find that Mr. Purewal has not retracted his statements or apologized.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parties provided me with a number of cases on the matter of damages. I will briefly canvas some cases that are most relevant to this issue, though none are directly analogous.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Lalli</w:t>
      </w:r>
      <w:r>
        <w:rPr>
          <w:rFonts w:ascii="arial" w:eastAsia="arial" w:hAnsi="arial" w:cs="arial"/>
          <w:color w:val="000000"/>
          <w:sz w:val="20"/>
          <w:lang w:val="en-US" w:eastAsia="en-US" w:bidi="ar-SA"/>
        </w:rPr>
        <w:t>, the defendant falsely reported to the police that the plaintiff approached her with a gun and threatened to kill her. As a result of the false reports, the plaintiff was arrested, taken into custody "in a public fashion", and charged with uttering threats. He consequently suffered an anxiety attack and had to be taken to the hospital. Justice Blok noted that the plaintiff had been "very adversely affected"; that making a false report is a serious matter; and that the defendants made no apology or retraction: para. 141. Accordingly, Blok J. awarded the plaintiff general damages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Austin v. Lynch</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2016 BCSC 1344</w:t>
        </w:r>
      </w:hyperlink>
      <w:r>
        <w:rPr>
          <w:rFonts w:ascii="arial" w:eastAsia="arial" w:hAnsi="arial" w:cs="arial"/>
          <w:color w:val="000000"/>
          <w:sz w:val="20"/>
          <w:lang w:val="en-US" w:eastAsia="en-US" w:bidi="ar-SA"/>
        </w:rPr>
        <w:t>, the plaintiff -- a politician -- was falsely accused of sexually abusing his foster child. This accusation took place publicly, at an "all-candidates" meeting that was broadcast over television. Justice Punnett found that these accusations had a serious emotional impact on the plaintiff, his wife, and their children, and that the reputational impact was increased because the plaintiff was a public figure and trained social worker. However, the defendant had retracted the statement and apologized quickly, which mitigated the impact. Overall, Punnett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Taking into account the position of the plaintiff, the egregious allegation, the early acknowledgment of the allegation's falseness, the impact of the allegations on the plaintiff and their serious and damaging nature I award general damages of $75,000 payable by Mr.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Prokorym v. Turpin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2014 BCSC 1893</w:t>
        </w:r>
      </w:hyperlink>
      <w:r>
        <w:rPr>
          <w:rFonts w:ascii="arial" w:eastAsia="arial" w:hAnsi="arial" w:cs="arial"/>
          <w:color w:val="000000"/>
          <w:sz w:val="20"/>
          <w:lang w:val="en-US" w:eastAsia="en-US" w:bidi="ar-SA"/>
        </w:rPr>
        <w:t>, the defendant sent out emails to a number of different email addresses within the plaintiff's industry, falsely claiming that the plaintiff was a convicted sex offender. The plaintiff's employer swiftly corrected the false allegations with the industry contacts who had received the email, and Justice Meiklem found that there would be limited impact on the plaintiff's life or reputation. However, he found that "the nature and circumstances of the publication of libel and the actions and motivations of the defendant are quite egregious on their face" (para. 30) and awarded general damages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Holden v. Hanlon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2019 BCSC 622</w:t>
        </w:r>
      </w:hyperlink>
      <w:r>
        <w:rPr>
          <w:rFonts w:ascii="arial" w:eastAsia="arial" w:hAnsi="arial" w:cs="arial"/>
          <w:color w:val="000000"/>
          <w:sz w:val="20"/>
          <w:lang w:val="en-US" w:eastAsia="en-US" w:bidi="ar-SA"/>
        </w:rPr>
        <w:t xml:space="preserve"> -- not submitted by parties because it was not available at the time, but still instructive -- the defendant published a series of postings on various social media platforms, alleging numerous unfounded allegations against the plaintiff. Among other allegations, the posts falsely accused the plaintiff of a range of criminal activity, including harassment, uttering threats against the defendant's life, and making serious false accusations against the defendant. Justice Dardi awarded the plaintiff general damages of $20,000 to compensate "for her personal distress and tarnished reputation as well as for any possible economic or business loss, which may have resulted but cannot be expressly proven": para. 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cases canvassed differ from the facts at hand in significant respects: in every case, either the false accusations were widely published, or the plaintiff suffered significant actual harm from the accusations. Of all the cases, </w:t>
      </w:r>
      <w:r>
        <w:rPr>
          <w:rFonts w:ascii="arial" w:eastAsia="arial" w:hAnsi="arial" w:cs="arial"/>
          <w:i/>
          <w:color w:val="000000"/>
          <w:sz w:val="20"/>
          <w:lang w:val="en-US" w:eastAsia="en-US" w:bidi="ar-SA"/>
        </w:rPr>
        <w:t>Lalli</w:t>
      </w:r>
      <w:r>
        <w:rPr>
          <w:rFonts w:ascii="arial" w:eastAsia="arial" w:hAnsi="arial" w:cs="arial"/>
          <w:color w:val="000000"/>
          <w:sz w:val="20"/>
          <w:lang w:val="en-US" w:eastAsia="en-US" w:bidi="ar-SA"/>
        </w:rPr>
        <w:t xml:space="preserve"> is most closely analogous, in that it involves the false report of a crime directly to the police. However, that case is distinguishable from the case at hand, because the plaintiff in </w:t>
      </w:r>
      <w:r>
        <w:rPr>
          <w:rFonts w:ascii="arial" w:eastAsia="arial" w:hAnsi="arial" w:cs="arial"/>
          <w:i/>
          <w:color w:val="000000"/>
          <w:sz w:val="20"/>
          <w:lang w:val="en-US" w:eastAsia="en-US" w:bidi="ar-SA"/>
        </w:rPr>
        <w:t>Lalli</w:t>
      </w:r>
      <w:r>
        <w:rPr>
          <w:rFonts w:ascii="arial" w:eastAsia="arial" w:hAnsi="arial" w:cs="arial"/>
          <w:color w:val="000000"/>
          <w:sz w:val="20"/>
          <w:lang w:val="en-US" w:eastAsia="en-US" w:bidi="ar-SA"/>
        </w:rPr>
        <w:t xml:space="preserve"> was "arrested, detained, handcuffed, and put through the criminal identification process". Charges were laid, which continue to affect his work and travel, although not significantly. He also suffered serious health consequences from the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Overall, taking into account the serious behaviour of the defendant and his lack of apology, with the narrow scope of publication and comparatively minor impact on the plaintiff, I find an award of general damages in the amount of $5,000 is appropriate in this case. Ms. Purewal and Mr. Purewal are jointly and severally liable for these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addition to general damages, Mr. Gichuru seeks aggravated damages, claiming that Mr. Purewal was motivated by actual malice and that he published the defamatory statements expressly to undermine the plaintiff's reputation and to force him to vacate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principles underpinning aggravated damages were laid out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188-191. Aggravated damages are compensatory in nature. They are to be awarded "where the defendant's conduct has been particularly high-handed or oppressive, thereby increasing the plaintiff's humiliation and anxiety arising from the libellous statement". They require a finding that the defendant was motivated by actual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Prokorym</w:t>
      </w:r>
      <w:r>
        <w:rPr>
          <w:rFonts w:ascii="arial" w:eastAsia="arial" w:hAnsi="arial" w:cs="arial"/>
          <w:color w:val="000000"/>
          <w:sz w:val="20"/>
          <w:lang w:val="en-US" w:eastAsia="en-US" w:bidi="ar-SA"/>
        </w:rPr>
        <w:t>, Meiklem J. found that it would be "difficult and artificial to divide the compensatory damages into two elements in this case": para. 36. Having taken into consideration the "spiteful and high-handed" conduct of the defendant in general damages, he declined to provide a separate award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that a similar outcome is appropriate here. Mr. Purewal's malicious and inexcusable conduct was addressed in general damages. I decline to award aggravated damages in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the Supreme Court summarized the purpose of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awarded against a defendant in exceptional cases for "malicious, oppressive and high-handed" misconduct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196. The test thus limits the award to misconduct that represents a marked departure from ordinary standards of decent behaviour. Because their objective is to punish the defendant rather than compensate a plaintiff (whose just compensation will already have been assessed), punitive damages straddle the frontier between civil law (compensation) and criminal law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in this case that Mr. Purewal's misconduct was sufficiently malicious to warrant punitive damages, which I assess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decline to award punitive damages against Ms. Purewal. As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punitive damages cannot be awarded against a vicariously liable employer "in absence of reprehensible conduct specifically referable to the employer": para. 91. While Ms. Purewal is vicariously liable for the general damages, by virtue of the relationship with her son as landlord, there is no evidence that she has engaged in any specific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Gichuru seeks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 court may, at its discretion, award special costs when it is satisfied that a party has engaged in reprehensible conduct in the course of the litigation. I find that special costs are not warranted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Accordingly, I award Mr. Gichuru costs at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Glenn v. Seair Seaplanes Ltd., [2012] B.C.J. No. 2428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S113276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Anne Glenn in her own right, as Personal Representative of Thomas Glenn, deceased, and as Executrix of the Estate of the said Thomas Glenn, Dorothy Glenn, by her Litigation Guardian Donna Poole, Matthew Kristen Glenn and Hayley Morgan Bradley (nee Glenn), Plaintiffs, and Seair Seaplanes Ltd., Francois St. Pierre, Victoria Air Maintenance Ltd., ABC Corporation, XYZ Corporation, John Doe, Jane Doe and Attorney General of Canada, Defendants, and Viking Air Ltd., Victoria Air Maintenance Ltd., The Attorney General of Canada, Seair Seaplanes Ltd. and Francois St. Pierre,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jc w:val="both"/>
        <w:rPr>
          <w:rFonts w:ascii="arial" w:eastAsia="arial" w:hAnsi="arial" w:cs="arial"/>
          <w:sz w:val="20"/>
          <w:lang w:val="en-US" w:eastAsia="en-US" w:bidi="ar-SA"/>
        </w:rPr>
      </w:pPr>
      <w:bookmarkStart w:id="38" w:name="Counsel_11"/>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Derek K. Miura.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Defendants/Third Parties, Seair Seaplanes Ltd. and Francois St. Pierre: W. Sean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11"/>
      <w:bookmarkEnd w:id="39"/>
      <w:r>
        <w:pict>
          <v:line id="_x0000_s1064" style="position:absolute;z-index:251722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S.F. KELLEHER J."/>
            <w:bookmarkEnd w:id="40"/>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are proceedings pursuant to Rule 9-4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considering points of law that arise from the pleadings. The parties consent to proceeding in this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material facts are not in dispute. The underlying action arises from a seaplane crash at Lyall Harbour on Saturna Island in British Columbia. The crash occurred on November 29, 2009. The deceased Thomas Glenn and his wife Barbara Glenn were among seven passengers on the seaplane. The action has been brought against the owner and operator of the seaplane, Seair Seaplanes Ltd. and the pilot, Francois St. Pierre.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also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other defendants, Viking Air Ltd., which holds the aircraft type certificate for the seaplane, Victoria Air Maintenance Ltd., which maintained and serviced the seaplane and the Attorney General of Canada who regulates commercial aviation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Slightly after take-off, the seaplane crashed. Mr. Glenn survived the crash but was unable to exit the cabin. He subsequently drowned. Ms. Glenn was able to escape the cabin and was rescued.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these facts, Mr. Glenn's estate brings an action under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 xml:space="preserve">"). The individual plaintiffs do so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The plaintiffs in both actions seek both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questions of law before the court are: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punitive damages arising from injury survive the death of the injured person under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aggravated damages arising from injury survive the death of the injured person under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punitive damages arising from death survive under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aggravated damages arising from death survive under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punitive damages arising from injury exist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aggravated damages arising from injury exist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punitive damages arising from death exist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claim for aggravated damages arising from death exist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Questions 2 and 4 are not in dispute. The defendants say and the plaintiff concedes that aggravated damages are not available under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leaves the other six questions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Questions 1 and 3 have been answered by the British Columbia Court of Appeal in </w:t>
      </w:r>
      <w:r>
        <w:rPr>
          <w:rFonts w:ascii="arial" w:eastAsia="arial" w:hAnsi="arial" w:cs="arial"/>
          <w:i/>
          <w:color w:val="000000"/>
          <w:sz w:val="20"/>
          <w:lang w:val="en-US" w:eastAsia="en-US" w:bidi="ar-SA"/>
        </w:rPr>
        <w:t>Lodge v. Fraser Health Authority</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2009 BCCA 108</w:t>
        </w:r>
      </w:hyperlink>
      <w:r>
        <w:rPr>
          <w:rFonts w:ascii="arial" w:eastAsia="arial" w:hAnsi="arial" w:cs="arial"/>
          <w:color w:val="000000"/>
          <w:sz w:val="20"/>
          <w:lang w:val="en-US" w:eastAsia="en-US" w:bidi="ar-SA"/>
        </w:rPr>
        <w:t xml:space="preserve">. The court in that case accepted that it was settled law that a claim for aggravated damages or punitive damages was not available under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 xml:space="preserve"> Bauman J.A. (as he then was)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In my view, the trial judge and this court, sitting as a panel of three, are bound by the decisions in </w:t>
      </w:r>
      <w:r>
        <w:rPr>
          <w:rFonts w:ascii="arial" w:eastAsia="arial" w:hAnsi="arial" w:cs="arial"/>
          <w:i/>
          <w:color w:val="000000"/>
          <w:sz w:val="20"/>
          <w:lang w:val="en-US" w:eastAsia="en-US" w:bidi="ar-SA"/>
        </w:rPr>
        <w:t>Campbell v. Read</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(1987), 22 B.C.L.R. (2d) 214</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Allan Estate v. Co-Operators Life Insurance Co.,</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1999 BCCA 35</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62 B.C.L.R. (3d) 329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In </w:t>
      </w:r>
      <w:r>
        <w:rPr>
          <w:rFonts w:ascii="arial" w:eastAsia="arial" w:hAnsi="arial" w:cs="arial"/>
          <w:i/>
          <w:color w:val="000000"/>
          <w:sz w:val="20"/>
          <w:lang w:val="en-US" w:eastAsia="en-US" w:bidi="ar-SA"/>
        </w:rPr>
        <w:t>Campbell v. Read,</w:t>
      </w:r>
      <w:r>
        <w:rPr>
          <w:rFonts w:ascii="arial" w:eastAsia="arial" w:hAnsi="arial" w:cs="arial"/>
          <w:color w:val="000000"/>
          <w:sz w:val="20"/>
          <w:lang w:val="en-US" w:eastAsia="en-US" w:bidi="ar-SA"/>
        </w:rPr>
        <w:t xml:space="preserve"> this court held that a claim for aggravated damages could not be maintained under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same result in respect of a claim for punitive damages was reached in </w:t>
      </w:r>
      <w:r>
        <w:rPr>
          <w:rFonts w:ascii="arial" w:eastAsia="arial" w:hAnsi="arial" w:cs="arial"/>
          <w:i/>
          <w:color w:val="000000"/>
          <w:sz w:val="20"/>
          <w:lang w:val="en-US" w:eastAsia="en-US" w:bidi="ar-SA"/>
        </w:rPr>
        <w:t>Allan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Here, the Estate could not maintain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turn now to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The Court of Appeal has also addressed the questions of law at bar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squarely. In </w:t>
      </w:r>
      <w:r>
        <w:rPr>
          <w:rFonts w:ascii="arial" w:eastAsia="arial" w:hAnsi="arial" w:cs="arial"/>
          <w:i/>
          <w:color w:val="000000"/>
          <w:sz w:val="20"/>
          <w:lang w:val="en-US" w:eastAsia="en-US" w:bidi="ar-SA"/>
        </w:rPr>
        <w:t>Campbell v. Read</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(1987), 22 B.C.L.R. (2d) 214</w:t>
        </w:r>
      </w:hyperlink>
      <w:r>
        <w:rPr>
          <w:rFonts w:ascii="arial" w:eastAsia="arial" w:hAnsi="arial" w:cs="arial"/>
          <w:color w:val="000000"/>
          <w:sz w:val="20"/>
          <w:lang w:val="en-US" w:eastAsia="en-US" w:bidi="ar-SA"/>
        </w:rPr>
        <w:t xml:space="preserve"> at 217, Wallace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Circumstances which may aggravate the loss or damage sustained by an injured party are personal to that individual in the same sense as is the pain, suffering and loss of amenities experienced by the injured party. Such loss is not an injury of the kind dependants sustain as a "result of the death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Allan Estate v. Cooperators Life Insurance Co</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1999 BCCA 35</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62 B.C.L.R. (3d) 329</w:t>
        </w:r>
      </w:hyperlink>
      <w:r>
        <w:rPr>
          <w:rFonts w:ascii="arial" w:eastAsia="arial" w:hAnsi="arial" w:cs="arial"/>
          <w:color w:val="000000"/>
          <w:sz w:val="20"/>
          <w:lang w:val="en-US" w:eastAsia="en-US" w:bidi="ar-SA"/>
        </w:rPr>
        <w:t>,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Punitive damages are not damages proportioned to the injury resulting from the death. The remedy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is a statutory one. There is no authority in the statute to award punitive damages. So punitive damages cannot be assessed or awarded in a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concede that appellate authority is against them. Counsel advised the court that he will be asking for a five-person panel of the British Columbia Court of Appeal to reconsider these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bound by the decisions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eight questions raised in this point of law proceeding must all be answered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Halliday v. Teasdale, [2019] B.C.J. No. 1414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S174987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E.T.R. (4th)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2175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John Halliday, Plaintiff, and Julie Teasdale, Wendy Ellsom and Cloutier Matthews Chartered Professional Accountants LLP, Administrator Pending Litigation of the Estate of John Ernest Halliday,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jc w:val="both"/>
        <w:rPr>
          <w:rFonts w:ascii="arial" w:eastAsia="arial" w:hAnsi="arial" w:cs="arial"/>
          <w:sz w:val="20"/>
          <w:lang w:val="en-US" w:eastAsia="en-US" w:bidi="ar-SA"/>
        </w:rPr>
      </w:pPr>
      <w:bookmarkStart w:id="41" w:name="Counsel_12"/>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G.T. Behan.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Julie Teasdale and Wendy Ellsom: P.J. Giroday.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12"/>
      <w:bookmarkEnd w:id="42"/>
      <w:r>
        <w:pict>
          <v:line id="_x0000_s1067"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C.E. HINKSON C.J.S.C."/>
            <w:bookmarkEnd w:id="43"/>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John Ernest Halliday (the "testator") executed wills dated July 21, 2001, March 7, 2014, and April 14, 2014. The first will (the "July will") left his entire estate to his son, the plaintiff, if the testator's first wife predeceased him. The latter two wills (the "contested wills") left the plaintiff the sum of $50,000 and the residue of his estate, valued at some $700,000, was left to his second wife, and if she predeceased him, as she ultimately did, then in equal shares to his second wife's daughters, Wendy Ellsom and Julie Teasdale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contended that both wills were invalid due to his father's incapacity and lack of knowledge to execute wills at those times, and/or due to undue influence by his father's second wife. He brought these proceedings, which were defended by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Cloutier Matthews Chartered Professional Accountants LLP, was appointed as the administrator of the testator's estate, pending the outcome of this action. The accountants took no position in the litigation, and were not represented at the trial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reasons for judgment indexed at </w:t>
      </w:r>
      <w:hyperlink r:id="rId255" w:history="1">
        <w:r>
          <w:rPr>
            <w:rFonts w:ascii="arial" w:eastAsia="arial" w:hAnsi="arial" w:cs="arial"/>
            <w:i/>
            <w:color w:val="0077CC"/>
            <w:sz w:val="20"/>
            <w:u w:val="single"/>
            <w:shd w:val="clear" w:color="auto" w:fill="FFFFFF"/>
            <w:lang w:val="en-US" w:eastAsia="en-US" w:bidi="ar-SA"/>
          </w:rPr>
          <w:t>2019 BCSC 554</w:t>
        </w:r>
      </w:hyperlink>
      <w:r>
        <w:rPr>
          <w:rFonts w:ascii="arial" w:eastAsia="arial" w:hAnsi="arial" w:cs="arial"/>
          <w:color w:val="000000"/>
          <w:sz w:val="20"/>
          <w:lang w:val="en-US" w:eastAsia="en-US" w:bidi="ar-SA"/>
        </w:rPr>
        <w:t>, I found that both of the contested wills were invalid due to both the incapacity of the testator and the undue influence of his second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now seeks an order that: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personal defendants pay him costs to be assessed at scale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to December 7, 2018, the date of his offer to settle his claim;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costs after December 7, 2018;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his actual legal costs and disbursements and the costs recovered from the personal defendants on a full indemnity basis from the testator's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personal defendants contend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estate should bear the costs of all parties;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bear their own costs, but not be required to pay any costs to the plaintiff;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plaintiff should not be awarded double costs;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be awarded special costs from the plaintiff for what they contend were his unfounded allegations of undue influence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10, 2016, the plaintiff sent a draft agreement to the personal defendants, pursuant to which he was to receive his father's entire estate and the personal defendants would avoid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December 7, 2018, the plaintiff served a formal offer to settle pursuant to Rule 9-1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included that: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consent to an order that the contested wills were both invalid;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defendants would consent to probate of the John Ernest Halliday's July will and appointment of the plaintiff as executor of John Ernest Halliday's estate;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asserts that having achieved this result in the proceedings, he should recover double costs of all of the steps taken in the proceeding after the date of service of his offer to settle pursuant to Rule 9-1(5)(b).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9-1(6)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Karpodinis v. Kantas</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2006 BCCA 400</w:t>
        </w:r>
      </w:hyperlink>
      <w:r>
        <w:rPr>
          <w:rFonts w:ascii="arial" w:eastAsia="arial" w:hAnsi="arial" w:cs="arial"/>
          <w:color w:val="000000"/>
          <w:sz w:val="20"/>
          <w:lang w:val="en-US" w:eastAsia="en-US" w:bidi="ar-SA"/>
        </w:rPr>
        <w:t xml:space="preserve"> at para. 4, Mr. Justice Hall, for the Court,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Costs considerations are meant to guide counsel and litigants in the choices and strategies they pursue in litigation. To refuse to award costs to the successful respondent in this case would not be helpful in fostering the interests served by the usual practice that successful litigants should be entitled to costs. In my view, no grounds have been demonstrated to disentitle the successful respondent to the costs of the appeal. I would not accede to the request of the appellant that the Court order the parties to bear their own costs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 the Court held that the first factor, whether the offer to settle was one that ought reasonably to have been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(B.C. S.C.) at para. 24; </w:t>
      </w:r>
      <w:r>
        <w:rPr>
          <w:rFonts w:ascii="arial" w:eastAsia="arial" w:hAnsi="arial" w:cs="arial"/>
          <w:i/>
          <w:color w:val="000000"/>
          <w:sz w:val="20"/>
          <w:lang w:val="en-US" w:eastAsia="en-US" w:bidi="ar-SA"/>
        </w:rPr>
        <w:t>E. (A.)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Litigation Guardian of) v. J. (D.W.)</w:t>
      </w:r>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E. (A.) (Litigation Guardian of) v. J. (D.W.)</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paras. 88-89, Mr. Justice Frankel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I appreciate there are no mandatory factors under Rule 37B(6) [now Rule 9-1] and that trial judges have discretion to take into account whatever factors they consider appropriate in a given case. However, the ultimate discretion as to double costs must be exercised in a just, principled, and consistent way. One of the goals of Rule 37B is to promote settlement by imposing consequences on parties who have refused to accept an offer that ought reasonably to have been accepted. While it may not invariably be the case, I consider that it would be generally antithetical to that goal to penalize an unsuccessful plaintiff with double costs for proceeding to trial in the face of an unreasonable offer. Virtually all litigation comes with a degree of risk. When faced with settlement offers, plaintiffs must carefully consider their positions. However, they should not to be cowed into accepting an unreasonable offer out of fear of being penalized with double costs if they are unable to "beat" that offer. Put somewhat differently, plaintiffs should not be penalized for declining an offer that did not provide a genuine incentive to settle in the circumstances. In this case, the Credit Union and Mr. Thomas have not pointed to anything that would support a finding that the plaintiffs' decision to refuse their offer was, at the time of the refusal, an unreasonable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I am also of the view that when an offer made by a defendant for the purpose of achieving a pre-trial settlement is reasonably refused, the mere fact that the action is ultimately dismissed in its entirety is not a consideration with respect to double costs. To take the disposition of the action into account would result in the "hindsight analysis" that Mr. Justice Hinkson, as he then was, cautioned against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See also: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 xml:space="preserve"> at para. 17. While I acknowledge that the relationship between the offer and the result at trial is specifically mentioned in subrule 37B(6)(b), I consider it to have no relevance in circumstances such as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Connor Estate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2017 BCSC 1341</w:t>
        </w:r>
      </w:hyperlink>
      <w:r>
        <w:rPr>
          <w:rFonts w:ascii="arial" w:eastAsia="arial" w:hAnsi="arial" w:cs="arial"/>
          <w:color w:val="000000"/>
          <w:sz w:val="20"/>
          <w:lang w:val="en-US" w:eastAsia="en-US" w:bidi="ar-SA"/>
        </w:rPr>
        <w:t xml:space="preserve"> at para. 23, Mr. Justice Kent held that an offer "which does not reflect a significantly compromised outcome should generally not lead to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the plaintiff's offer to settle was straightforward and provided extensive, rational, and objective reasons why it should be accepted, it would have constituted total success in the litigation by the plaintiff. In such circumstances, I find that it was not unreasonable for the personal defendants to have rejected the offer as, in effect, they did. I will discuss the reasons for this conclusion in more detail below, when I address costs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second factor, the plaintiff's offer was consistent with the final judgment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Insofar as the third factor, the relative financial circumstances of the parties is concerned, the evidence at trial indicated that all of the parties are financially secure. In addition to testifying that their net worth in 2015 exceeded the equivalent of $1 million, the personal defendants each inherited from the testator's second wife. In this case I do not regard that as a reason why the personal defendants should have capitulated entirely as I will explain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Insofar as the fourth factor is concerned, unless and until the evidence in this case was tested at trial, the personal defendants did not act unreasonably in declining the plaintiff's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Therefore, I decline to award double costs to the plaintiff under Rule 9-1(5)(b).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Personal Defendants'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29, 2019, counsel for the personal defendants advised the plaintiff that, "[w]e will be submitting to the court that your client should pay special costs to my clients for the unfounded allegation of undue influence, or that there should be other costs consequences resulting from that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amended his notice of civil claim on September 20, 2018, to withdraw the unfounded allegations of undue influence against the personal defendants. The personal defendants contend that by then they had already incurred considerable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Lantzius Estate</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2015 BCSC 1687</w:t>
        </w:r>
      </w:hyperlink>
      <w:r>
        <w:rPr>
          <w:rFonts w:ascii="arial" w:eastAsia="arial" w:hAnsi="arial" w:cs="arial"/>
          <w:color w:val="000000"/>
          <w:sz w:val="20"/>
          <w:lang w:val="en-US" w:eastAsia="en-US" w:bidi="ar-SA"/>
        </w:rPr>
        <w:t>, Madam Justice Gropper held that unsuccessful allegations of undue influence were insufficient to justify special costs. At para. 25, Gropper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2003 BCSC 285</w:t>
        </w:r>
      </w:hyperlink>
      <w:r>
        <w:rPr>
          <w:rFonts w:ascii="arial" w:eastAsia="arial" w:hAnsi="arial" w:cs="arial"/>
          <w:color w:val="000000"/>
          <w:sz w:val="20"/>
          <w:lang w:val="en-US" w:eastAsia="en-US" w:bidi="ar-SA"/>
        </w:rPr>
        <w:t>, Mr. Justice Joyce considered whether allegations of bad faith and malice that had not been proven, justified an award of special costs. At para. 16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order to justify an award of special costs, it is not sufficient simply to establish that the plaintiff's allegations of bad faith and malice were not proven. It is necessary to show that the plaintiff acted improperly in making or maintaining the allegations in this proceeding or otherwise acted improperly in the manner in which she conducted the litigation before special costs will be awarded. It must be shown, not just that the allegation was wrong, but that it was obviously unfounded, reckless or made out of malice. The matter must be considered from the point of view of the plaintiff at the time she made or maintained the allegations (see </w:t>
      </w:r>
      <w:r>
        <w:rPr>
          <w:rFonts w:ascii="arial" w:eastAsia="arial" w:hAnsi="arial" w:cs="arial"/>
          <w:i/>
          <w:color w:val="000000"/>
          <w:sz w:val="20"/>
          <w:lang w:val="en-US" w:eastAsia="en-US" w:bidi="ar-SA"/>
        </w:rPr>
        <w:t>Native Citizens Fisheries et al. v. James Walkus</w:t>
      </w:r>
      <w:r>
        <w:rPr>
          <w:rFonts w:ascii="arial" w:eastAsia="arial" w:hAnsi="arial" w:cs="arial"/>
          <w:color w:val="000000"/>
          <w:sz w:val="20"/>
          <w:lang w:val="en-US" w:eastAsia="en-US" w:bidi="ar-SA"/>
        </w:rPr>
        <w:t xml:space="preserve">, (July 10, 2002) </w:t>
      </w:r>
      <w:hyperlink r:id="rId263" w:history="1">
        <w:r>
          <w:rPr>
            <w:rFonts w:ascii="arial" w:eastAsia="arial" w:hAnsi="arial" w:cs="arial"/>
            <w:i/>
            <w:color w:val="0077CC"/>
            <w:sz w:val="20"/>
            <w:u w:val="single"/>
            <w:shd w:val="clear" w:color="auto" w:fill="FFFFFF"/>
            <w:lang w:val="en-US" w:eastAsia="en-US" w:bidi="ar-SA"/>
          </w:rPr>
          <w:t>2002 BCSC 1030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statement was adopted by the B.C. Court of Appeal in </w:t>
      </w:r>
      <w:r>
        <w:rPr>
          <w:rFonts w:ascii="arial" w:eastAsia="arial" w:hAnsi="arial" w:cs="arial"/>
          <w:i/>
          <w:color w:val="000000"/>
          <w:sz w:val="20"/>
          <w:lang w:val="en-US" w:eastAsia="en-US" w:bidi="ar-SA"/>
        </w:rPr>
        <w:t>Cimolai v. Hall</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this case, the claim of undue influence against the personal defendants occupied very little litigation time, and did not occupy any court time. As Gropper J. did in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I find that the unsuccessful allegation of undue influence in this case is insufficient to justify an award of special costs.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 Pursuant to Rule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Subrule 14-1(9) provides that, subject to factors that have no application in this case, costs of a proceeding must be awarded to the successful party unless the court orders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the subrule is subject to the discretion of a trial judge to order otherwise, the trial judge may exercise his or her discretion and make an order other than that the successful party will recover his or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v. Lee Estate</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(1993), 84 B.C.L.R. (2d) 341</w:t>
        </w:r>
      </w:hyperlink>
      <w:r>
        <w:rPr>
          <w:rFonts w:ascii="arial" w:eastAsia="arial" w:hAnsi="arial" w:cs="arial"/>
          <w:color w:val="000000"/>
          <w:sz w:val="20"/>
          <w:lang w:val="en-US" w:eastAsia="en-US" w:bidi="ar-SA"/>
        </w:rPr>
        <w:t xml:space="preserve">, cited with approval in </w:t>
      </w:r>
      <w:r>
        <w:rPr>
          <w:rFonts w:ascii="arial" w:eastAsia="arial" w:hAnsi="arial" w:cs="arial"/>
          <w:i/>
          <w:color w:val="000000"/>
          <w:sz w:val="20"/>
          <w:lang w:val="en-US" w:eastAsia="en-US" w:bidi="ar-SA"/>
        </w:rPr>
        <w:t>Vielbig v Waterland Estate</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(1995), 121 D.L.R. (4th) 485</w:t>
        </w:r>
      </w:hyperlink>
      <w:r>
        <w:rPr>
          <w:rFonts w:ascii="arial" w:eastAsia="arial" w:hAnsi="arial" w:cs="arial"/>
          <w:color w:val="000000"/>
          <w:sz w:val="20"/>
          <w:lang w:val="en-US" w:eastAsia="en-US" w:bidi="ar-SA"/>
        </w:rPr>
        <w:t>, Master Horn discussed the rule whereby the successful litigant is to recover his or her costs, and stated at p. 346: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probate or administration actions or in proceedings for the construction of wills, the rule [that costs follow the event] may be more frequently departed from. In such cases where the validity of a will or the capacity of the testator to make a will or the meaning of a will is in issue, it is sometimes the case that the costs of all parties are ordered to be paid out of the estate. This is upon the principle that where such an issue must be litigated to remove all doubts, then all interested parties must be joined and are entitled to be heard and should not be out of pocket if in the result the litigation does not conclude in their favour. The estate must bear the cost of settling disputes as a cost of administration. This is the reasoning which underlies such cases as </w:t>
      </w:r>
      <w:r>
        <w:rPr>
          <w:rFonts w:ascii="arial" w:eastAsia="arial" w:hAnsi="arial" w:cs="arial"/>
          <w:i/>
          <w:color w:val="000000"/>
          <w:sz w:val="20"/>
          <w:lang w:val="en-US" w:eastAsia="en-US" w:bidi="ar-SA"/>
        </w:rPr>
        <w:t>Re Dingwall</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(1967), 65 D.L.R. (2d) 43</w:t>
        </w:r>
      </w:hyperlink>
      <w:r>
        <w:rPr>
          <w:rFonts w:ascii="arial" w:eastAsia="arial" w:hAnsi="arial" w:cs="arial"/>
          <w:color w:val="000000"/>
          <w:sz w:val="20"/>
          <w:lang w:val="en-US" w:eastAsia="en-US" w:bidi="ar-SA"/>
        </w:rPr>
        <w:t xml:space="preserve"> (Ont. H.C.); and McNamara v. Hyde, </w:t>
      </w:r>
      <w:hyperlink r:id="rId268" w:history="1">
        <w:r>
          <w:rPr>
            <w:rFonts w:ascii="arial" w:eastAsia="arial" w:hAnsi="arial" w:cs="arial"/>
            <w:i/>
            <w:color w:val="0077CC"/>
            <w:sz w:val="20"/>
            <w:u w:val="single"/>
            <w:shd w:val="clear" w:color="auto" w:fill="FFFFFF"/>
            <w:lang w:val="en-US" w:eastAsia="en-US" w:bidi="ar-SA"/>
          </w:rPr>
          <w:t>[1943] 2 W.W.R. 344</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Re Lotzkar Estate</w:t>
      </w:r>
      <w:r>
        <w:rPr>
          <w:rFonts w:ascii="arial" w:eastAsia="arial" w:hAnsi="arial" w:cs="arial"/>
          <w:color w:val="000000"/>
          <w:sz w:val="20"/>
          <w:lang w:val="en-US" w:eastAsia="en-US" w:bidi="ar-SA"/>
        </w:rPr>
        <w:t xml:space="preserve"> (1965), 51 W.W.R. 99 (B.C.C.A.). The question to be asked in such case is whether the parties were forced into litigation by the conduct of the testator or the conduct of the main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Hollander v. Mooney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2017 BCCA 238</w:t>
        </w:r>
      </w:hyperlink>
      <w:r>
        <w:rPr>
          <w:rFonts w:ascii="arial" w:eastAsia="arial" w:hAnsi="arial" w:cs="arial"/>
          <w:color w:val="000000"/>
          <w:sz w:val="20"/>
          <w:lang w:val="en-US" w:eastAsia="en-US" w:bidi="ar-SA"/>
        </w:rPr>
        <w:t xml:space="preserve"> at para. 39, the Court of Appeal quoted the Ontario Court of Appeal decision in </w:t>
      </w:r>
      <w:r>
        <w:rPr>
          <w:rFonts w:ascii="arial" w:eastAsia="arial" w:hAnsi="arial" w:cs="arial"/>
          <w:i/>
          <w:color w:val="000000"/>
          <w:sz w:val="20"/>
          <w:lang w:val="en-US" w:eastAsia="en-US" w:bidi="ar-SA"/>
        </w:rPr>
        <w:t>McDougald Estate v. Gooderham</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(2005), 255 D.L.R. (4th) 435</w:t>
        </w:r>
      </w:hyperlink>
      <w:r>
        <w:rPr>
          <w:rFonts w:ascii="arial" w:eastAsia="arial" w:hAnsi="arial" w:cs="arial"/>
          <w:color w:val="000000"/>
          <w:sz w:val="20"/>
          <w:lang w:val="en-US" w:eastAsia="en-US" w:bidi="ar-SA"/>
        </w:rPr>
        <w:t xml:space="preserve"> (Ont. C.A.), with approval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McDougald Estate</w:t>
      </w:r>
      <w:r>
        <w:rPr>
          <w:rFonts w:ascii="arial" w:eastAsia="arial" w:hAnsi="arial" w:cs="arial"/>
          <w:color w:val="000000"/>
          <w:sz w:val="20"/>
          <w:lang w:val="en-US" w:eastAsia="en-US" w:bidi="ar-SA"/>
        </w:rPr>
        <w:t>, Madam Justice Gillese reviewed the development of the costs principles applicable to estate litigation, saying: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practice of the English courts, in estate litigation, is to order the costs of all parties to be paid out of the estate where the litigation arose as a result of the actions of the testator, or those with an interest in the residue of the estate, or where the litigation was reasonably necessary to ensure the proper administration of the estate. See </w:t>
      </w:r>
      <w:r>
        <w:rPr>
          <w:rFonts w:ascii="arial" w:eastAsia="arial" w:hAnsi="arial" w:cs="arial"/>
          <w:i/>
          <w:color w:val="000000"/>
          <w:sz w:val="20"/>
          <w:lang w:val="en-US" w:eastAsia="en-US" w:bidi="ar-SA"/>
        </w:rPr>
        <w:t>Mitchell v. Gard</w:t>
      </w:r>
      <w:r>
        <w:rPr>
          <w:rFonts w:ascii="arial" w:eastAsia="arial" w:hAnsi="arial" w:cs="arial"/>
          <w:color w:val="000000"/>
          <w:sz w:val="20"/>
          <w:lang w:val="en-US" w:eastAsia="en-US" w:bidi="ar-SA"/>
        </w:rPr>
        <w:t xml:space="preserve"> (1863), 3 Sw. &amp; Tr. 275, 164 E.R. 1280, and </w:t>
      </w:r>
      <w:r>
        <w:rPr>
          <w:rFonts w:ascii="arial" w:eastAsia="arial" w:hAnsi="arial" w:cs="arial"/>
          <w:i/>
          <w:color w:val="000000"/>
          <w:sz w:val="20"/>
          <w:lang w:val="en-US" w:eastAsia="en-US" w:bidi="ar-SA"/>
        </w:rPr>
        <w:t>Spiers v. English</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[1907] P. 122</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pt;height:10pt">
            <v:imagedata r:id="rId272" o:title=""/>
          </v:shape>
        </w:pict>
      </w:r>
      <w:r>
        <w:rPr>
          <w:rFonts w:ascii="arial" w:eastAsia="arial" w:hAnsi="arial" w:cs="arial"/>
          <w:color w:val="000000"/>
          <w:sz w:val="20"/>
          <w:lang w:val="en-US" w:eastAsia="en-US" w:bidi="ar-SA"/>
        </w:rPr>
        <w:t>. Public policy considerations underlie this approach: it is important that courts give effect to valid wills that reflect the intention of competent testators. Where the difficulties or ambiguities that give rise to the litigation are caused, in whole or in part, by the testator, it seems appropriate that the testator, through his or her estate, bear the costs of their resolution. If there are reasonable grounds upon which to question the execution of the will or the testator's capacity in making the will, it is again in the public interest that such questions be resolved without cost to those questioning the will's validity.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Traditionally, Canadian courts of first instance have followed the approach of the English courts. While the principle was that costs of all parties were ordered payable out of the estate if the dispute arose from an ambiguity or omission in the testator's will or other conduct of the testator, or there were reasonable grounds upon which to question the will's validity, such cost awards became virtually automatic.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However, the traditional approach has been -- in my view, correctly -- displaced. </w:t>
      </w:r>
      <w:r>
        <w:rPr>
          <w:rFonts w:ascii="arial" w:eastAsia="arial" w:hAnsi="arial" w:cs="arial"/>
          <w:color w:val="000000"/>
          <w:sz w:val="20"/>
          <w:u w:val="single"/>
          <w:lang w:val="en-US" w:eastAsia="en-US" w:bidi="ar-SA"/>
        </w:rPr>
        <w:t>The modern approach to fixing costs in estate litigation is to carefully scrutinize the litigation and, unless the court finds that one or more of the public policy considerations set out above applies, to follow the costs rules that apply in civil litigation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w:t>
      </w:r>
      <w:r>
        <w:rPr>
          <w:rFonts w:ascii="arial" w:eastAsia="arial" w:hAnsi="arial" w:cs="arial"/>
          <w:color w:val="000000"/>
          <w:sz w:val="20"/>
          <w:u w:val="single"/>
          <w:lang w:val="en-US" w:eastAsia="en-US" w:bidi="ar-SA"/>
        </w:rPr>
        <w:t>The modern approach to awarding costs, at first instance, in estate litigation recognises the important role that courts play in ensuring that only valid wills executed by competent testators are propounded. It also recognises the need to restrict unwarranted litigation and protect estates from being depleted by litigation</w:t>
      </w:r>
      <w:r>
        <w:rPr>
          <w:rFonts w:ascii="arial" w:eastAsia="arial" w:hAnsi="arial" w:cs="arial"/>
          <w:color w:val="000000"/>
          <w:sz w:val="20"/>
          <w:lang w:val="en-US" w:eastAsia="en-US" w:bidi="ar-SA"/>
        </w:rPr>
        <w:t>. Gone are the days when the costs of all parties are so routinely ordered payable out of the estate that people perceive there is nothing to be lost in pursuing estate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Chalmers v. Chalmers Alter Ego Trust</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2018 BCSC 336</w:t>
        </w:r>
      </w:hyperlink>
      <w:r>
        <w:rPr>
          <w:rFonts w:ascii="arial" w:eastAsia="arial" w:hAnsi="arial" w:cs="arial"/>
          <w:color w:val="000000"/>
          <w:sz w:val="20"/>
          <w:lang w:val="en-US" w:eastAsia="en-US" w:bidi="ar-SA"/>
        </w:rPr>
        <w:t xml:space="preserve"> at para. 10, Mr. Justice Tammen summarized the three public policy considerations that underlie this approach endorsed in </w:t>
      </w:r>
      <w:r>
        <w:rPr>
          <w:rFonts w:ascii="arial" w:eastAsia="arial" w:hAnsi="arial" w:cs="arial"/>
          <w:i/>
          <w:color w:val="000000"/>
          <w:sz w:val="20"/>
          <w:lang w:val="en-US" w:eastAsia="en-US" w:bidi="ar-SA"/>
        </w:rPr>
        <w:t>Hollander</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giving effect to valid wills that reflect the intention of competent testators;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appropriateness of the testator, through his or her estate, bearing the costs of the litigation where the difficulties or ambiguities that gave rise to the litigation were caused, in whole or in part, by the testator;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interest in resolving questions concerning the validity of wills without cost to those questioning the will's validity where there are reasonable grounds upon which to question the execution of the will or the testator's capacity in making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earlier reasons for judgment, I found that the will-maker and his second wife were the "cause" of the litigation, and found no fault on the part of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contends that one telling aspect of the personal defendants' case was that without any evidence to support their allegations, they relied on what they alleged to be a rift between the plaintiff and his father. There was little evidence from which to infer such a rift, but there was evidence that could have supported something of an estrangement between the plaintiff and his father that might have influenced the latter. I find that this allegation does not rise to a level of significance insofar as costs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the disputed wills evidenced the true and valid intention of the plaintiff's father, and he had the capacity to dispose of his estate on either March 7, 2014, or April 14, 2014, then the wills would have been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the solicitor who drew the contested wills gave evidence, albeit ultimately rejected by me, that the plaintiff's father had the capacity to understand and direct his affairs when the will dated April 14, 2014,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there is the fact that Cheryl Marie Buchan, who witnessed the execution of the April 14, 2014 will, gave evidence that the testator possessed the requisite capacity to execute a will at that time. While I rejected her evidence, I did not do so on the basis that she was anything other than an honest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the plaintiff advised me that John Ernest Halliday's estate has now commenced proceedings against the solicitor who drew the wills, seeking to recover damages for 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dealings with John Ernest Halliday and his second wife. If successful, the expectation is that the estate would be made whole; in other words, repaid for the costs, if any, that might be awarded from the estate to the plaintiff or the personal defendants for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takes the position that the potential claim against the solicitor is irrelevant to his claim for costs against the personal defendants because:</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authority that a claim commenced against a drafting solicitor is a reason to depart from the rule that costs follow the event, instead, the focus is on characterizing the dispute between the parties to the litigation;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was filed to preserve the limitation period and there is no information in respect of the likelihood of the claim's success or potential damages available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with these submissions on the plaintiff's behalf and will ignore the potential claim against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I accept that the litigation between the parties was an adversarial dispute, I have concluded that there were reasonable grounds upon which to both question and attempt to propound the disputed wills. In the result, I conclude that it was in the public interest for the parties to place before the Court the question of John Ernest Halliday's capacity to dispose of his estate on either March 7, 2014, or April 14, 2014, and the question of whether either will was the result of undue influence upon the plaintiff's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therefore, that this is a case where the costs of the plaintiff and the personal defendants should be paid out of the estate of John Ernest Halliday, and I so order.</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I have determined that the parties should recover their respective costs from the estate of John Ernest Halliday, I am not persuaded that they should fully recover their costs from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non-estate civil litigation, absent special circumstances, costs are generally awarded at Scale B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light of the direction from the Court of Appeal in </w:t>
      </w:r>
      <w:r>
        <w:rPr>
          <w:rFonts w:ascii="arial" w:eastAsia="arial" w:hAnsi="arial" w:cs="arial"/>
          <w:i/>
          <w:color w:val="000000"/>
          <w:sz w:val="20"/>
          <w:lang w:val="en-US" w:eastAsia="en-US" w:bidi="ar-SA"/>
        </w:rPr>
        <w:t>Hollander</w:t>
      </w:r>
      <w:r>
        <w:rPr>
          <w:rFonts w:ascii="arial" w:eastAsia="arial" w:hAnsi="arial" w:cs="arial"/>
          <w:color w:val="000000"/>
          <w:sz w:val="20"/>
          <w:lang w:val="en-US" w:eastAsia="en-US" w:bidi="ar-SA"/>
        </w:rPr>
        <w:t xml:space="preserve">, I have concluded that when fixing costs in this estate litigation, it is appropriate to follow the costs rules that apply in civil litigation, and thus award the plaintiff his costs at Scale B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award to the personal defendants one set of costs at Scale B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applications for double costs and for costs to be paid to him by the personal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will recover his legal costs and disbursements from John Ernest Halliday's estate at Scale B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personal defendants' application for special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personal defendants will recover one set of their legal costs and disbursements from the estate of John Ernest Halliday at Scale B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Haror v. Rana, [2018] B.C.J. No. 3553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P.K. Shergill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M191819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Ranbir Lal Haror, Plaintiff, and Sudarshan Rana, Defendant, and Sanminder Uppal and Gurdev Kaur,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jc w:val="both"/>
        <w:rPr>
          <w:rFonts w:ascii="arial" w:eastAsia="arial" w:hAnsi="arial" w:cs="arial"/>
          <w:sz w:val="20"/>
          <w:lang w:val="en-US" w:eastAsia="en-US" w:bidi="ar-SA"/>
        </w:rPr>
      </w:pPr>
      <w:bookmarkStart w:id="44" w:name="Counsel_13"/>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 McLean.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13"/>
      <w:bookmarkEnd w:id="45"/>
      <w:r>
        <w:pict>
          <v:line id="_x0000_s1071"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P.K. SHERGILL J."/>
            <w:bookmarkEnd w:id="46"/>
            <w:r>
              <w:rPr>
                <w:rFonts w:ascii="arial" w:eastAsia="arial" w:hAnsi="arial" w:cs="arial"/>
                <w:b/>
                <w:color w:val="000000"/>
                <w:sz w:val="30"/>
                <w:lang w:val="en-US" w:eastAsia="en-US" w:bidi="ar-SA"/>
              </w:rPr>
              <w:t>P.K. SHERGILL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summary judgment application brought by the defendant, Sudarshan Rana, pursuant to Rule 9-6(4)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defendant seeks dismissal of the action filed against him on the grounds that there is no genuine issue for trial. He also seeks costs pursuant to Rule 14-1.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relevant portions of Rule 9-6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"answering party", in relation to a claiming party's originating pleading, means a person who serves, on the claiming party, a responding pleading that relates to a claim made in the originating pleading;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"claiming party" means a party who filed an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by answering party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noted by the Court in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 32, the purpose of Rule 9-6 is to allow "for the summary determination of a claim in a procedure that engages evidence but does not assume the character of a summary trial" (cited with approval in </w:t>
      </w:r>
      <w:r>
        <w:rPr>
          <w:rFonts w:ascii="arial" w:eastAsia="arial" w:hAnsi="arial" w:cs="arial"/>
          <w:i/>
          <w:color w:val="000000"/>
          <w:sz w:val="20"/>
          <w:lang w:val="en-US" w:eastAsia="en-US" w:bidi="ar-SA"/>
        </w:rPr>
        <w:t>McLean v. Law Society of British Columbia</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2016 BCCA 368</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To succeed on a Rule 9-6 application, the defendant must prove that there is "no genuine issue of material fact requiring trial":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 11 citing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27. In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the Supreme Court of Canada explained the purpose of the summary judgment rule and set out the key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This appeal is from an application for summary judgment. 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 Conversely, it is essential to justice that claims disclosing real issues that may be successful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For this reason, the bar on a motion for summary judgment is high. The defendant who seeks summary dismissal bears the evidentiary burden of showing that there is "no genuine issue of material fact requiring trial":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27. The defendant must prove this; it cannot rely on mere allegations or the pleadings: </w:t>
      </w:r>
      <w:r>
        <w:rPr>
          <w:rFonts w:ascii="arial" w:eastAsia="arial" w:hAnsi="arial" w:cs="arial"/>
          <w:i/>
          <w:color w:val="000000"/>
          <w:sz w:val="20"/>
          <w:lang w:val="en-US" w:eastAsia="en-US" w:bidi="ar-SA"/>
        </w:rPr>
        <w:t>1061590 Ontario Ltd. v. Ontario Jockey Club</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(1995), 21 O.R. (3d) 547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Tucson Properties Ltd. v. Sentry Resources Ltd</w:t>
      </w:r>
      <w:r>
        <w:rPr>
          <w:rFonts w:ascii="arial" w:eastAsia="arial" w:hAnsi="arial" w:cs="arial"/>
          <w:color w:val="000000"/>
          <w:sz w:val="20"/>
          <w:lang w:val="en-US" w:eastAsia="en-US" w:bidi="ar-SA"/>
        </w:rPr>
        <w:t xml:space="preserve">. (1982), </w:t>
      </w:r>
      <w:hyperlink r:id="rId286" w:history="1">
        <w:r>
          <w:rPr>
            <w:rFonts w:ascii="arial" w:eastAsia="arial" w:hAnsi="arial" w:cs="arial"/>
            <w:i/>
            <w:color w:val="0077CC"/>
            <w:sz w:val="20"/>
            <w:u w:val="single"/>
            <w:shd w:val="clear" w:color="auto" w:fill="FFFFFF"/>
            <w:lang w:val="en-US" w:eastAsia="en-US" w:bidi="ar-SA"/>
          </w:rPr>
          <w:t>22 Alta. L.R. (2d) 44</w:t>
        </w:r>
      </w:hyperlink>
      <w:r>
        <w:rPr>
          <w:rFonts w:ascii="arial" w:eastAsia="arial" w:hAnsi="arial" w:cs="arial"/>
          <w:color w:val="000000"/>
          <w:sz w:val="20"/>
          <w:lang w:val="en-US" w:eastAsia="en-US" w:bidi="ar-SA"/>
        </w:rPr>
        <w:t xml:space="preserve"> (Q.B. (Master)), at pp. 46-47. If the defendant does prove this, the plaintiff must either refute or counter the defendant's evidence, or risk summary dismissal: </w:t>
      </w:r>
      <w:r>
        <w:rPr>
          <w:rFonts w:ascii="arial" w:eastAsia="arial" w:hAnsi="arial" w:cs="arial"/>
          <w:i/>
          <w:color w:val="000000"/>
          <w:sz w:val="20"/>
          <w:lang w:val="en-US" w:eastAsia="en-US" w:bidi="ar-SA"/>
        </w:rPr>
        <w:t>Murphy Oil Co. v. Predator Corp.</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(2004), 365 A.R. 326</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2004 ABQB 688</w:t>
        </w:r>
      </w:hyperlink>
      <w:r>
        <w:rPr>
          <w:rFonts w:ascii="arial" w:eastAsia="arial" w:hAnsi="arial" w:cs="arial"/>
          <w:color w:val="000000"/>
          <w:sz w:val="20"/>
          <w:lang w:val="en-US" w:eastAsia="en-US" w:bidi="ar-SA"/>
        </w:rPr>
        <w:t xml:space="preserve">, at p. 331, aff'd (2006), </w:t>
      </w:r>
      <w:hyperlink r:id="rId288" w:history="1">
        <w:r>
          <w:rPr>
            <w:rFonts w:ascii="arial" w:eastAsia="arial" w:hAnsi="arial" w:cs="arial"/>
            <w:i/>
            <w:color w:val="0077CC"/>
            <w:sz w:val="20"/>
            <w:u w:val="single"/>
            <w:shd w:val="clear" w:color="auto" w:fill="FFFFFF"/>
            <w:lang w:val="en-US" w:eastAsia="en-US" w:bidi="ar-SA"/>
          </w:rPr>
          <w:t>55 Alta. L.R. (4th) 1</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ABCA 69</w:t>
        </w:r>
      </w:hyperlink>
      <w:r>
        <w:rPr>
          <w:rFonts w:ascii="arial" w:eastAsia="arial" w:hAnsi="arial" w:cs="arial"/>
          <w:color w:val="000000"/>
          <w:sz w:val="20"/>
          <w:lang w:val="en-US" w:eastAsia="en-US" w:bidi="ar-SA"/>
        </w:rPr>
        <w:t xml:space="preserve">. Each side must "put its best foot forward" with respect to the existence or non-existence of material issues to be tried: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(Gen. Div.), at p. 434; </w:t>
      </w:r>
      <w:r>
        <w:rPr>
          <w:rFonts w:ascii="arial" w:eastAsia="arial" w:hAnsi="arial" w:cs="arial"/>
          <w:i/>
          <w:color w:val="000000"/>
          <w:sz w:val="20"/>
          <w:lang w:val="en-US" w:eastAsia="en-US" w:bidi="ar-SA"/>
        </w:rPr>
        <w:t>Goudie v. Ottawa (City)</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1 S.C.R. 141</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SCC 14</w:t>
        </w:r>
      </w:hyperlink>
      <w:r>
        <w:rPr>
          <w:rFonts w:ascii="arial" w:eastAsia="arial" w:hAnsi="arial" w:cs="arial"/>
          <w:color w:val="000000"/>
          <w:sz w:val="20"/>
          <w:lang w:val="en-US" w:eastAsia="en-US" w:bidi="ar-SA"/>
        </w:rPr>
        <w:t xml:space="preserve">, at para. 32. The chambers judge may make inferences of fact based on the undisputed facts before the court, as long as the inferences are strongly supported by the facts: </w:t>
      </w:r>
      <w:r>
        <w:rPr>
          <w:rFonts w:ascii="arial" w:eastAsia="arial" w:hAnsi="arial" w:cs="arial"/>
          <w:i/>
          <w:color w:val="000000"/>
          <w:sz w:val="20"/>
          <w:lang w:val="en-US" w:eastAsia="en-US" w:bidi="ar-SA"/>
        </w:rPr>
        <w:t>Guarantee Co. of North America</w:t>
      </w:r>
      <w:r>
        <w:rPr>
          <w:rFonts w:ascii="arial" w:eastAsia="arial" w:hAnsi="arial" w:cs="arial"/>
          <w:color w:val="000000"/>
          <w:sz w:val="20"/>
          <w:lang w:val="en-US" w:eastAsia="en-US" w:bidi="ar-SA"/>
        </w:rPr>
        <w:t>, at para. 30.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on December 6, 2015, two panels of a fence fell on him causing him injury (the "Incident"). The Incident occurred while the plaintiff was a tenant at a residential property located at 8071 134 Street, Surrey, B.C. (the "Tenanted Property"). At the time of the Incident, the plaintiff resided in a rental suite on the Tenanted Property (the "Rental Suite"). The plaintiff pleads, and the defendant admits in his responding pleading, that the defendant owns the Tenanted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alleged that the fence panels were part of a wooden fence (the "Fence") dividing the Tenanted Property and the neighbouring property located at 8057 134 Street, Surrey, B.C. (the "Neighbouring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the pleadings, the entrance to the Rental Suite is located at the back of the Tenanted Property. The Rental Suite is accessed using a pathway that runs along the side of the Tenanted Property. A portion of the pathway runs parallel to the Fence. On the date of the Incident, the plaintiff says that he was walking on the pathway to access the Rental Suite when the two fence panels suddenly fell on him, causing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a result of the Incident, the plaintiff says that he was hospitalized for over three months and has required extensive rehabilitation and treatment. Consequently, the plaintiff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13, 2017, relying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S.B.C. 2002, c. 78, s. 32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filed a Response to Civil Claim on August 1, 2017, and an Amended Response to Civil Claim on September 18, 2017. On September 19, 2017, the plaintiff filed an Amended Notice of Civil Claim in which he pleads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alleges the following against the defendant: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6, 2015, the Plaintiff was using the side walk way of the House to access the entrance of his rented basement suite at the House when all of a sudden two panels of the [Fence] dividing the House with the neighbor's property fell on him and caused several injuries to him (the "Accident"). ...</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Mr. Rana was in breach of his duties which he owed to the Plaintiff under the Rental Agreement and the laws by not providing the Plaintiff with a peaceful, uninterrupted, livable and safe environment to live in.</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exercise reasonable care to maintain the House and the fence in a reasonably safe condition. At all material times the Defendant should have known or ought to have known that the fence was in a bad shape and there was a foreseeable risk of injury.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exercise reasonable care in maintaining the fence and the Defendant's breach of the standard of care of a "reasonable person" in not having maintained the fence caused the injuries to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warn the Plaintiff of any hazard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Defendant failed to repair the panel and fence at the property when the Defendant knew or cause to know they are dangerous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to denying having any knowledge of the Fence being a hazard or in a precarious state, the defendant asserts the following in the Amended Response to Civil Claim:</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Fence was located on the Uppal [Neighbouring] Property and the Owners undertook the building, maintenance, and repair of the Fence which was replaced by them in May 2017 at their expense.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was the Defendant responsible for the building, maintenance, repair, or cost of replacing the Fence. ...</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states he was an occupier of the Rana [Tenanted] Property but at no material time did the Fence constitute a part of that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premises, and further, at no material time did the Defendant have physical possession over, responsibility for or control over the condition of the Fence.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times, the Defendant took all reasonable steps to ensure that the plaintiff would be reasonably safe while using the Property. Such steps include, but are not limited to:</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Regularly inspecting, maintaining and repairing the Pathway;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the path was clean and clear of debris;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the Pathway was well lit;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particulars as will be advised.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Fence is found to be located on the Rana [Tenanted] Property and the Fence is found to constitute a part of the premises, and further the Defendant is found to have physical possession over, responsibility for or control over the condition of the Fence, which is denied, then at all material time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Defendant took all reasonable steps to ensure that the plaintiff would be reasonably safe while using the Property. Such steps include, but are not limited to:</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a visual inspection of the Fence to ensure it was not a potential hazard to individuals using the Pathway;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Notifying the Owners that the Fence was a hazard and requesting repairs as needed;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particulars as will be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22, 2017, Master Caldwell granted leave to the defendant to file a Third Party Notice against Sanminder Uppal and Gurdev Kaur (the "Third Parties"). The defendant alleges that the Third Parties are the owners of the Neighbouring Property, that they own the Fence, and that they are therefore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has been no response filed by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 examination for discovery dates have been scheduled, and no trial dates have been set.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defendant argues that the claim against the defendant cannot succeed, as the defendant was not an "occupier"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because the Fence was located on the Neighbouring Property, not the Tenanted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plaintiff argues that regardless of whether the Fence was located on the Neighbouring Property or the Tenanted Property, the defendant was an occupier of the premises as he had responsibility for the Fence insofar as it faced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An "occupier" is defined in s. 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an occupier can either be a person who is in physical possession of premises, or someone who has responsibility for, and control over, the condition of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imposes a duty of care on occupiers of premises to ensure that the premises are reasonably safe:</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noted earlier, to succeed the defendant has the burden of proving that there is "no genuine issue of material fact requiring trial". For reasons outlined below, I find that the defendant has not met this high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note first that there is no affidavit evidence from any of the parties to the litigation. The only evidence in support of the application is the affidavit of Trinh Hoang, made September 4, 2018. Ms. Hoang is a paralegal at the defendant's counsel's law firm. Aside from attaching various communications and documents, the affidavit contains very little of substance going to the issues in dispute. It does not constitute the type of evidence contemplated by the authorities in applications of this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Attached to Ms. Hoang's affidavit is a copy of a survey plan which Ms. Hoang avers was generated by Adam Fulkerson of Target Land Surveying (the "Survey"). She states that Mr. Fulkerson was jointly retained by the defendant and the insurer for the Third Parties "to determine which property the Fence is on". That is the sum total of her evidence with respect to any of the issues that are raised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Survey is tendered by the defendant as evidence that the Fence is not on the defendant's property and that therefore the defendant is neither responsible for the condition of the Fence nor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problem with this argument is that there is no evidence as to how to interpret the Survey. The Survey, being schematic, simply shows property lines and a notation of the location of a fence on a specific property boundary. Even if I were to accept what the Survey appears on its face to show, absent any evidence from the person who conducted the survey, the defendant has not established that the Fence is not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Survey appears to show that the Fence is on what is described on the Survey as "Lot 7, PLAN 14662 (PID: 006-671-209), which is marked as "#8057". To the north, the Survey depicts a property described as "Lot 8, PLAN 14662 (PID: 001-619-705), which is marked as "#8071". Although the parties in their pleadings seem to accept that only Lot 8 (the Tenanted Property) is owned by the defendant, the pleadings are not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closest the evidence comes to considering ownership is Ms. Huang's affidavit at paragraph eight: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review of the third party notice, it is alleged the Fence is on the residential property of the Third Parties, which neighbors Mr. Rana's property opposite the Fence with a Parcel Identifier of 006-671-209.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 allegation of ownership is not proof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Finally, and most importantly, even if I were to accept that the defendant has established that the Fence is not on his property, there remains an issue as to whether he is nevertheless responsible for it. The plaintiff claims that the defendant is liable for the plaintiff's injuries because the defendant had "responsibility for, and control over, the condition" of the Fence, regardless of whose property the Fence was on. The defendant denies this allegation, but has not provided evidence to show that he is not responsible for the condition of the Fence. The defendant cannot simply rely on the alleged responsibility of the Third Parties because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specifically contemplates that both the defendant and the Third Parties may both be responsible as "occupiers".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Even if this Court were to accept by inference that the Fence was located on the Neighbouring Property, and that the Neighbouring Property is owned by the Third Parties, it is not open to this Court to interpret who had responsibility for and control over the fence dividing the two properties. To do so requires an evidentiary foundation. Such a foundation is lacking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Just as the mere existence of disputed facts in the pleadings will not defeat an application under Rule 9-6 (</w:t>
      </w:r>
      <w:r>
        <w:rPr>
          <w:rFonts w:ascii="arial" w:eastAsia="arial" w:hAnsi="arial" w:cs="arial"/>
          <w:i/>
          <w:color w:val="000000"/>
          <w:sz w:val="20"/>
          <w:lang w:val="en-US" w:eastAsia="en-US" w:bidi="ar-SA"/>
        </w:rPr>
        <w:t>McLean</w:t>
      </w:r>
      <w:r>
        <w:rPr>
          <w:rFonts w:ascii="arial" w:eastAsia="arial" w:hAnsi="arial" w:cs="arial"/>
          <w:color w:val="000000"/>
          <w:sz w:val="20"/>
          <w:lang w:val="en-US" w:eastAsia="en-US" w:bidi="ar-SA"/>
        </w:rPr>
        <w:t xml:space="preserve"> at para. 36), the mere existence of disputed facts will not prove the opposite. The burden is on the applicant to show that, despite the disputed facts, there is no genuine issue for trial. The defendant has failed to meet this burden.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Based on the evidence before me, I am unable to conclude that there is no genuine issue requiring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such,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shall have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P.K. SHERGILL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Hixon-Gause v. Roberts, [2003] I.L.R. para. M-1673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Parrett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June 5, 2003.</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2003</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[2003] I.L.R. para. M-1673</w:t>
      </w:r>
    </w:p>
    <w:p>
      <w:pPr>
        <w:spacing w:before="120" w:line="260" w:lineRule="atLeast"/>
        <w:rPr>
          <w:lang w:val="en-US" w:eastAsia="en-US" w:bidi="ar-SA"/>
        </w:rPr>
      </w:pPr>
      <w:r>
        <w:rPr>
          <w:rFonts w:ascii="arial" w:eastAsia="arial" w:hAnsi="arial" w:cs="arial"/>
          <w:color w:val="000000"/>
          <w:sz w:val="20"/>
          <w:lang w:val="en-US" w:eastAsia="en-US" w:bidi="ar-SA"/>
        </w:rPr>
        <w:t>Hixon-Gause v. Roberts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3" style="position:absolute;z-index:2516746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7" w:name="Keywords_0"/>
      <w:bookmarkEnd w:id="47"/>
      <w:r>
        <w:rPr>
          <w:rFonts w:ascii="arial" w:eastAsia="arial" w:hAnsi="arial" w:cs="arial"/>
          <w:b/>
          <w:color w:val="000000"/>
          <w:sz w:val="20"/>
          <w:lang w:val="en-US" w:eastAsia="en-US" w:bidi="ar-SA"/>
        </w:rPr>
        <w:t xml:space="preserve">Collision — Motor vehicle and bicycle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10-year-old child — Child weaving back and forth across lane — Child held 10 per cent liable.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8" w:name="Case Summary_0"/>
            <w:bookmarkEnd w:id="48"/>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a collision between the plaintiff's bicycle and the defendant's car. The 10-year-old plaintiff was riding his bicycle on a straight and level stretch of road. He was weaving from side to side in the westbound lane. The defendant, travelling in the same direction, saw him and honked her horn. She noticed that the plaintiff seemed to pay no attention. She claimed that he had pulled over to the side, but then as she passed he turned out again, hitting her car. The plaintiff suffered a fractured skull and other injuries. Only liability was addressed at this trial. </w:t>
            </w:r>
            <w:r>
              <w:rPr>
                <w:lang w:val="en-US" w:eastAsia="en-US" w:bidi="ar-SA"/>
              </w:rPr>
              <w:cr/>
            </w:r>
          </w:p>
          <w:p>
            <w:pPr>
              <w:spacing w:before="120" w:line="260" w:lineRule="atLeast"/>
              <w:ind w:left="240"/>
              <w:jc w:val="both"/>
              <w:rPr>
                <w:lang w:val="en-US" w:eastAsia="en-US" w:bidi="ar-SA"/>
              </w:rPr>
            </w:pPr>
            <w:bookmarkStart w:id="49" w:name="Holdings of Court_0"/>
            <w:bookmarkEnd w:id="49"/>
            <w:r>
              <w:rPr>
                <w:rFonts w:ascii="arial" w:eastAsia="arial" w:hAnsi="arial" w:cs="arial"/>
                <w:color w:val="000000"/>
                <w:sz w:val="20"/>
                <w:lang w:val="en-US" w:eastAsia="en-US" w:bidi="ar-SA"/>
              </w:rPr>
              <w:t>HELD: The defendant was held 90 per cent liable for the plaintiff's injuries.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There were inconsistencies in the defendant's evidence, and the Court concluded that the defendant had not slowed down much below the posted speed of 60 kph as she approached the plaintiff, and she had not moved to the left until she hit her brakes as the plaintiff veered towards her.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was old enough to be negligent, and had not met the standard of care of a reasonable child of the same age, intelligence and experience. However, the defendant had noticed the plaintiff's inattention to his own safety, and she was obliged to take special precautions for his safety. She should have slowed immediately to be ready to take some evasive action if necessary. As the adult approaching what she recognized as a risky situation, hers was the greatest fault. Only 10 per cent of liability was apportioned to the plaintiff.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apportionment of liability was confirmed on appeal, June 11, 2004 (C.A., Southin, Hall and Smith JJ.A., </w:t>
            </w:r>
            <w:hyperlink r:id="rId299"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 xml:space="preserve">, Docket. No. CA030953).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25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Holland (Guardian ad litem of) v. Marshall, [2008] B.C.J. No. 2827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C.J. Ross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4,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4,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26039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Penticton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2827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1899</w:t>
      </w:r>
    </w:p>
    <w:p>
      <w:pPr>
        <w:spacing w:before="120" w:line="260" w:lineRule="atLeast"/>
        <w:rPr>
          <w:lang w:val="en-US" w:eastAsia="en-US" w:bidi="ar-SA"/>
        </w:rPr>
      </w:pPr>
      <w:r>
        <w:rPr>
          <w:rFonts w:ascii="arial" w:eastAsia="arial" w:hAnsi="arial" w:cs="arial"/>
          <w:color w:val="000000"/>
          <w:sz w:val="20"/>
          <w:lang w:val="en-US" w:eastAsia="en-US" w:bidi="ar-SA"/>
        </w:rPr>
        <w:t>Between Jonathon David Holland, by his custodial parent and guardian ad litem, Zsuzsanna Holland, and the said Zsuzsanna Holland, Plaintiffs, and Dr. Linda Maureen Marshall, Cariboo Memorial Hospital and Health Centre - Interior Health Authority, The College of Physicians and Surgeons of British Columbia, Dr. Glenn A. Fedor, Dr. Roger A.G. Hicks, Dr. Judy Bannerman, Dr. Paul Sobkin, Dr. Noel J. Donnelly and Dr. Albert S. Kelly,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jc w:val="both"/>
        <w:rPr>
          <w:lang w:val="en-US" w:eastAsia="en-US" w:bidi="ar-SA"/>
        </w:rPr>
      </w:pPr>
      <w:bookmarkStart w:id="50" w:name="Counsel_14"/>
      <w:bookmarkEnd w:id="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5" style="position:absolute;z-index:2516756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Defendant Physicians: K. Douglas.</w:t>
      </w:r>
      <w:r>
        <w:rPr>
          <w:lang w:val="en-US" w:eastAsia="en-US" w:bidi="ar-SA"/>
        </w:rPr>
        <w:cr/>
      </w:r>
    </w:p>
    <w:p>
      <w:pPr>
        <w:spacing w:after="240"/>
        <w:rPr>
          <w:lang w:val="en-US" w:eastAsia="en-US" w:bidi="ar-SA"/>
        </w:rPr>
      </w:pPr>
      <w:bookmarkStart w:id="51" w:name="Judgment_14"/>
      <w:bookmarkEnd w:id="51"/>
      <w:r>
        <w:pict>
          <v:line id="_x0000_s1076" style="position:absolute;z-index:2517268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2" w:name="C.J. ROSS J. (orally)"/>
            <w:bookmarkEnd w:id="52"/>
            <w:r>
              <w:rPr>
                <w:rFonts w:ascii="arial" w:eastAsia="arial" w:hAnsi="arial" w:cs="arial"/>
                <w:b/>
                <w:color w:val="000000"/>
                <w:sz w:val="30"/>
                <w:lang w:val="en-US" w:eastAsia="en-US" w:bidi="ar-SA"/>
              </w:rPr>
              <w:t>C.J. ROSS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in this medical malpractice litigation brought by the defendant doctors pursuant to Rule 18A for an order dismissing the claims of the plaintiff Jonathon Holland.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yesterday I ruled on a contested application made by the plaintiff Jonathon Holland, who sought to adjourn the summary trial, and I did not grant the adjournment. The plaintiff was represented by an agent for the purpose of making the adjournment application but her retainer was limited to that, and she withdrew at the conclusion of the application. The plaintiff, although having notice of these proceedings, has opted not to participate in the summary trial application, although there are some materials that were filed earlier on behalf of the plaintiff that were before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defendant doctors filed extensive written submissions and authorities as well as expert evidence and has this morning reviewed those submissions at some length with me. In addition, I have reviewed in detail the two expert reports that were filed on behalf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essence of the plaintiff's claim with respect to Dr. Marshall and Dr. Donnelly relates to the management of labour and delivery, and the allegation is that the plaintiff suffered a brain injury as a consequence of his birth. The essence of the claim in relation to the remaining defendant doctors is, in general terms,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failure to diagnose the brain injury, make adequate treatment of that problem, make adequate referral to specialists, and failure to adequately inform the plaintiff and his mother with respect to the nature of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appears on the evidence that the plaintiff has been diagnosed as having symptoms consistent with Attention Deficit Disorder ("ADD"), Attention Deficit Hyperactivity Disorder ("ADHD") and Oppositional Defiance Disorder ("ODD") and has been treated for these disorders for a number of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the circumstances of his birth, it appears on the evidence that the prenatal circumstances were unremarkable. His mother was admitted to hospital in labour, and at that time, Dr. Marshall was monitoring the delivery. A conclusion was reached in the course of labour that Ms. Holland was slow in progressing through her second stage of labour. Dr. Donnelly, an obstetrician/gynaecologist, was then called in to consult. He examined Ms. Holland and concluded that her labour was obstructed, in his view, because of a combination of the size of the baby and the baby being in an occipital posterior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concluded that the appropriate plan was to rotate the fetus, using forceps, into an anterior position to assist in delivery. Dr. Marshall agreed with the plan, and Ms. Holland was taken into an area of the hospital where it would have been possible to perform a caesarean had that eventuality presented itself. Dr. Donnelly rotated the baby with forceps and delivered the baby in the anterior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appears on the evidence that the fetal heart monitoring prior to and during the delivery demonstrated no fetal distress. In addition, when Jonathon was born, his Apgar scores were seven at one minute, nine at five minutes, and nine at ten minutes, which were described by the experts who provided opinions as being very reassuring. It appears on the evidence that he was born in good condition and that there was no sign of fetal distress prior to or during delivery.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was discharged, and with the exception of some jaundice which is unrelated to the allegations in the litigation, in the course of his follow-up there was no sign of any difficulty.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observations of the ADD or ADHD symptoms appear to be in 1995 when Ms. Holland attended Dr. Hicks and expressed concerns about hyperactivity and impaired concentration. At that point the doctor noted that his mother had already been to see Mental Health concerning Jonathon's behaviour, which included aggressive hyper behaviour, defiance, lack of attention, and failure to complete tasks. It was recommended that Jonathon be brought in for an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that time, Jonathon was started on a course of Ritalin and was seen by a number of other doctors, including the remaining defendants in the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Expert evidence has been filed on behalf of the defendants by Dr. Peter Beresford, who is an obstetrician/gynaecologist. It was his conclusion with respect to Dr. Marshall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summary, I have no hesitation in stating that Dr. Marshall's care during Ms. Holland's prenatal course met the standard of care and was above reproach.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Dr. Donnelly, he concludes that Dr. Marshall appropriately consulted with Dr. Donnelly when the second stage of labour was failing to progress. With respect to Dr. Donnelly's plan for the labour, Dr. Beresford notes: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cannot fault in any way his conduct of the forceps delivery. Indeed, he is to be commended to have had the foresight to arrange for the availability of an operating room and anaesthetist in the middle of the night in a small community hospital. He was clearly prepared to perform a caesarean section as an alternate mode of delivery should he have experienced any difficulty with the forceps delivery. It is my opinion that both Dr. Donnelly and Dr. Marshall met the standard of care expected of both an obstetrician and family practitioner respectively.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issue of causation, it was his opinion that the antepartum monitoring and the infant's subsequent neonatal course gave no indication at all of any potential difficulties later in life related to the birth. There is no evidence of any asphyxial event during the labour and delivery or of direct trauma as a consequence of the forceps delivery.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as well an opinion from Dr. Howard Pendleton, who is an obstetrician/gynaecologist. His opinion was to the same effect with respect to standard of care of both Dr. Marshall and Dr. Donnelly. He notes that the fetal heart strips taken late in the first stage and during the second stage of labour were entirely reassuring, showing a very healthy baby with a normal heart rate and reactivity. He stated that he has no problem with the decision and preparedness for delivery, and that the Apgar scores show no evidence of significant depression of the baby. He notes that the subsequent analysis of the baby showed no evidence of any problem following the birth. In the event that the birth had been forceful or dangerous, trauma to the skin or bones might have been easily obvious. This was not the case. He concludes: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believe both the hospital staff and the medical staff conducted this delivery in an entirely appropriate way with a satisfactory outcome and that there is nothing in the records to suggest any risk whatsoever for the future health associated with this hospital delivery, and Baby Jonathon's subsequent visits to the Cariboo Memorial Hospital similarly draw no attention to any defect related to pregnancy or birth.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there is an opinion from Dr. David Kason, a family physician. Dr. Kason is a family physician who has an active paediatric practice which has included the management of patients with diagnoses of ADHD and ODD as well as patients with congenital and acquired brain injury. He commented on the standard of care of Dr. Marshall and concluded that Dr. Marshall met the standard of care expected of a reasonable and prudent general practitioner in the care and treatment of Jonathon Holland. He also commented on the standard of care provided to Jonathon by the defendants Drs. Fedor, Sobkin, Hicks, Bannerman, and Kelly subsequent to birth. His report concludes that all of these defendant physicians met the standard of care expected of reasonable and prudent general practitioners in their care and treatment of Jonathon.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issue of causation, his opinion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fetal heart monitoring prior to and during the delivery was satisfactory and demonstrated no fetal distress. Jonathon's recorded birth rate was 4,110 grams. Jonathon had Apgar scores of seven at one minute, nine at five minutes, and nine at 10 minutes, and these parameters are consistent with a term infant without evidence of neurological insult. Jonathon Holland was delivered at term and without injury. He was discharged from hospital on April 23, 1987. An examination of Jonathon done at the time of discharge was normal with the exception of some physiological jaundice which was to be followed outside of the hospital. It is my opinion that Jonathon Holland's ADHD and behavioural problems are not the result of inadequate obstetrical management provided by Dr. Marshall.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balance of expert evidence, there is no evidence filed by the plaintiff from a qualified obstetrician or GP or family physician on the standard of care and, accordingly, no evidence that contradicts or qualifies the expert opinion provided by the defence. There is expert opinion of a Dr. Todd Kettner, who is a registered psychologist, and a Grant Bogyo, a psychologist, that was filed by the plaintiff. I have reviewed these reports. In the first place, neither expert would be qualified to give evidence with respect to the standard of care of physicians. In any event, they do not offer such opinions, so there is nothing in those reports that goes to the issue of standard of care and, in addition, nothing that goes to the issue of causation in the sense of linking any of the conditions that Jonathon manifests to the circumstances of his birth or any of the treatment provided by any of the defendants since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Kettner notes that Jonathon clearly meets the diagnostic criteria for attention deficit hyperactivity disorder combined type, but this is not of assistance in relation to either the issue of standard of care or causation. Mr. Bogyo notes soft-sign neurological deficits revealed through developmental delays and problem behaviours manifested in childhood and adolescence. Again, this is not of assistance in relation to the issue of standard of care or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Bogyo does depose that it is consistent with his findings and assessment that the plaintiff mother and son suffer from psychological trauma due to a lack of understanding and limited information alleged by way of non-disclosure with respect to the true medical condition of the plaintiff. This observation is so qualified as to be unhelpful and, further, in my view, does not assist with respect to the issue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result, I conclude that, first, it is possible to find the facts necessary to resolve matters on this 18A application and that it would be just to do so. I find that on the evidence, the standard of care of all of the physicians was that of a prudent and reasonable practitioner and that there is no evidence to suggest that any of these physicians breached the standard of care with respect to the plaintiff Jonathon Holland and, second, that there is no evidence that would establish the element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note as well that there is no evidence before the court that Jonathon Holland suffered an injury in the course of his delivery. There is no evidence, for example, of any deprivation of oxygen or sign of fetal distress, so the court is not in a position to conclude that there was an injury at birth.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is a remaining issue that has been raised in the proceedings with respect to allegations of destruction of documents. With respect to that, the case law establishes that in order for a finding of spoilation to be made, the party making the allegations must establish four elements: first, that evidence has been destroyed; second, that evidence that was destroyed was relevant to an issue in the lawsuit; third, that legal proceedings were then pending; and fourth, that the destruction of the documents was an intentional act indicative of fraud or an intention to suppress the truth: see </w:t>
      </w:r>
      <w:r>
        <w:rPr>
          <w:rFonts w:ascii="arial" w:eastAsia="arial" w:hAnsi="arial" w:cs="arial"/>
          <w:b/>
          <w:i/>
          <w:color w:val="000000"/>
          <w:sz w:val="20"/>
          <w:lang w:val="en-US" w:eastAsia="en-US" w:bidi="ar-SA"/>
        </w:rPr>
        <w:t>Dyk v. Protec Automotive Repairs</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(1997) 41 B.C.L.R. (3d) 197</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151 D.L.R. (4th) 374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case at bar, there is some evidence that some or all of Ms. Holland's hospital chart was destroyed in 1998 or 1999. The evidence is that this destruction was in accordance with standard hospital policy which has limited retention of inpatient daycare and outpatient records, with the exception of newborn and paediatric charts, for 11 years. The destruction took place long before the litigation was commenced in 2005 and long before any notice of litigation, in that a request for records was made by Maris McMillan of Murphy Battista in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evidence that any of the physician defendants destroyed any medical records relating to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Accordingly, with respect to the physician defendants, there is no evidence that that evidence has been destroyed. In relation to the hospital defendants who are no longer a part of this litigation, there is evidence that documents have been destroyed that would be relevant to an issue; however, there is no evidence and in fact it is clear that the documents were destroyed before legal proceedings were pending. There is no evidence that the destruction was an intentional act indicative of fraud or with any intention to suppress the truth.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with respect to all defendants, the issue of spoilation is not made out in the circumstances of the case at 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result, I grant judgment to the defendant doctors pursuant to Rule 18A, dismissing the claims of the plaintiff Jonathon Holland, with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DOUGLAS: Thank you, My Lady. I would simply ask that costs follow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DOUGLAS: Thank you, My Lady.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C.J. ROSS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Horvath v. Thring, [2004] I.L.R. para. M-1713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Ballance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October 31, 2003.</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2003</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[2004] I.L.R. para. M-1713</w:t>
      </w:r>
    </w:p>
    <w:p>
      <w:pPr>
        <w:spacing w:before="120" w:line="260" w:lineRule="atLeast"/>
        <w:rPr>
          <w:lang w:val="en-US" w:eastAsia="en-US" w:bidi="ar-SA"/>
        </w:rPr>
      </w:pPr>
      <w:r>
        <w:rPr>
          <w:rFonts w:ascii="arial" w:eastAsia="arial" w:hAnsi="arial" w:cs="arial"/>
          <w:color w:val="000000"/>
          <w:sz w:val="20"/>
          <w:lang w:val="en-US" w:eastAsia="en-US" w:bidi="ar-SA"/>
        </w:rPr>
        <w:t>Horvath v. Thring</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8"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3" w:name="Keywords_1"/>
      <w:bookmarkEnd w:id="53"/>
      <w:r>
        <w:rPr>
          <w:rFonts w:ascii="arial" w:eastAsia="arial" w:hAnsi="arial" w:cs="arial"/>
          <w:b/>
          <w:color w:val="000000"/>
          <w:sz w:val="20"/>
          <w:lang w:val="en-US" w:eastAsia="en-US" w:bidi="ar-SA"/>
        </w:rPr>
        <w:t xml:space="preserve">Joint tortfeasors — Apportionment of liability — Motorcycle accident at race site — Driver and police officers not joint tortfeasors — Immunity from suit — Police officer's application for pension not a release of his claim — Immunity of one tortfeasor not barring liability of remaining tortfeasors — Crown Liability and Proceedings Act, </w:t>
      </w:r>
      <w:hyperlink r:id="rId315" w:history="1">
        <w:r>
          <w:rPr>
            <w:rFonts w:ascii="arial" w:eastAsia="arial" w:hAnsi="arial" w:cs="arial"/>
            <w:b/>
            <w:i/>
            <w:color w:val="0077CC"/>
            <w:sz w:val="20"/>
            <w:u w:val="single"/>
            <w:shd w:val="clear" w:color="auto" w:fill="FFFFFF"/>
            <w:lang w:val="en-US" w:eastAsia="en-US" w:bidi="ar-SA"/>
          </w:rPr>
          <w:t>R.S.C. 1985, c. C-50, s. 9</w:t>
        </w:r>
      </w:hyperlink>
      <w:r>
        <w:rPr>
          <w:rFonts w:ascii="arial" w:eastAsia="arial" w:hAnsi="arial" w:cs="arial"/>
          <w:b/>
          <w:color w:val="000000"/>
          <w:sz w:val="20"/>
          <w:lang w:val="en-US" w:eastAsia="en-US" w:bidi="ar-SA"/>
        </w:rPr>
        <w:t xml:space="preserve"> — Pension Act, </w:t>
      </w:r>
      <w:hyperlink r:id="rId316" w:history="1">
        <w:r>
          <w:rPr>
            <w:rFonts w:ascii="arial" w:eastAsia="arial" w:hAnsi="arial" w:cs="arial"/>
            <w:b/>
            <w:i/>
            <w:color w:val="0077CC"/>
            <w:sz w:val="20"/>
            <w:u w:val="single"/>
            <w:shd w:val="clear" w:color="auto" w:fill="FFFFFF"/>
            <w:lang w:val="en-US" w:eastAsia="en-US" w:bidi="ar-SA"/>
          </w:rPr>
          <w:t>R.S.C. 1985, c. P-6, s. 111</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4" w:name="Case Summary_1"/>
            <w:bookmarkEnd w:id="5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for an order dismissing the plaintiff's claim, or alternatively for an order that the defendants were severally liable for only 50 per cent of the plaintiff's damages. The plaintiff, a member of the RCMP, was injured in a motorcycle accident while on duty at a bicycle race site. The plaintiff sued T, the driver of the truck he collided with, GM, the owner of the truck, other RCMP officers at the site, and the Crown. The trial judge apportioned liability equally between the Crown, T and GM. After trial, it was learned that the plaintiff had applied for and was approved to receive a disability pension. Under section 9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and section 111 of the </w:t>
            </w:r>
            <w:r>
              <w:rPr>
                <w:rFonts w:ascii="arial" w:eastAsia="arial" w:hAnsi="arial" w:cs="arial"/>
                <w:i/>
                <w:color w:val="000000"/>
                <w:sz w:val="20"/>
                <w:lang w:val="en-US" w:eastAsia="en-US" w:bidi="ar-SA"/>
              </w:rPr>
              <w:t>Pension Act</w:t>
            </w:r>
            <w:r>
              <w:rPr>
                <w:rFonts w:ascii="arial" w:eastAsia="arial" w:hAnsi="arial" w:cs="arial"/>
                <w:color w:val="000000"/>
                <w:sz w:val="20"/>
                <w:lang w:val="en-US" w:eastAsia="en-US" w:bidi="ar-SA"/>
              </w:rPr>
              <w:t xml:space="preserve">, there could be no action against the Crown for damages if a pension was payable to the plaintiff. The Court of Appeal held that the trial judge should have made a finding of fault rather than liability [ see M-1425]. The defendants now sought to clarify whether they were liable to the plaintiff. They argued that the plaintiff's application for a pension was equivalent to his having executed a release of his claims against the Crown in exchange for compensation in the form of a pension. They also claimed that the release of one tortfeasor released all the other defendants. </w:t>
            </w:r>
            <w:r>
              <w:rPr>
                <w:lang w:val="en-US" w:eastAsia="en-US" w:bidi="ar-SA"/>
              </w:rPr>
              <w:cr/>
            </w:r>
          </w:p>
          <w:p>
            <w:pPr>
              <w:spacing w:before="120" w:line="260" w:lineRule="atLeast"/>
              <w:ind w:left="240"/>
              <w:jc w:val="both"/>
              <w:rPr>
                <w:lang w:val="en-US" w:eastAsia="en-US" w:bidi="ar-SA"/>
              </w:rPr>
            </w:pPr>
            <w:bookmarkStart w:id="55" w:name="Holdings of Court_1"/>
            <w:bookmarkEnd w:id="55"/>
            <w:r>
              <w:rPr>
                <w:rFonts w:ascii="arial" w:eastAsia="arial" w:hAnsi="arial" w:cs="arial"/>
                <w:color w:val="000000"/>
                <w:sz w:val="20"/>
                <w:lang w:val="en-US" w:eastAsia="en-US" w:bidi="ar-SA"/>
              </w:rPr>
              <w:t>HELD: The action was not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statutory bar against a claim against the Crown operated once the plaintiff showed that he was a member of the RCMP and had been injured; he was then entitled to a future award. In applying for a pension, the plaintiff could not be said to have granted a release of his claim; it was the statutory terms of his employment contract made the bar operative.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also found that the Crown, T and GM were not joint tortfeasors. The defendants had not acted in concert, and the conduct on which the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based was different from that of the truck driver.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defendants also argued that since the Crown was no longer liable, they could not obtain contribution from the Crown, and GM and T should therefore be liable for only 50 per cent of the plaintiff's damages. The Court held that where one tortfeasor was immune from suit, the liability of the remaining tortfeasors remained joint and several, despite the fact that the remaining defendants had no right of contribution from the immune tortfeasor. There was no reason to reduce T and GM's liability to less than 100 per cent.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27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Ho v. Ip, [2019] B.C.J. No. 2503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15-17, 23-25,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M171897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Ho, Plaintiff, and Kam Cheung Ip,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(174 paras.)</w:t>
      </w:r>
    </w:p>
    <w:p>
      <w:pPr>
        <w:jc w:val="both"/>
        <w:rPr>
          <w:rFonts w:ascii="arial" w:eastAsia="arial" w:hAnsi="arial" w:cs="arial"/>
          <w:sz w:val="20"/>
          <w:lang w:val="en-US" w:eastAsia="en-US" w:bidi="ar-SA"/>
        </w:rPr>
      </w:pPr>
      <w:bookmarkStart w:id="56" w:name="Counsel_15"/>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Sayn-Wittgenstein.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M.G. Bolda.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15"/>
      <w:bookmarkEnd w:id="57"/>
      <w:r>
        <w:pict>
          <v:line id="_x0000_s1081" style="position:absolute;z-index:251728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T.C. ARMSTRONG J."/>
            <w:bookmarkEnd w:id="58"/>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December 2016, the plaintiff was struck by the defendant's car as he was crossing a road in Richmond, BC. As a result of the accident, he suffered multiple injuries. Liability for the accident is admitted by the defendant and this trial concerned the assessment of Mr. Ho's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79-year-old retired bank manager who came to Canada in 1983 from Hong Kong. He has lived in Richmond since 1985 and was involved in real estate as a sales agent and broker before his retirement. He obtained an Urban Land Economics diploma from UBC and worked in real estate until approximately 2013 or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never been married and lived on his own in a house in Richmond B.C. owned by his brother. The plaintiff's brother Alan owned this house and rented a larger area to tenants while allowing the plaintiff to occupy a smaller area. Mr. Ho managed the property and his brother's tenants; he performed all the house maintenance and upkeep as well as collecting rents and taking overall care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had been a licensed realtor and worked full time in BC for almost seven years before the accident. Although he was retired from his career in real estate, he maintained a keen interest in current events involving real estate and economics and would customarily go to his former office once or twice a week where he would update himself on real estate issues and confer with coworkers. He remained engaged in seminars and social events connected with his real estate company's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Until the accident occurred, he actively travelled and explored the Lower Mainland of BC by car, bus or on foot. He enjoyed going to local parks and natural surroundings. In his early years he had been involved in several athletic activities but later on was enthused with ballroom dancing. He was known to demonstrate exciting dance moves. He and his dance partner, Ms. Otsuji would dance together once per week before the accident; he enjoyed the good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the accident the plaintiff was self-sufficient in most aspects of his life including cooking, maintaining his home, attending to the yard work surrounding his brother's house, shopping, driving and personal maintenance. He had knee and ankle arthritis before the accident and would use a cane to steady himself if he was walking in the rain or snow. Sometimes, Ms. Otsuji would encourage him to use the cane for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remains able to walk but finds his pace is slower because of pain in his pelvis. Pain becomes more serious over prolonged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Approximately 10 years before the accident the plaintiff suffered a subdural hematoma requiring surgery but in the years before the accident he was not having any problems with 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Otsuji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Otsuji is 68 and lives alone in Vancouver. Before the plaintiff's accident she was active in a wide range of activities including dance, two choirs and socializing.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24, 2016, Ms. Otsuji received a telephone call concerning the plaintiff's hospitalization due to the accident. She immediately travelled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Otsuji had known the plaintiff since 1995; they met at a ballroom dance event and became regular dance partners. Before the plaintiff's accident they would go dancing once or twice each week and he would help around her home with repairs and garden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described the plaintiff as a kind, cheerful person with a loving nature but had an old-fashioned manner about him. He was a private man who understated the difficulties she observed him having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said that before the accident he was a high energy, non-smoking, and non-drinking person who functioned at the level of a much younger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and Ms. Otsuji's father became friends and Mr. Ho would visit their home one or two times per week. The plaintiff assisted Ms. Otsuji with managing her father's medical needs and appointments. Her father died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became a mainstay for Ms. Otsuji after her father died; she became depressed and was greatly supported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Otsuji said she had only been to his home approximately four times prior to the accident. She said the plaintiff was old-fashioned and did not feel it was right for her to go to his house. She described the plaintiff as a cheerful person who loved nature, enjoyed walks in the parks and socializing through his real estate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Before the accident, Ms. Otsuji observed the plaintiff was able to cook without problems, shopped, managed his financial affairs, gardened and was able to carry loads. He used his cane occasionally and was an energetic and capable dancer.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Since the accident, she has become more like a caregiver than a friend. She does virtually all of his cooking whereas, before the accident, she would give him dinner once per week. She observes that he has difficulty standing without holding on to things. She does all of his grocery shopping and assists in paying his bills and records dates for his appointments and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Mr. Ho is walking, he is slow and becomes exhausted. His energy levels appear diminished. Ms. Otsuji shops with him and carries heavier items back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Otsuji's observations of the plaintiff's post-accident condition were extensive and helpful. She reports he spends considerable time on the couch in his house and appears to have trouble bending. He is not able to do yard work, including pruning and lawn mowing. She does most of the plaintiff's house cleaning and laundry. Because his memory is deteriorating, she reminds him about appointments and transportation arrangements. She keeps track of his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Otsuji travels by bus to the plaintiff's house; she does not drive. She helps him with his exercises and has been encouraged by his physiotherapist to ensure he exercises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has difficulty disembarking from a bus due to the usual gap between the bus and the curb. Also on the advice of his physiotherapist, she walks with the plaintiff. He is able to use the buses to visit his local McDonald's restaurant. On his good days, the plaintiff's energy levels seem better than on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Otsuji also observed that after the accident, the plaintiff's brothers, Alan and Chris, came to see him in hospital. They also performed cleanup work around the residence and cleaned out the garage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Overall, Ms. Otsuji wants to give up her role as the plaintiff's caregiver and return to her status as his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Under cross-examination, she confirmed she visits the plaintiff in his house five to six days per week, each visit lasting six to eight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said the plaintiff has become less communicative, even when they are eating together. Things improved over the first six months after the accident but seem to have plateaued over the last ten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she said the plaintiff uses some extra strength Tylenol but has not used any hydromorphone since February 2007; he received a prescription for hydromorphone but refused to allow Ms. Otsuji to fill the prescription.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Ho turned 80 years of age in September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December 24, 2016, Mr. Ho left his home en route to the Rona Building Supplies warehouse in Richmond. He was intending to purchase material to fix a problem in the tenant's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he made his purchase at Rona and walked toward the bus stop on his way home. As he crossed the roadway in the crosswalk, on a "walk" sign showing on the traffic control, a car came from his left side and struck him. He did not hear the approach of the car and his next memory is of lying on the ground and seeing a police car, fire truck and ambulance at the scene. The plaintiff was lying on the ground apparently unable to move. His cane had flown some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ambulance did not arrive for eight minutes after the emergency call had been made. He said he was in extreme pain with fractures to his pelvis, knee and back. He said any small movement he made caused a stab like pain. He said, at that time the pain was at a level of 10/10.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described an elderly gentleman coming from a car and announcing that "I am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recalls using his cell phone to call 9-1-1 but does not recall the conversation with the police or the ambulance attendants.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Before travelling to the hospital, he remembers having a sharp knife-like pain on his body; he hurt all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was taken to Richmond General Hospital where a brace was put on his leg. A nurse installed a catheter and he recalls being in extreme pain. Any jerk to the gurney he was laying on caused a spike in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was told that his hip was broken and staff indicated he was to be transferred to Vancouver General Hospital (VGH) where there was better equipment and specialists to treat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actually remained in Richmond General Hospital for two days before the transfer to VGH. He said that his pain worsened over those two days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Within one day of his arriving at VGH, he was put into the intensive care unit (ICU) because of a serious setback in his health. He was taken to the ICU and "intubated"; apparently, he was very close to dying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this emergency was resolved, he remained in hospital and some days later had surgery performed on his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several days at VGH he was returned to Richmond General Hospital. He was in hospital for a total of 48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Since the accident, he has been prevented from engaging in his pre-accident activities due largely to the injuries and difficulties stemming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he regularly went to Ms. Otsuji's house in the two years before the accident, he has not returned. He does not drive and his travelling around Vancouver, to local parks and to the United States has stopped because of his physical condition. Although he had some pain in his left knee before the accident, he said that pain did not interfere with his dancing. He enjoys complicated jive dancing and the Lindy Hop. He does not dance now. He said his thinking is slightly slower than before the accident. He was a regular reader before the collision but is now not able to read as often nor is his comprehension as effective. He says he walks more slowly because of pain in his pelvis region. The pain worsens the longer he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also confirmed that since the accident he has used a small walker, a four wheeled walker and crutches to improve his mobility. He is also using walking poles. When he takes longer walks, they are punctuated by his need to take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testified that he cannot mow the lawn around his house. He can do some small pruning jobs if Ms. Otsuji is present. She helps do some of the repairs around the house and is managing his brother's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does not pay his brother rent for the house; he pays 20% of the hydro charges and the tenants pay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Contrasting his life before the accident, he says he cannot do cooking [except small tasks] because he cannot stand long enough to prepare meals. His overall balance inside his home is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Similarly, he does not do his own laundry, in part because he has difficulty bending to pick up clothes. He cannot carry baskets of laundry but does move pieces of clothing to the laundry. He said he did all of the house cleaning before the accident but now, Ms. Otsuji helps him because he cannot do that work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has difficulty dressing himself; putting socks on is quite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finds shopping difficult and relies on Ms. Otsuji for help although using his four wheel walker enables him to move larger items and affords him a chance to sit down during shopping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testified that crossing streets is more difficult for him; he is not able to cross wide streets in the time allowed by the walking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August 2018, he travelled to Toronto for a nephew's wedding. Ms. Otsuji helped him at the airline check-in and he found the overall experience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Most of his pain comes from his hip and pelvis and spine. His knee is also painful and contributes to limitations in his mobility. Sometimes his leg buckles which gives him a sense of unsteadiness on his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he uses massage therapy to deal with tight muscles. He wishes to maintain his life in his current home and live independently. He recognizes that a retirement assisted living facility might become an optimum strategy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said he is reading more books now to help improve his memory notwithstanding the difficulties he has in absorbing written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Overall, he is hopeful for further improvement but is resigned to his current physical limitations and the subsequent changes in his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 Notice to Admit dated February 21, 2019, the parties admitted:</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pelvis was fractured upon being struck by the defendant's vehicle;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lower left extremity was fractured as a result of being struck by the defendant's vehicle;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vertebrae was fractured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only medical opinion tendered at this trial came from Dr. Rajiv Reebye, a physical medicine and rehabilitation physician. He summarized the plaintiff's injuries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T12 compression fracture, pelvic fracture, knee fracture. He required pelvic surgery for the left pelvic fracture. The left knee fracture was treated conservatively.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tibial plateau fracture.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pelvic fracture extending into the SI [sacroiliac] joint.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developed clostridium difficile as a result of the ICU stay and hospitalization.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sustained a mild, traumatic brain injury [concussion] as a result of the accident. He was vulnerable to having increased cognitive symptoms, given the fact he did have previous traumatic brain injury approximately ten years ago.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mood was affected by the accident and he became fearful for the long-term consequences of his accident.</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suffered cognitive deficits and memory deficits.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difficulties.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 and low energy since the accident.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difficulty reading and decreased attention span.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difficulties multitasking.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socialization and inability to drive his vehicle.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an abnormal gait pattern requiring him to use an axillary crutch; he also has a limp on his left side.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 leg discrepancy of one inch shorter on the left compared to the right.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also suffered soft tissue injuries, myofascial pain to the muscles covering the thoracic and lumbar paraspinal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Reebye summarized the plaintiff's prognosis for recovery and long-term expectations. These include: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will live with an element of pain with regard to his left-sided hip, low back and abnormal gait.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in a chronic pain cycle [with chronic pain being defined as any pain pattern persisting for greater than three months duration].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at risk of developing osteoarthritis of the left knee and pelvis as well as the left knee as a result of the fracture sustained in the accident.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will be left with a permanent abnormal gait pattern as well as pain symptoms in the left hip and pelvis region.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his fractures are now healed, he is left with daily pain symptoms from those injury sites and there will be ongoing pain.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vulnerable to having poorer outcomes regarding recovery from his concussion or mild traumatic brain injury as he had negative prognosticators including older age at the time of the concussion and the fact that he had a 2007 traumatic brain injury.</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sustained a further injury to his head or body, the cognitive and pain symptoms would be amplified.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will take lesser forces to cause further concussions.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mood worsens, his pain and cognitive symptoms will also worsen.</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injuries noted above the plaintiff will be unable to return to his pre-accident work as a realtor secondary to his chronic pain and cognitive symptoms. His hip pain gait pattern and cognitive symptoms will affect his quality of life and ability to return to work. He will be unable to retrain for any other occupation given his age.</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quality of life overall has been impacted by the injuries.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unable to go to the library because of the pain in his hip, knee and ankle and low back. His ability to walk outside the home is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Reebye made several recommendations including:</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weekly physiotherapy and avoidance of continued use of a crutch.</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topical anti-inflammatory creams for his back, low back and left knee to help decrease symptoms.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his concussion, he would benefit from an occupational therapist to help develop strategies for fatigue management, pacing and some cognitive symptoms.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mood worsens he would benefit from a psychologist to help with cognitive behavioural therapy.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grows older he will likely require one to two hours of home care to address activities of independent living including house cleaning and cooking.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increase his walking tolerance with physiotherapist intervention; he should also look to strengthening his upper and lower body at aqua based programs,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benefit from a shoe wedge to address his leg discrepancy and knee brace to address continuing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was suggested to Dr. Reebye in cross-examination that his diagnosis of a mild traumatic brain injury was based on observations that were inconsistent with the usual indica of mild traumatic brain injuries. The doctor did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Reebye confirmed that the plaintiff had end-stage osteoarthritis in his left knee before the accident. This was a severe condition that caused the plaintiff to use a cane. He said that absent the car accident the plaintiff might have required a knee replacement. He was offered a knee replacement in September 2017 but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submits that $300,000 is a fair and reasonable assessment of his non-pecuniary damages. The defendant argues that $150,000 is an appropriate award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did not tender any medical evidence challenging the opinion of Dr. Reebye, who was the only medical expert to provide an opinion in this trial. The only criticism of Dr. Reebye's opinions was mounted in cross-examination on his report with particular emphasis on his opinion that the plaintiff had suffered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summarizes the changes in his life's pleasures and activities caused by the accident and the expectation that there will be further deterioration in his physical capacity in the future. Although he is 79 years of age, he previously maintained a busy, engaged and active life in and out of his house. Things that he enjoyed before the accident but no longer participates in due to the accident include: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travelling by car, bus or walking with particular interest in visiting parks in and about Vancouver. He no longer drives and is much limited by his injuries in walking, dancing, property maintenance, and engaging in his interest in real estate. Dancing and attending events related to his interest in the real estate business were his most highly treasured physical and social activities.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decreased energy that limits physical capacity to walk. Walking causes fatigue.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difficulty in carrying heavier items and, when carrying groceries his gait and balance are affected.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 diminished ability to read because he does not absorb information at his pre-accident level.</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prevent him from performing property management chores including lawn mowing, tending to the landscaping at his house, and dealing with tenancy issues and home repairs.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physical limitations on his life activities have caused him to be socially isolated. He is somewhat dependent on Ms. Otsuji for social interactions and engagements. Much of his time now is spent inside his house, sitting on his couch and watching television. He communicated a sense of despair about his current physical health with little hope of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highlighted the Court of Appeal's discussion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of the list of factors influencing awards of non-pecuniary damages that should inform the analysis in this case. These factors include the age of the plaintiff, nature of the injury, severity and duration of pain, disability, emotional suffering and loss or impairment of life. In addition, the court should consider the impairment in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argued that in view of the plaintiff's advanced age, his limitations and impairment are more serious than comparable injuries to younger persons: see </w:t>
      </w:r>
      <w:r>
        <w:rPr>
          <w:rFonts w:ascii="arial" w:eastAsia="arial" w:hAnsi="arial" w:cs="arial"/>
          <w:i/>
          <w:color w:val="000000"/>
          <w:sz w:val="20"/>
          <w:lang w:val="en-US" w:eastAsia="en-US" w:bidi="ar-SA"/>
        </w:rPr>
        <w:t>Pingitore v. Luk</w:t>
      </w:r>
      <w:r>
        <w:rPr>
          <w:rFonts w:ascii="arial" w:eastAsia="arial" w:hAnsi="arial" w:cs="arial"/>
          <w:color w:val="000000"/>
          <w:sz w:val="20"/>
          <w:lang w:val="en-US" w:eastAsia="en-US" w:bidi="ar-SA"/>
        </w:rPr>
        <w:t>, 1994 CarswellBC 1940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placed heavy emphasis in his submissions on this Court's decision in </w:t>
      </w:r>
      <w:r>
        <w:rPr>
          <w:rFonts w:ascii="arial" w:eastAsia="arial" w:hAnsi="arial" w:cs="arial"/>
          <w:i/>
          <w:color w:val="000000"/>
          <w:sz w:val="20"/>
          <w:lang w:val="en-US" w:eastAsia="en-US" w:bidi="ar-SA"/>
        </w:rPr>
        <w:t>Sangra (Guardian ad litem of) v. Lima</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2015 BCSC 2350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Sangra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Sangra</w:t>
      </w:r>
      <w:r>
        <w:rPr>
          <w:rFonts w:ascii="arial" w:eastAsia="arial" w:hAnsi="arial" w:cs="arial"/>
          <w:color w:val="000000"/>
          <w:sz w:val="20"/>
          <w:lang w:val="en-US" w:eastAsia="en-US" w:bidi="ar-SA"/>
        </w:rPr>
        <w:t xml:space="preserve"> the plaintiff was 83 years old when the defendant struck him as he stood at a bus shelter. He suffered a brain injury, unstable fractures to his cervical spine, skull fractures, facial fractures, pelvic fractures, trauma and injury to the liver and spleen, fractured ribs, a torn rotator cuff that could not be surgically repaired, multiple lacerations, and significant aggravation of arthritis in his wrists and knees. He also had surgery to repair a hernia caused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Sangra</w:t>
      </w:r>
      <w:r>
        <w:rPr>
          <w:rFonts w:ascii="arial" w:eastAsia="arial" w:hAnsi="arial" w:cs="arial"/>
          <w:color w:val="000000"/>
          <w:sz w:val="20"/>
          <w:lang w:val="en-US" w:eastAsia="en-US" w:bidi="ar-SA"/>
        </w:rPr>
        <w:t>, the court reviewed several decisions in which plaintiffs were awarded damages of $315,000; this was close to the upper limits. The plaintiff argued that his injuries were comparable to those suffered by Mr. Sangra, including multiple fractures, lengthy hospitalization, reduced memory and cognition, chronic pain, hearing loss, social isolation and impaired ability to walk and an inability to carry out household repairs and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argued against the comparison between the plaintiff and Mr. Sangra because the latter's injuries were more severe and the brain injury well documented. He argued that the rough upper limits are reserved for cases involving catastrophic injuries; the plaintiff's injuries are serious, not catastrophic.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 referred the court to several decisions including, </w:t>
      </w:r>
      <w:r>
        <w:rPr>
          <w:rFonts w:ascii="arial" w:eastAsia="arial" w:hAnsi="arial" w:cs="arial"/>
          <w:i/>
          <w:color w:val="000000"/>
          <w:sz w:val="20"/>
          <w:lang w:val="en-US" w:eastAsia="en-US" w:bidi="ar-SA"/>
        </w:rPr>
        <w:t>Scelsa v. Taylor</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2016 BCSC 1122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Scelsa</w:t>
      </w:r>
      <w:r>
        <w:rPr>
          <w:rFonts w:ascii="arial" w:eastAsia="arial" w:hAnsi="arial" w:cs="arial"/>
          <w:color w:val="000000"/>
          <w:sz w:val="20"/>
          <w:lang w:val="en-US" w:eastAsia="en-US" w:bidi="ar-SA"/>
        </w:rPr>
        <w:t xml:space="preserve">] at para. 236, non-pecuniary damages $125,000;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2019 BCSC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Firman</w:t>
      </w:r>
      <w:r>
        <w:rPr>
          <w:rFonts w:ascii="arial" w:eastAsia="arial" w:hAnsi="arial" w:cs="arial"/>
          <w:color w:val="000000"/>
          <w:sz w:val="20"/>
          <w:lang w:val="en-US" w:eastAsia="en-US" w:bidi="ar-SA"/>
        </w:rPr>
        <w:t xml:space="preserve">] at para. 231, non-pecuniary damages $170,000; </w:t>
      </w:r>
      <w:r>
        <w:rPr>
          <w:rFonts w:ascii="arial" w:eastAsia="arial" w:hAnsi="arial" w:cs="arial"/>
          <w:i/>
          <w:color w:val="000000"/>
          <w:sz w:val="20"/>
          <w:lang w:val="en-US" w:eastAsia="en-US" w:bidi="ar-SA"/>
        </w:rPr>
        <w:t>Flores v. Burrows</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2018 BCSC 334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Flores</w:t>
      </w:r>
      <w:r>
        <w:rPr>
          <w:rFonts w:ascii="arial" w:eastAsia="arial" w:hAnsi="arial" w:cs="arial"/>
          <w:color w:val="000000"/>
          <w:sz w:val="20"/>
          <w:lang w:val="en-US" w:eastAsia="en-US" w:bidi="ar-SA"/>
        </w:rPr>
        <w:t xml:space="preserve">] at para. 108, non-pecuniary damages $115,000 and </w:t>
      </w:r>
      <w:r>
        <w:rPr>
          <w:rFonts w:ascii="arial" w:eastAsia="arial" w:hAnsi="arial" w:cs="arial"/>
          <w:i/>
          <w:color w:val="000000"/>
          <w:sz w:val="20"/>
          <w:lang w:val="en-US" w:eastAsia="en-US" w:bidi="ar-SA"/>
        </w:rPr>
        <w:t>Johal v. Radek</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2016 BCSC 454</w:t>
        </w:r>
      </w:hyperlink>
      <w:r>
        <w:rPr>
          <w:rFonts w:ascii="arial" w:eastAsia="arial" w:hAnsi="arial" w:cs="arial"/>
          <w:color w:val="000000"/>
          <w:sz w:val="20"/>
          <w:lang w:val="en-US" w:eastAsia="en-US" w:bidi="ar-SA"/>
        </w:rPr>
        <w:t xml:space="preserve"> at para. 61, non-pecuniary damages $60,000, in which the court did not accept that injury to older persons whose activities were already constrained by age may have a greater impact on older persons (para. 52); those factors may be balanced out against other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Firman</w:t>
      </w:r>
      <w:r>
        <w:rPr>
          <w:rFonts w:ascii="arial" w:eastAsia="arial" w:hAnsi="arial" w:cs="arial"/>
          <w:color w:val="000000"/>
          <w:sz w:val="20"/>
          <w:lang w:val="en-US" w:eastAsia="en-US" w:bidi="ar-SA"/>
        </w:rPr>
        <w:t>, the 40-year-old plaintiff was in a vehicle struck by the defendant's vehicle. There were no emergency attendances at the accident and the plaintiff did not seek medical advice for several months after. Fourteen medical doctors testified at the trial leading to conclusions that the plaintiff suffered a left hip injury requiring surgery, thoracic outlet syndrome requiring surgery, whiplash injuries, chronic pain particularly in upper back, left shoulder and arm, left shoulder tendinopathy, chronic headaches, mood or psychological/psychiatric disorders including depression, somatic symptom disorder and anxiety. There was a 50% chance that some surgery could result in improvement to the plaintiff's arm and shoulder. She had a negative psychiatric and psychological prognosis and was in need of long-term support for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concluded the plaintiff was marginally able to continue with her former occupation and passions in fitness training and barbering. Her physical and psychological injuries were likely permanent and dramatically affected her lifestyle and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was a risk that the plaintiff's pre-existing condition would have affected her in the future and that risk was to be taken into account. Her non-pecuniary damages were assessed at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Flores</w:t>
      </w:r>
      <w:r>
        <w:rPr>
          <w:rFonts w:ascii="arial" w:eastAsia="arial" w:hAnsi="arial" w:cs="arial"/>
          <w:color w:val="000000"/>
          <w:sz w:val="20"/>
          <w:lang w:val="en-US" w:eastAsia="en-US" w:bidi="ar-SA"/>
        </w:rPr>
        <w:t>, the 31-year-old plaintiff was a passenger in a vehicle that was struck from behind while his head was turned. The plaintiff was suffering pain, back and hip pain preventing him from enjoying activities similar to his pre-accident pattern. The court accepted an argument that the plaintiff had suffered a labral tear but rejected the claim that a knee injury had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Flores</w:t>
      </w:r>
      <w:r>
        <w:rPr>
          <w:rFonts w:ascii="arial" w:eastAsia="arial" w:hAnsi="arial" w:cs="arial"/>
          <w:color w:val="000000"/>
          <w:sz w:val="20"/>
          <w:lang w:val="en-US" w:eastAsia="en-US" w:bidi="ar-SA"/>
        </w:rPr>
        <w:t xml:space="preserve"> did not miss work but had difficulty sitting for long periods and spent more time completing certain tasks. He had limitations in lifting and performing heavier household tasks and yard work and his prognosis for improvement was for continued chronic, unremitting and permanent pain. His non-pecuniary damages were set at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Scelsa</w:t>
      </w:r>
      <w:r>
        <w:rPr>
          <w:rFonts w:ascii="arial" w:eastAsia="arial" w:hAnsi="arial" w:cs="arial"/>
          <w:color w:val="000000"/>
          <w:sz w:val="20"/>
          <w:lang w:val="en-US" w:eastAsia="en-US" w:bidi="ar-SA"/>
        </w:rPr>
        <w:t>, the court commented the assistance available from other decisions at para. 236: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[234] It is not possible to fully reconcile the awards, which are not precedential, but rather, give some guidance. They are distinguishable to some extent based on how pervasive and chronic are the effects of the injuries, on how many facets of life are significantly impacted, and on the extent to which the plaintiff is able to continue with former activities and occupations. The higher range of cases exhibit more intense iterations of depression such as social isolation or significant loss of social contact and an impact on significant other persons in the plaintiff's life, such as children and spouses. Chronic myofascial pain, permanent or significant loss of work previously highly valued by the plaintiff and/or significant loss of earning capacity also mark cases in the range of $100,000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cannot accept the defendant's submissions that either </w:t>
      </w:r>
      <w:r>
        <w:rPr>
          <w:rFonts w:ascii="arial" w:eastAsia="arial" w:hAnsi="arial" w:cs="arial"/>
          <w:i/>
          <w:color w:val="000000"/>
          <w:sz w:val="20"/>
          <w:lang w:val="en-US" w:eastAsia="en-US" w:bidi="ar-SA"/>
        </w:rPr>
        <w:t>Firman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Flores</w:t>
      </w:r>
      <w:r>
        <w:rPr>
          <w:rFonts w:ascii="arial" w:eastAsia="arial" w:hAnsi="arial" w:cs="arial"/>
          <w:color w:val="000000"/>
          <w:sz w:val="20"/>
          <w:lang w:val="en-US" w:eastAsia="en-US" w:bidi="ar-SA"/>
        </w:rPr>
        <w:t xml:space="preserve"> provide any significant assistance in assessing the plaintiff's non-pecuniary damages. Both plaintiffs were substantially younger than Mr. Ho and both were occupants of motor vehicles at the time of the collisions resulting in their injuries. In Mr. Ho's case, he had pelvic fractures extending into the sacroiliac joint and an unstable fracture of his left Iliad. He had tibial fractures, T-12 vertebral fracture and clostridium difficile infection extending his hospital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Ho was suffering respiratory distress and was subject to an emergency resuscitation, intubation and transfer to the intensive care unit. His pelvic surgery was delayed by ten days due to his other medical conditions and one fracture healed out of position and could not be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Dr. Reebye's opinion that Mr. Ho suffered a traumatic brain injury was challenged, it was not contradicted by any other evidence. He has diminished cognition and comprehension of reading material. He has memory problems and is at risk of amplified cognitive problems if he suffers a further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has much reduced capacity to walk and cannot drive, lift heavy objects, perform home maintenance chores, cook for himself, or dance. His injuries are long-standing and permanent and there is no evidence he will achieve any level of significant improvement. Moreover, he is at risk of developing osteoarthritis of his left hip and pelvis as well as his knee resulting from the fractures sustained in the accident. His gait is permanently affected by a shortened leg on the left side, he has chronic daily pain at his injury sites, and he is more vulnerable to poor outcomes if he sustains new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Overall, the plaintiff's injuries and long-term outcomes are substantially worse than those described by the court in </w:t>
      </w:r>
      <w:r>
        <w:rPr>
          <w:rFonts w:ascii="arial" w:eastAsia="arial" w:hAnsi="arial" w:cs="arial"/>
          <w:i/>
          <w:color w:val="000000"/>
          <w:sz w:val="20"/>
          <w:lang w:val="en-US" w:eastAsia="en-US" w:bidi="ar-SA"/>
        </w:rPr>
        <w:t>Firman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Flores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However, I am satisfied that the injuries suffered by the plaintiff in this case coupled with his prognosis, are not as serious as those described in </w:t>
      </w:r>
      <w:r>
        <w:rPr>
          <w:rFonts w:ascii="arial" w:eastAsia="arial" w:hAnsi="arial" w:cs="arial"/>
          <w:i/>
          <w:color w:val="000000"/>
          <w:sz w:val="20"/>
          <w:lang w:val="en-US" w:eastAsia="en-US" w:bidi="ar-SA"/>
        </w:rPr>
        <w:t>Sangra</w:t>
      </w:r>
      <w:r>
        <w:rPr>
          <w:rFonts w:ascii="arial" w:eastAsia="arial" w:hAnsi="arial" w:cs="arial"/>
          <w:color w:val="000000"/>
          <w:sz w:val="20"/>
          <w:lang w:val="en-US" w:eastAsia="en-US" w:bidi="ar-SA"/>
        </w:rPr>
        <w:t>. Mr. Sangra was 83 years old at the time of the accident, whereas the plaintiff in this case was 76 years old at the time of his accident. Mr. Sangra had a mild complicated brain injury with loss of consciousness associated; his initial symptoms were akin to a moderate to severe brain injury. He suffers significant and permanent reduced comprehension and permanent hearing loss. His ability to read is significantly impaired. Mr. Sangra's spleen was removed leaving him susceptible to life-threatening infections. He had surgical repair of his hernia with significant risks of further surgical procedures. His unstable cervical spine fracture was corrected with a C6/7 fusion plate and screws. In addition to hearing loss, he has tinnitus increasing his balance problems that put him at risk of falling. He has difficulty communicating due to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Before the accident, Mr. Sangra performed building maintenance duties requiring training, experience and physical capacity. He had high levels of energy and no problems concerning vision, hearing, balance or coordination.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Sangra had difficulty swallowing, suffers headaches and tired easily. He was required to wear hearing aids that he found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have taken into account the comments referred to me from </w:t>
      </w:r>
      <w:r>
        <w:rPr>
          <w:rFonts w:ascii="arial" w:eastAsia="arial" w:hAnsi="arial" w:cs="arial"/>
          <w:i/>
          <w:color w:val="000000"/>
          <w:sz w:val="20"/>
          <w:lang w:val="en-US" w:eastAsia="en-US" w:bidi="ar-SA"/>
        </w:rPr>
        <w:t>Scelsa</w:t>
      </w:r>
      <w:r>
        <w:rPr>
          <w:rFonts w:ascii="arial" w:eastAsia="arial" w:hAnsi="arial" w:cs="arial"/>
          <w:color w:val="000000"/>
          <w:sz w:val="20"/>
          <w:lang w:val="en-US" w:eastAsia="en-US" w:bidi="ar-SA"/>
        </w:rPr>
        <w:t xml:space="preserve"> at para. 234 that reconciliation of different awards is not possible; distinctions can be based on the pervasiveness and chronicity of the effects of injuries and their impact on all facets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Although I accept the plaintiff's submissions that </w:t>
      </w:r>
      <w:r>
        <w:rPr>
          <w:rFonts w:ascii="arial" w:eastAsia="arial" w:hAnsi="arial" w:cs="arial"/>
          <w:i/>
          <w:color w:val="000000"/>
          <w:sz w:val="20"/>
          <w:lang w:val="en-US" w:eastAsia="en-US" w:bidi="ar-SA"/>
        </w:rPr>
        <w:t>Sangra</w:t>
      </w:r>
      <w:r>
        <w:rPr>
          <w:rFonts w:ascii="arial" w:eastAsia="arial" w:hAnsi="arial" w:cs="arial"/>
          <w:color w:val="000000"/>
          <w:sz w:val="20"/>
          <w:lang w:val="en-US" w:eastAsia="en-US" w:bidi="ar-SA"/>
        </w:rPr>
        <w:t xml:space="preserve"> provides an example of injuries comparable to his injuries, I conclude that Mr. Ho's injuries and ongoing symptoms are less serious than those described in by Mr. Sangra.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Comparison with other damage assessment cases can provide useful guidelines to inform the assessment of damages in this case, but other decisions can rarely be used for direct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court's comments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paras. 45-46 are of assistance. The court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Lindal v. Lindal, 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Thus 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Based on my assessment of the plaintiff's injuries and the past and future impacts of those injuries on the plaintiff, I award non-pecuniary damages of $280,000.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entitlement to compensation for the costs of his care into the future is the most controversial aspect of the claim. The plaintiff argues that $617,000 is the sum necessary to fund his future care. The defendant argues that $308,500 would be appropriate to reflect the nature and extent of his injuries taking into account his pre-existing condition and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plaintiff's submissions were prefaced by reference </w:t>
      </w:r>
      <w:r>
        <w:rPr>
          <w:rFonts w:ascii="arial" w:eastAsia="arial" w:hAnsi="arial" w:cs="arial"/>
          <w:i/>
          <w:color w:val="000000"/>
          <w:sz w:val="20"/>
          <w:lang w:val="en-US" w:eastAsia="en-US" w:bidi="ar-SA"/>
        </w:rPr>
        <w:t>to Andrews v. Grand &amp; Toy Alberta Ltd.</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page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 is</w:t>
      </w:r>
      <w:r>
        <w:rPr>
          <w:rFonts w:ascii="arial" w:eastAsia="arial" w:hAnsi="arial" w:cs="arial"/>
          <w:color w:val="000000"/>
          <w:sz w:val="20"/>
          <w:lang w:val="en-US" w:eastAsia="en-US" w:bidi="ar-SA"/>
        </w:rPr>
        <w:t xml:space="preserve"> not possible. Money is a barren substitute for health and personal happiness, but to the exent [sic] within reason that money can be used to sustain or improve the </w:t>
      </w:r>
      <w:r>
        <w:rPr>
          <w:rFonts w:ascii="arial" w:eastAsia="arial" w:hAnsi="arial" w:cs="arial"/>
          <w:color w:val="000000"/>
          <w:sz w:val="20"/>
          <w:u w:val="single"/>
          <w:lang w:val="en-US" w:eastAsia="en-US" w:bidi="ar-SA"/>
        </w:rPr>
        <w:t>mental</w:t>
      </w:r>
      <w:r>
        <w:rPr>
          <w:rFonts w:ascii="arial" w:eastAsia="arial" w:hAnsi="arial" w:cs="arial"/>
          <w:color w:val="000000"/>
          <w:sz w:val="20"/>
          <w:lang w:val="en-US" w:eastAsia="en-US" w:bidi="ar-SA"/>
        </w:rPr>
        <w:t xml:space="preserve"> or physical health of the injured person it may properly form part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Principles for assessing future care costs were set out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paras. 21 to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w:t>
      </w:r>
      <w:r>
        <w:rPr>
          <w:rFonts w:ascii="arial" w:eastAsia="arial" w:hAnsi="arial" w:cs="arial"/>
          <w:i/>
          <w:color w:val="000000"/>
          <w:sz w:val="20"/>
          <w:lang w:val="en-US" w:eastAsia="en-US" w:bidi="ar-SA"/>
        </w:rPr>
        <w:t>L.Q.R</w:t>
      </w:r>
      <w:r>
        <w:rPr>
          <w:rFonts w:ascii="arial" w:eastAsia="arial" w:hAnsi="arial" w:cs="arial"/>
          <w:color w:val="000000"/>
          <w:sz w:val="20"/>
          <w:lang w:val="en-US" w:eastAsia="en-US" w:bidi="ar-SA"/>
        </w:rPr>
        <w:t xml:space="preserve">.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court's role is to assess how to compensate the plaintiff for the loss of quality of life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It is not an exercise in "how to save money" or to permit the plaintiff to "get by" or "make do" with cheaper care. The goal is to ensure the plaintiff is restored to their pre-accident lifestyle to the extent money can be used to achieve that outcome. See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CanLII 179</w:t>
        </w:r>
      </w:hyperlink>
      <w:r>
        <w:rPr>
          <w:rFonts w:ascii="arial" w:eastAsia="arial" w:hAnsi="arial" w:cs="arial"/>
          <w:color w:val="000000"/>
          <w:sz w:val="20"/>
          <w:lang w:val="en-US" w:eastAsia="en-US" w:bidi="ar-SA"/>
        </w:rPr>
        <w:t xml:space="preserve"> (B.C.S.C.) at pp. 182 and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award should be sufficient to ensure that he can live as complete and independent a life as reasonably attainable through an award of damages. See: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Future care costs must take into account positive and negative contingencies. These contingencies include the possibility that a plaintiff may have suffered the expense of a service regardless of the collision because of advancing age: see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The measure of a future care award must be adjusted to reflect the specific care needs of a plaintiff; the assessment of those needs depends on medical evidence and opinions concerning the nature and duration of a required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this case, the major cost items concerning the plaintiff's ongoing care relate to his housing options, the in home services required, therapies and treatments recommended and mobility costs. On one hand, Mr. Ho can continue to reside in his residence with assistance to facilitate his continuing to live in-home. On the other hand, his optimal care and life experience may be achieved through transferring his residence to a residential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only expert opinion evidence tendered concerning the plaintiff's future care needs came from Nora Chambers, an occupational therapist whose opinion outlined the specific services and equipment necessary to restore the plaintiff or compensate him for reduced functional capacity stemming from the injuries in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Chambers reviewed the plaintiff's circumstances at the time of her August 2018 report. She observed he lives alone in a level basement suite in Richmond that has been his home for 20 years. The suite is small and cluttered; the kitchen is difficult to manoeuvre in. The bathroom has a tub/shower combination with rails and a shower chair. He is a retired real estate agent who reported working one to two days per week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notes that, since the accident the plaintiff has difficulty dressing his lower body including use of socks, shoes and pants. He has balance difficulties stemming from his hip/knee and he leans or sits to dress himself. These personal requirements take more time. He requires a shower seat, raised toilet seat and rail and handrail on his bed. He uses a long handled washer. He is unable to cut his toenails. His standing tolerance is limited and results in increased pain in both hips when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takes extra strength Tylenol one or two times per week. He no longer prepares all of his own food; Ms. Otsuji provides most of his daily meals. Standing longer than 10 minutes causes pain and reduces his energy for cooking and cleaning. He has difficulty bending low to reach his cupboards; his balance is troublesome. He is not doing any housekeeping and needs assistance carrying food from his counters to his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Otsuji does his laundry. She also assists him in all of his shopping. He is able to take the bus to shops but is limited by his walking tolerance and balance issues that are more pronounced when getting on and off buses.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he was able to drive before the accident, he has cognitive impairments which may interfere with his judgement and orientation. Thus, he takes buses independently but is limited in his travel activity. She concluded he requires aids for walking including a two wheeled apparatus for indoor movement and a four wheeled apparatus for outdoor movement. He also may require a cane and a wheelchair for longer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has low energy and decreased cognitive abilities. He avoids family gatherings and does not initiate socialization opportunities. He cannot do any household maintenance activities such as lawn mowing, pruning of trees, or maintenance repairs. Finally, he is not able to keep in touch with former colleagues and does not stay current with real estate news and trends because of mobility, pain and cognitive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provided two opinions as to the cost of care services required by the plaintiff; the first category of expense relates to in-home care services based on the possibility that the plaintiff remains in his current residence with the assistance of service providers coming to his home on a daily basis. Alternatively, Ms. Chambers estimated the cost of residing in an assisted living residence at a cost of $4357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Chamber's opinion was based, in part on Dr. Reebye's recommendations for the plaintiff's treatment as follows: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continue with physiotherapy once per week to help with transitioning off the axillary crutch because the crutch can cause pain and potential impingement of the nerve over time.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non--steroidal anti-inflammatory cream for his back, low back and knee regions to help decrease some of his soft tissue pain symptoms.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assistance of an occupational therapist to help with strategies for fatigue management and to help him with some cognitive symptoms.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his mood worsens, a psychologist to help with cognitive behavioural therapy strategies to help with pain management and coping with mood symptoms.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ages, he may require more help with regards to his independent activities of daily living; he will likely require one to two hours of homecare per day and to replace assistance he currently has with house cleaning and cooking chores.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engage a physiotherapist to help increase his walking tolerance and transitioning away from use of a crutch. He could look at strengthening and conditioning his upper and lower bodies in an aqua based program.</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investigate the possibility of obtaining a wedge in his shoe to help with leg discrepancy. He would also benefit from a brace if he continues to have pain symptoms in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Reebye also observed that Mr. Ho will live with an element of left-sided hip pain, back pain and an abnormal gate. He is at some risk of developing osteoarthritis of the left hip and pelvis as a result of his knee fractures. Absent from Dr. Reebye's opinion is the duration of any of the services or treatments he has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Chambers described a number of services she believed were required by the plaintiff. She said he needs assistance for "most tasks" and he is not safe to manage at home or in the community. She believes he requires mobility aids and adaptive equipment to function safely at home. She notes he has had the assistance of Ms. Otsuji in providing support, housekeeping, shopping and meal preparation assistance, transportation supervision as well as physiotherapy, kinesiology, occupational therapy/case management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Many of the recommendations made by Ms. Chambers concerning his need for ongoing services were not based on any medical opinions concerning the length of time those services might be useful or necessary. She appears to have made assumptions about the duration of some of his care needs without detailing the basis of those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However, Ms. Chambers testified that her report was based on Dr. Reebye's recommendations concerning the plaintiff's ongoing needs. She said she expanded on those recommendations based on her views of the plaintiff's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defence argues that the types of services and costs required to support the plaintiff in his current living situation should take into account his wish to remain in his current residence, juxtaposed to the option of moving into residential care. The defence argues, there is no evidence that his symptoms or limitations will worsen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defence argues that the inclusion of both physiotherapy and kinesiology services in the estimate of the plaintiff's future care costs is misconceived.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contends that the plaintiff's previous physiotherapy provider, Chipperfield Physiotherapy, provides both types of service and were effective. They contend the cost should be refused altogether as long as the plaintiff remains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argues that the pool pass should not be allowed because Mr. Ho is not inclined to use a pool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They argue that the occupational therapy (OT) case management services could be reduced to one hour per month once the program is put in place. They contend that the claim for occupational therapy services should be reduced by 50%. Similarly, the defence argues that the personal care assistance claim, essential to replace Ms. Otsuji's services will be modest and should be reduced by 25% to reflect Dr. Reebye's recommendation. Moreover, the defendant contends that within the 1.5 hours per day allowance for homecare, some of the housekeeping duties will be met by the homecare assisting agency. Thus, the compensation for housekeeping assistance could be reduced by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defence also contends the lawn and garden services can be reduced to two hours per month for six months; this would represent a one-third reduction in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defence argues transportation costs provided by Driving Miss Daisy appear excessive in the circumstances. Overall, the occupational therapists have been encouraging the plaintiff to use public transit as a means of getting him out into the community. Taxicabs would be a useful means of transport to important appointments where public transit is not suitable. The plaintiff does not require an assistant to monitor his medical appointments based on the evidence presented. Further, it is possible that some of the plaintiff's physiotherapy/kinesiology services provided by Chipperfield Physiotherapy Services could be available to him in-home.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Lastly, the defence contends that in providing compensation for future care costs, the court should take into account that, absent the accident, the plaintiff would sooner or later have had difficulties with his left knee and/or a knee replacement that would necessitate a degree of cost of care approaching that currently recommended in the reports. The plaintiff's pre-existing knee pain was severe enough to require the plaintiff to use a cane from time to time. Further, well before the end of his expected life, the plaintiff would likely have required a significant level of care with the possibility of surgery necessary to address his pre-existing knee condition: see </w:t>
      </w:r>
      <w:r>
        <w:rPr>
          <w:rFonts w:ascii="arial" w:eastAsia="arial" w:hAnsi="arial" w:cs="arial"/>
          <w:i/>
          <w:color w:val="000000"/>
          <w:sz w:val="20"/>
          <w:lang w:val="en-US" w:eastAsia="en-US" w:bidi="ar-SA"/>
        </w:rPr>
        <w:t>Sharpe v. Koomson</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2019 BCSC 558</w:t>
        </w:r>
      </w:hyperlink>
      <w:r>
        <w:rPr>
          <w:rFonts w:ascii="arial" w:eastAsia="arial" w:hAnsi="arial" w:cs="arial"/>
          <w:color w:val="000000"/>
          <w:sz w:val="20"/>
          <w:lang w:val="en-US" w:eastAsia="en-US" w:bidi="ar-SA"/>
        </w:rPr>
        <w:t xml:space="preserve"> at para.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summary, the defendant suggests that the plaintiff's pre-existing condition and limited life expectancy merit a 50% reduction overall from the items of future care costs set out in Mr. Benning's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are some observations concerning Ms. Chambers' report that affect the weight of the opinion she has given. She was qualified to give opinion evidence in the field of assessing care needs and related costs for persons with complex trauma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her report she suggests ongoing physiotherapy that will continue for the balance of the plaintiff's life. Dr. Reebye's opinion was that physiotherapy would "help with transitioning off of" his reliance on his crutch for support. Ms. Chambers was not qualified to give opinion evidence concerning the diagnosis or prognosis of injuries; however in her report she suggested physiotherapy would address pain management and promote functional improvement for the balance of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Similarly, she suggested the plaintiff would require kinesiology services without providing any basis or foundation for the proposition that those services would be required for the balance of the plaintiff's life. I accept there is a possibility that those services together with physiotherapy, could be of use to the plaintiff for an extended time period. Unfortunately, the medical opinion does not support her assumption that those services would be necessary for the "maintenance of his physical and cognitive abilities" over the balance of the plaintiff's life and because of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Reebye did not make any recommendation regarding kinesiology services. He recommended pool exercises weekly for strengthening and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her assessment, Ms. Chambers discussed the assistance received by the plaintiff from Ms. Otsuji; she said without her dedicated level of assistance he would require daily home support, housekeeping, shopping and meal preparation services as well as ongoing physiotherapy, kinesiology, occupational therapy/case management services. She went on to say "kinesiologist or rehabilitation assistance services are required for ongoing maintenance of physical and cognitive abilities [exercise/pool program, social outings, cognitive activities] on a twice weekly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Her report states that kinesiology services are "to implement a home based exercise and pool program to improve/maintain his strength, mobility and function". Absent a medical recommendation for those services and absent a definitive opinion on the recommended duration of those services or how those services will affect the plaintiff's future, there is a significant evidentiary challenge to an award of $104,000 for a lifetime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 challenged the plaintiff's claim for kinesiology services in the context of the duplication of benefits provided through the physiotherapy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Similarly, Ms. Chambers made recommendations for the plaintiff to take occupational therapy assistance and aquatic exercises mentioned by Dr. Reebye; she did not take into account the plaintiff's stated aversion to accepting occupational therapy services or pool activity. In in his examination in chief, the plaintiff did not address his lack of interest in using these services; however he had said to others he did not want OT services or to begin a pool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Chambers said that it was Dr. Reebye's opinion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not likely to make further improvements and that he is at potential for further deterioration without the recommended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unclear why Ms. Chambers formed this view of the doctor's opinion; no statements to that effect are contained in his report. There are several comments by Dr. Reebye indicating the plaintiff will "... live with an element of pain..."; and is "at risk of developing osteoarthritis in his hip and pelvis as well as the left knee..."; and will be left with "... permanent, abnormal gait pattern ... as well as the pain symptoms in the left hip and pelvis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Reebye's opinion does not go as far as reporting the plaintiff is not likely to make further improvements or that potential deterioration will occur without recommended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Chambers also made a recommendation for transportation costs by engaging the services of Driving Miss Daisy to ensure the plaintiff was taken to appointments and monitored during those meetings. Her opinion was based on one to two hours of those services per week. There was no evidence concerning the number of appointments the plaintiff might be attending or need to attend in the future. This driving service is not necessary except for medical appointments at which he would benefit from the help of an observer to the treating professionals to record advice and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appears Ms. Chambers accepted that the plaintiff will use these transportation and monitoring services, because of the injuries, including the brain injury, sustained in the accident, until the end of his life. Given the absence of evidence concerning the frequency of the plaintiff's needs for this service the amount cannot be allowed as set out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satisfied that where the plaintiff has not provided evidence concerning the frequency of required services or the duration of those services, particularly when presented as costs to be incurred throughout the plaintiff's life, the compensation calculation must be subject to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spite of these reservations, the defendant concedes many of the recommendations made by Ms. Chambers are appropriate and the calculations by Mr. Benning are reasonable. I accept those costs should be allowed at the values presented by Mr. Benning save and except the claims for physiotherapy, kinesiology, transportation, occupational therapy, personal care assistants, and housekeeping services. I will deal with each of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Concerning the physiotherapy and kinesiology services, I am satisfied that there is an overlap in the services recommended. The evidence does not persuade me that separate kinesiology services and physiotherapy services will be required for the duration of the plaintiff's life as calculated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Reebye's recommendation concerning weekly physiotherapy was directed at moving him away from using a crutch. Further, the evidence does not establish that any type of kinesiology service will be required for the balance of the plaintiff's life. Dr. Reebye suggested that strengthening and conditioning his upper and lower body (in addition to an aqua-based program of 30 minutes once per week) would be useful. Taking into account these concerns and reservations about the recommendations, I find that the sum of $50,000 is appropriate taking into account all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Reebye also recommended that the plaintiff receives some psychological treatment to address his mood symptoms if they worsen. Ms. Chambers included a recommendation for psychological services covering ten sessions in the first year. Mr. Benning estimated those costs at $1938. I am satisfied there is a substantial possibility the plaintiff may require some psychological intervention during his lifetime. It is difficult to assess the possibility that he will require the services; the evidence, including the fact he may not always have Ms. Otsuji as a companion and support, justifies an award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light of Mr. Ho's stated disinterest in aqua-based exercise and occupational therapy, I would not award compensation at the levels requested. However, those services are included in Dr. Reebye's recommendations and, taking into account the plaintiff's reluctance to engage the services at present, I would allow the sum of $14,500 to enable the plaintiff to obtain some of the assistance referred to by Ms. Chambers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claim for transportation cost is $45,954. Those costs are calculated on the basis of $5,324 a year for the balance of his life. I do not accept Ms. Chambers' assumption concerning those costs for life have been proven in this trial; in view of the plaintiff's inability to drive, I am satisfied that some costs would be appropriate under this claim and would award $30,000 compensation for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argued that the plaintiff's personal care assistant requirement could be reduced by one-quarter based on the plaintiff's overall circumstances in his home. The defendant also suggests that personal care assistants would likely overlap housekeeping needs and costs. The defendant contends that a reasonable allowance for those charges would be 50% of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Chambers suggested that it was impractical to expect a home care personal assistance provider to attend the plaintiff's residence for less than two hours per day. Thus, she remained firm in her opinion that two hours per day home care was reasonable. The plaintiff will recover $205,000 for personal care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am satisfied that based on all evidence concerning the size of the plaintiff's home, the daily presence of a personal care assistant, and the plaintiff's residual ability to do some work around his home, that the amount of housekeeping assistance required could be reduced to two hours every second week. Thus, I award the plaintiff $18,000 for ongoing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argued that the lawn and garden services claim at three hours per month over six months each year could be reduced by one third or two hours per month for six months. It must be noted that the plaintiff's pre-accident lawn and garden work around the property was, in part, in the nature of services he performed because he was not paying rent. I accept that Ms. Chambers attended the property, evaluated the nature and extent of the services, and fairly estimated the cost of providing those services. I am not satisfied that those services would be provided by the plaintiff for the entirety of his life expectancy; I award $5000 to replace his lost ability to perform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am not satisfied the plaintiff will accept or use a recumbent stationary bicycle. Although it was recommended, the plaintiff was not examined on whether he would use such a device and absent his affirmation on that point the allowance should 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Further, I do not consider that the wheelchair and cushion expense, for the balance of the plaintiff's life after year three, is appropriate. I am satisfied on the evidence that the plaintiff would have developed significant knee discomfort in any event and, would likely have had a knee replacement or ongoing disability. Accordingly, he is not entitled to compensation for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contends there should be a 15% positive contingency taken into account in the calculation of his cost of future care due to the potential of his condition worsening. Overall, I have declined to accede to that submission in part because the plaintiff had pre-existing issues with his left knee that would have worsened as he aged and could have resulted in knee replacement surgery. Further, the plaintiff's overall physical health would likely have deteriorated as a function of the aging process. In my view, assessing and incorporating contingencies in this case were simply too uncertain to inform the court on this question. However, I am satisfied there is a possibility that the plaintiff will come to need residential care due to changes in his physical needs arising from the injuries (not necessarily from a worsening of his symptoms) caused by the accident. Ms. Chambers suggested that expenses associated with assisted-living will likely be in the range of $4360 per month. Mr. Benning provided a net present value of costs at that level of $423,155. I am satisfied that, at this stage, I must assess the risk of the plaintiff's residential care requirements rising to the level warranting assisted living services recommended by Ms. Chambers. I am taking into account these possibilities notwithstanding my conclusions concerning the plaintiff's claim for a 15% positive contingency. In my view, the plaintiff is disinclined to pursue a residential care solution to his ongoing disability but the possibility of that need arising must be taken into account. Thus, I will make an allowance of $75,000 to reflect the possibility of this loss occurring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testified that he could do some of the activities in his house including some cooking and cleaning. His ability to perform those chores is very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result, the plaintiff will recover compensation for his future care costs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Tylenol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Diclofenac Cream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$6,276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Physiotherapy/Kinesiology Services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Personal Care Assistance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Assisted Living Costs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Psychological Services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Foot Care Services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 Housekeeping Services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Lawn and Garden Services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Podiatry Services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 Orthotics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$1,069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 Shoe Lift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 Four-wheeled walker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 Two-wheeled walker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 Shower Seat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 Straight cane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 Raised toilet seat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 Bedrail assist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Long-handled aids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 Lift recliner chair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$373,157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In-Trust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seeks an in trust award for his friend Ms. Otsuji who has provided him with extensive emotional and physical assistance throughout his post-accident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and Ms. Otsuji's father had been good friends and she had become his dancing partner and companion prior to the accident. She has provided extensive care to the plaintiff and testified that she wished to withdraw from her role as the major care provider to the plaintiff. She has assisted with his bill payments, kept track of his appointments, provided personal care, monitored and assisted his exercises, cleaned and cooked for him and been his daily companion since the accident. She estimated her time with the plaintiff exceeded 44 hours per week excluding travel time. The plaintiff calculates that Ms. Otsuji's assistance, at $25 per hour, would have resulted in a cost of $123,000.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argues that adopting rates for home support, housekeeping, shopping and meal preparation would translate into $85,000 would be a reasonable and fair measure of the value of services she has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trust claims for spouses and family members are made where those individuals have provided care and services to an injured plaintiff for those services that exceed the expectations of family members in a normal family relationship. Davies J. summarized the principles surrounding in trust claims in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2016 BCSC 1155</w:t>
        </w:r>
      </w:hyperlink>
      <w:r>
        <w:rPr>
          <w:rFonts w:ascii="arial" w:eastAsia="arial" w:hAnsi="arial" w:cs="arial"/>
          <w:color w:val="000000"/>
          <w:sz w:val="20"/>
          <w:lang w:val="en-US" w:eastAsia="en-US" w:bidi="ar-SA"/>
        </w:rPr>
        <w:t xml:space="preserve"> (Affirmed by BCCA at </w:t>
      </w:r>
      <w:hyperlink r:id="rId335" w:history="1">
        <w:r>
          <w:rPr>
            <w:rFonts w:ascii="arial" w:eastAsia="arial" w:hAnsi="arial" w:cs="arial"/>
            <w:i/>
            <w:color w:val="0077CC"/>
            <w:sz w:val="20"/>
            <w:u w:val="single"/>
            <w:shd w:val="clear" w:color="auto" w:fill="FFFFFF"/>
            <w:lang w:val="en-US" w:eastAsia="en-US" w:bidi="ar-SA"/>
          </w:rPr>
          <w:t>2018 BCCA 410</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Hans</w:t>
      </w:r>
      <w:r>
        <w:rPr>
          <w:rFonts w:ascii="arial" w:eastAsia="arial" w:hAnsi="arial" w:cs="arial"/>
          <w:color w:val="000000"/>
          <w:sz w:val="20"/>
          <w:lang w:val="en-US" w:eastAsia="en-US" w:bidi="ar-SA"/>
        </w:rPr>
        <w:t>] at para. 530-531.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argued that in-trust claims cannot be made to non-family members; Ms. Otsuji is neither a spouse nor a family member and her efforts at caring for the plaintiff do not entitle her to compensation for gratuitous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trust claims for compensation for services for personal care and assistance provided by friends were mentioned by Clancy J. in </w:t>
      </w:r>
      <w:r>
        <w:rPr>
          <w:rFonts w:ascii="arial" w:eastAsia="arial" w:hAnsi="arial" w:cs="arial"/>
          <w:i/>
          <w:color w:val="000000"/>
          <w:sz w:val="20"/>
          <w:lang w:val="en-US" w:eastAsia="en-US" w:bidi="ar-SA"/>
        </w:rPr>
        <w:t>Graham v. Kada</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[1993] B.C.J. No. 171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at paras 32-44; </w:t>
      </w:r>
      <w:r>
        <w:rPr>
          <w:rFonts w:ascii="arial" w:eastAsia="arial" w:hAnsi="arial" w:cs="arial"/>
          <w:i/>
          <w:color w:val="000000"/>
          <w:sz w:val="20"/>
          <w:lang w:val="en-US" w:eastAsia="en-US" w:bidi="ar-SA"/>
        </w:rPr>
        <w:t>Etson v. Loblaw Companies Limited (Real Canadian Superstore)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2010 BCSC 1865</w:t>
        </w:r>
      </w:hyperlink>
      <w:r>
        <w:rPr>
          <w:rFonts w:ascii="arial" w:eastAsia="arial" w:hAnsi="arial" w:cs="arial"/>
          <w:color w:val="000000"/>
          <w:sz w:val="20"/>
          <w:lang w:val="en-US" w:eastAsia="en-US" w:bidi="ar-SA"/>
        </w:rPr>
        <w:t xml:space="preserve"> at para. 85. The defence contends that the court's comment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and no other cases have made in trust awards for non-family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 referred the court to </w:t>
      </w:r>
      <w:r>
        <w:rPr>
          <w:rFonts w:ascii="arial" w:eastAsia="arial" w:hAnsi="arial" w:cs="arial"/>
          <w:i/>
          <w:color w:val="000000"/>
          <w:sz w:val="20"/>
          <w:lang w:val="en-US" w:eastAsia="en-US" w:bidi="ar-SA"/>
        </w:rPr>
        <w:t>James v. James</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2018 BCSC 603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xml:space="preserve">] in which Betton J. followed a decision of Sewell J. who formed the opinion that once damage claims are characterized as compensation to the plaintiff, the plaintiff recovers the amount and it is not appropriate to engage in an analysis of an "in trust claim": see </w:t>
      </w:r>
      <w:r>
        <w:rPr>
          <w:rFonts w:ascii="arial" w:eastAsia="arial" w:hAnsi="arial" w:cs="arial"/>
          <w:i/>
          <w:color w:val="000000"/>
          <w:sz w:val="20"/>
          <w:lang w:val="en-US" w:eastAsia="en-US" w:bidi="ar-SA"/>
        </w:rPr>
        <w:t>Knight v. Knight</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2014 BCSC 1478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at para.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the trial judge was confronted with the dilemma that the plaintiff's husband who had provided the care and assistance was the tortfeasor. Ordinarily, tortfeasors are not entitled to in trust claims because those claims are only available to family members who are not named as parties to the action: see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xml:space="preserve">, the court followed the decisions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2016 BCSC 2405</w:t>
        </w:r>
      </w:hyperlink>
      <w:r>
        <w:rPr>
          <w:rFonts w:ascii="arial" w:eastAsia="arial" w:hAnsi="arial" w:cs="arial"/>
          <w:color w:val="000000"/>
          <w:sz w:val="20"/>
          <w:lang w:val="en-US" w:eastAsia="en-US" w:bidi="ar-SA"/>
        </w:rPr>
        <w:t xml:space="preserve">, in which Mr. Justice Sewell confirmed his decision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that claims for loss of housekeeping capacity including claims for compensation for assistance from family members should be recognized as the plaintiff's claim and not a claim in trust for the provider. Thus, it does not matter that the housekeeping and assistance was gratuitously provided by a third party and not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On appeal from the trial decision in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w:t>
      </w:r>
      <w:hyperlink r:id="rId342"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Absent palpable and overriding error in the judge's findings of fact, our enquiry is directed to the possibility of an error in principle, or a wholly erroneous estimate of the damage of the scale described. Here the judge instructed himself on the leading cases including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and importantly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The judge first indicated a preference for dealing with this head of loss as part of the plaintiff's claim for damages rather than as a claim made in trust for an unpaid caregiver. The judge adopted that approach in this case (at para. 193) and it is unobjectionable: see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xml:space="preserve"> at paras.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This conclusion underscored the decision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Since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it has been settled law in this province that "housekeeping and other spousal services have economic value for which a claim by an injured party will lie even where those services are replaced gratuitously from within the family."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such recovery was allowed under the heading of 'loss of future ability to perform household tasks', but obviously, damages for loss of such ability </w:t>
      </w:r>
      <w:r>
        <w:rPr>
          <w:rFonts w:ascii="arial" w:eastAsia="arial" w:hAnsi="arial" w:cs="arial"/>
          <w:color w:val="000000"/>
          <w:sz w:val="20"/>
          <w:u w:val="single"/>
          <w:lang w:val="en-US" w:eastAsia="en-US" w:bidi="ar-SA"/>
        </w:rPr>
        <w:t>prior</w:t>
      </w:r>
      <w:r>
        <w:rPr>
          <w:rFonts w:ascii="arial" w:eastAsia="arial" w:hAnsi="arial" w:cs="arial"/>
          <w:color w:val="000000"/>
          <w:sz w:val="20"/>
          <w:lang w:val="en-US" w:eastAsia="en-US" w:bidi="ar-SA"/>
        </w:rPr>
        <w:t xml:space="preserve"> to trial may also be properly claimed and recovered: see, e.g.,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paras, 43, 51-7,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Huddart J.A.; </w:t>
      </w:r>
      <w:r>
        <w:rPr>
          <w:rFonts w:ascii="arial" w:eastAsia="arial" w:hAnsi="arial" w:cs="arial"/>
          <w:i/>
          <w:color w:val="000000"/>
          <w:sz w:val="20"/>
          <w:lang w:val="en-US" w:eastAsia="en-US" w:bidi="ar-SA"/>
        </w:rPr>
        <w:t>West v. Cotton</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(1995) 10 B.C.L.R. (3d) 73</w:t>
        </w:r>
      </w:hyperlink>
      <w:r>
        <w:rPr>
          <w:rFonts w:ascii="arial" w:eastAsia="arial" w:hAnsi="arial" w:cs="arial"/>
          <w:color w:val="000000"/>
          <w:sz w:val="20"/>
          <w:lang w:val="en-US" w:eastAsia="en-US" w:bidi="ar-SA"/>
        </w:rPr>
        <w:t xml:space="preserve"> (C.A.) at para. 25; and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has been extended beyond "spousal" services to services rendered by other members of a family: see </w:t>
      </w:r>
      <w:r>
        <w:rPr>
          <w:rFonts w:ascii="arial" w:eastAsia="arial" w:hAnsi="arial" w:cs="arial"/>
          <w:i/>
          <w:color w:val="000000"/>
          <w:sz w:val="20"/>
          <w:lang w:val="en-US" w:eastAsia="en-US" w:bidi="ar-SA"/>
        </w:rPr>
        <w:t>Boren v. Vancouver Resource Society, Dufault, McTavish v. MacGillivray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all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Such awards are colloquially referred to as "in trust" even though it is the plaintiff who recovers them, and British Columbia courts do not generally impose trust terms in their orders, regarding the loss as that of the plaintiff</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at 9-10</w:t>
      </w:r>
      <w:r>
        <w:rPr>
          <w:rFonts w:ascii="arial" w:eastAsia="arial" w:hAnsi="arial" w:cs="arial"/>
          <w:i/>
          <w:color w:val="000000"/>
          <w:sz w:val="20"/>
          <w:lang w:val="en-US" w:eastAsia="en-US" w:bidi="ar-SA"/>
        </w:rPr>
        <w:t>; McTavish,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 plaintiff's case, his friend has been crucial in providing homemaking assistance, that included laundry, meal preparation, assistance and monitoring of important information, shopping, housekeeping, and maintaining him in his residence since the accident. The plaintiff could not have survived in independent living but for Ms. Otsuji's assistance. Absent her assistance he would have been compelled to employ professional help to perform these duties or abandon his residence and moved into an assisted living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conclude the plaintiff is entitled to an award to compensate him for the loss of his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Alternatively, if I am wrong, I would order that the same sum be paid as an in trust claim for the services provided by Ms. Otsuji.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On this latter point, the relationship between two adults, one disabled and one helping the disabled adult, cannot rationally or fairly govern an entitlement to an in trust award based on the factors set out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paras. 179-180.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list of factors set out by D. Smith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[179] That change has been the subject of supportive comment in subsequent cases: see for example </w:t>
      </w:r>
      <w:r>
        <w:rPr>
          <w:rFonts w:ascii="arial" w:eastAsia="arial" w:hAnsi="arial" w:cs="arial"/>
          <w:i/>
          <w:color w:val="000000"/>
          <w:sz w:val="20"/>
          <w:lang w:val="en-US" w:eastAsia="en-US" w:bidi="ar-SA"/>
        </w:rPr>
        <w:t>McCloskey v. Lymn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(1996), 26 B.C.L.R. (3d) 118</w:t>
        </w:r>
      </w:hyperlink>
      <w:r>
        <w:rPr>
          <w:rFonts w:ascii="arial" w:eastAsia="arial" w:hAnsi="arial" w:cs="arial"/>
          <w:color w:val="000000"/>
          <w:sz w:val="20"/>
          <w:lang w:val="en-US" w:eastAsia="en-US" w:bidi="ar-SA"/>
        </w:rPr>
        <w:t xml:space="preserve"> (S.C.). The Court of Appeal has recognized a similar principle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was a decision of a five-member panel of the Court of Appeal and the leading authority on the subject of diminished housekeeping capacity. At page 183, Gibbs J.A. explained: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housekeeping and other spousal services have economic value for which a claim by an injured party will lie even where those services are replaced gratuitously from within the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From a review of these authorities one can construct a summary of the factors to be considered in the assessment of "in trust" claims: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this case the plaintiff's claim represents approximately 70% of the amount calculated at 44 hours per week and $25 per hour. Ms. Otsuji said she was with the plaintiff five to six days per week and between six and eight hours per day; it can be inferred the average weekly number of hours spent by Ms. Otsuji with the plaintiff is 39 per week. I find that 30 hours per week represents the likely measure of the hours Ms. Otsuji was caring for the plaintiff considering Ms. Chamber's estimate that he requires two hours per day for daily care and four hours per week for other assistance. She obviously provided friendship and comfort during the hours she stayed with the plaintiff; some of the loss of friendship, comfort and other aspects to the enjoyment of his life are answered within claims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need to be cautious in awards of this type, I am satisfied that the plaintiff has been dependent on Ms. Otsuji for approximately 26 months during which time she has been assiduously loyal and helpful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accept that the plaintiff required assistance provided by Ms. Otsuji without which it would have been necessary to have retained a professional care provider. Taking into account the fair market value of services is $25 per hour (as estimated by the plaintiff) and that her contribution to his house keeping and care and other needs can be conservatively estimated at 30 hours per week, she would have earned $90.000 over 28 months. I am satisfied that a fair measure of his damages during this period is the amount claimed at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for Brother's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Brother's Chris and Alan travelled from their residences in Toronto and Hong Kong respectively to attend to him in the immediate aftermath of the accident. The defence takes no position with regard to the claim for Mr. Ho's brothers' travel expenses of $2063.78 and that amount will be paid to the plaintiff in trust for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also asks for $15,000 to reflect his loss of housekeeping capacity to the date of trial. The defendant concedes that the defendants past and future loss of housekeeping capacity measured in keeping with his age and remaining life expectancy and balanced against the likelihood he would have suffered some reduction in his housekeeping ability in the future, that $15,000 is an appropriate award. I am satisfied that $15,000 will adequately compensate the plaintiff for the loss of his housekeeping capacity in addition to the compensation measured and awarded in regard to the services provided by Ms. Otsuji.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parties are agreed that the plaintiff will recover $8,172.63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Management Fee and Gross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parties will have leave to make further submissions concerning the management fee and tax gross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will recover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Head of Damage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Cost of Future Care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$373,157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Special Damages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$8,172.63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Loss of Housekeeping Capacity/In Trust Award</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Overall Loss of Housekeeping Capacity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In Trust for Brother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$2,063.78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$763,393.41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Tax gross up claim is deferred.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Absent further submissions on the question of costs, the plaintiff will have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Hundley v. Garnier, [2011] B.C.J. No. 1841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S074091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1317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Lucy Hundley, Plaintiff, and Susan J. Garnier and Francis J. Garnier, Defendants, and Ray Hunter and Kerrisdale Realty Limited dba Prudential United Realty,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jc w:val="both"/>
        <w:rPr>
          <w:rFonts w:ascii="arial" w:eastAsia="arial" w:hAnsi="arial" w:cs="arial"/>
          <w:sz w:val="20"/>
          <w:lang w:val="en-US" w:eastAsia="en-US" w:bidi="ar-SA"/>
        </w:rPr>
      </w:pPr>
      <w:bookmarkStart w:id="59" w:name="Counsel_16"/>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Todd A. McKendrick.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Dean Davison.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Gregory C. Blanchard.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16"/>
      <w:bookmarkEnd w:id="60"/>
      <w:r>
        <w:pict>
          <v:line id="_x0000_s1084"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B.M. GREYELL J."/>
            <w:bookmarkEnd w:id="61"/>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dealing with costs following the plaintiff's successful action for damages arising from a failed real estate transaction and from the third parties' successful defence against the defendants' third party claim which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sued for specific performance (this claim was abandoned before trial) and damages arising from an agreement to purchase a residential property on West 12th Avenue in Vancouver. The defendants, who owned the property, refused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the action was started, the defendants issued a third party notice against the third party real estate agent, Ray Hunter, and his employer Prudential United Realty (who I will collectively refer to for convenience as "Prudential") seeking indemnification in the event they were unsuccessful in their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Following a 10-day trial, I issued reasons for judgment dated April 4, 2011, allowing the plaintiff's claim and dismissing the defendants' claim against the third parties (see </w:t>
      </w:r>
      <w:r>
        <w:rPr>
          <w:rFonts w:ascii="arial" w:eastAsia="arial" w:hAnsi="arial" w:cs="arial"/>
          <w:i/>
          <w:color w:val="000000"/>
          <w:sz w:val="20"/>
          <w:lang w:val="en-US" w:eastAsia="en-US" w:bidi="ar-SA"/>
        </w:rPr>
        <w:t>Hundley v. Garnier</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2011 BCSC 414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and Prudential are now seeking special costs against the defendants. Alternatively, the plaintiff seeks double costs pursuant to Rule 9-1(4)(5) and (6)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appropriate case for an award of special costs to either the plaintiff or Prudential against the defendants?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not, is the plaintiff entitled to double costs under Rule 9-1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has jurisdiction to order a party to pay costs on a "special costs" basis when that party has engaged in "reprehensible conduct" deserving of rebuke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Lambert J.A. reviewed the historical basis for awarding costs and solicitor-and-client (now special) costs. He stated at p. 310: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of a Supreme Court judge to award costs stems from s. 3 of the Supreme Court Act which confirms that the judges of the Supreme Court have the inherent powers of a judge of a superior court of record. The power to award costs is governed by the laws in force in England before 1858 and by the enactments, including the Rules of Court, affecting costs made in British Columbia since 1858. Generally, the decisions on costs, including both whether to award costs, and, if awarded, how to calculate them, are decisions governed by a wide measure of discretion. See </w:t>
      </w:r>
      <w:r>
        <w:rPr>
          <w:rFonts w:ascii="arial" w:eastAsia="arial" w:hAnsi="arial" w:cs="arial"/>
          <w:i/>
          <w:color w:val="000000"/>
          <w:sz w:val="20"/>
          <w:lang w:val="en-US" w:eastAsia="en-US" w:bidi="ar-SA"/>
        </w:rPr>
        <w:t>Oasis Hotel Ltd. v. Zurich Ins. Co.</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28 B.C.L.R. 230</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[1981] 5 W.W.R. 24</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21 C.P.C. 260</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[1982] I.L.R. 1-1459</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124 D.L.R. (3d) 455</w:t>
        </w:r>
      </w:hyperlink>
      <w:r>
        <w:rPr>
          <w:rFonts w:ascii="arial" w:eastAsia="arial" w:hAnsi="arial" w:cs="arial"/>
          <w:color w:val="000000"/>
          <w:sz w:val="20"/>
          <w:lang w:val="en-US" w:eastAsia="en-US" w:bidi="ar-SA"/>
        </w:rPr>
        <w:t xml:space="preserve"> (C.A.). The discretion must be exercised judicially, i.e. not arbitrarily or capriciously. And, as I have said, it must be exercised consistently with the Rules of Court. But it would be a sorry result if like cases were not decided in like ways with respect to costs. So, by judicial comity, principles have developed which guide the exercise of the discretion of a judge with respect to costs. Those principles should be consistently applied; if a judge declines to apply them, without a reason for doing so, he may be considered to have acted arbitrarily or capriciously and not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went on to discuss the circumstances under which special costs should be awarded at p. 311: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which guides the decision to award solicitor-and-client costs in a contested matter where there is no fund in issue and where the parties have not agreed on solicitor-and-client costs in advance, is that solicitor-and-client costs should not be awarded unless there is some form of reprehensible conduct, either in the circumstances giving rise to the cause of action, or in the proceedings, which makes such costs desirable as a form of chastisement. The words "scandalous" and "outrageous" have also been used. See </w:t>
      </w:r>
      <w:r>
        <w:rPr>
          <w:rFonts w:ascii="arial" w:eastAsia="arial" w:hAnsi="arial" w:cs="arial"/>
          <w:i/>
          <w:color w:val="000000"/>
          <w:sz w:val="20"/>
          <w:lang w:val="en-US" w:eastAsia="en-US" w:bidi="ar-SA"/>
        </w:rPr>
        <w:t>Cominco v. Westinghouse Can. Ltd.</w:t>
      </w:r>
      <w:r>
        <w:rPr>
          <w:rFonts w:ascii="arial" w:eastAsia="arial" w:hAnsi="arial" w:cs="arial"/>
          <w:color w:val="000000"/>
          <w:sz w:val="20"/>
          <w:lang w:val="en-US" w:eastAsia="en-US" w:bidi="ar-SA"/>
        </w:rPr>
        <w:t xml:space="preserve"> (1980), 16 C.P.C. 19 at 22 (B.C.S.C.); </w:t>
      </w:r>
      <w:r>
        <w:rPr>
          <w:rFonts w:ascii="arial" w:eastAsia="arial" w:hAnsi="arial" w:cs="arial"/>
          <w:i/>
          <w:color w:val="000000"/>
          <w:sz w:val="20"/>
          <w:lang w:val="en-US" w:eastAsia="en-US" w:bidi="ar-SA"/>
        </w:rPr>
        <w:t>Jackh v. Jackh</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(1981), 31 B.C.L.R. 309</w:t>
        </w:r>
      </w:hyperlink>
      <w:r>
        <w:rPr>
          <w:rFonts w:ascii="arial" w:eastAsia="arial" w:hAnsi="arial" w:cs="arial"/>
          <w:color w:val="000000"/>
          <w:sz w:val="20"/>
          <w:lang w:val="en-US" w:eastAsia="en-US" w:bidi="ar-SA"/>
        </w:rPr>
        <w:t xml:space="preserve"> at 312 (S.C.); </w:t>
      </w:r>
      <w:r>
        <w:rPr>
          <w:rFonts w:ascii="arial" w:eastAsia="arial" w:hAnsi="arial" w:cs="arial"/>
          <w:i/>
          <w:color w:val="000000"/>
          <w:sz w:val="20"/>
          <w:lang w:val="en-US" w:eastAsia="en-US" w:bidi="ar-SA"/>
        </w:rPr>
        <w:t>Sussex Invt. Ltd. v. Leskovar</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(1981), 30 B.C.L.R. 372</w:t>
        </w:r>
      </w:hyperlink>
      <w:r>
        <w:rPr>
          <w:rFonts w:ascii="arial" w:eastAsia="arial" w:hAnsi="arial" w:cs="arial"/>
          <w:color w:val="000000"/>
          <w:sz w:val="20"/>
          <w:lang w:val="en-US" w:eastAsia="en-US" w:bidi="ar-SA"/>
        </w:rPr>
        <w:t xml:space="preserve"> at 378 (C.A.); and </w:t>
      </w:r>
      <w:r>
        <w:rPr>
          <w:rFonts w:ascii="arial" w:eastAsia="arial" w:hAnsi="arial" w:cs="arial"/>
          <w:i/>
          <w:color w:val="000000"/>
          <w:sz w:val="20"/>
          <w:lang w:val="en-US" w:eastAsia="en-US" w:bidi="ar-SA"/>
        </w:rPr>
        <w:t>Doyle Const. Co. v. Carling-O'Keefe Breweries of Can. Ltd.</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(1988), 27 B.C.L.R. (2d) 81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Garcia v. Crestbrook Forest Industries</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Lambert J.A. refined the test for an award of special costs to a single standard requiring "reprehensible conduct". He stated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Justice Lambert continued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fact that an action or an appeal "has little merit" is not in itself a reason for awarding special costs. See the reasons for Madam Justice McLachlin, for the majority in the Supreme Court of Canada on the question of costs, in Young v. Young, </w:t>
      </w:r>
      <w:hyperlink r:id="rId36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at p. 28. Something more is required, such as improper allegations of fraud, or an improper motive for bringing the proceedings, or improper conduct of the proceedings themselves, before the conduct becomes sufficiently reprehensible to require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Other cases have acknowledged that special costs are awarded to reprimand conduct from which the court seeks to disassociate itself: see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(C.A.) at para. 23; </w:t>
      </w:r>
      <w:r>
        <w:rPr>
          <w:rFonts w:ascii="arial" w:eastAsia="arial" w:hAnsi="arial" w:cs="arial"/>
          <w:i/>
          <w:color w:val="000000"/>
          <w:sz w:val="20"/>
          <w:lang w:val="en-US" w:eastAsia="en-US" w:bidi="ar-SA"/>
        </w:rPr>
        <w:t>Laye v. College of Psychologists (British Columbia)</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(1998), 59 B.C.L.R. (3d) 349</w:t>
        </w:r>
      </w:hyperlink>
      <w:r>
        <w:rPr>
          <w:rFonts w:ascii="arial" w:eastAsia="arial" w:hAnsi="arial" w:cs="arial"/>
          <w:color w:val="000000"/>
          <w:sz w:val="20"/>
          <w:lang w:val="en-US" w:eastAsia="en-US" w:bidi="ar-SA"/>
        </w:rPr>
        <w:t xml:space="preserve"> (C.A.) at para. 12; and </w:t>
      </w:r>
      <w:r>
        <w:rPr>
          <w:rFonts w:ascii="arial" w:eastAsia="arial" w:hAnsi="arial" w:cs="arial"/>
          <w:i/>
          <w:color w:val="000000"/>
          <w:sz w:val="20"/>
          <w:lang w:val="en-US" w:eastAsia="en-US" w:bidi="ar-SA"/>
        </w:rPr>
        <w:t>Wexler v. Bhullar</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2006 BCSC 1466</w:t>
        </w:r>
      </w:hyperlink>
      <w:r>
        <w:rPr>
          <w:rFonts w:ascii="arial" w:eastAsia="arial" w:hAnsi="arial" w:cs="arial"/>
          <w:color w:val="000000"/>
          <w:sz w:val="20"/>
          <w:lang w:val="en-US" w:eastAsia="en-US" w:bidi="ar-SA"/>
        </w:rPr>
        <w:t xml:space="preserve"> at paras. 46-48. For example, parties who deliberately frustrate or delay the administration of justice through abuse of, or consistent failure to adhere 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face being rebuked by the court. However, the misbehaviour or misconduct must be sufficient to warrant the court's rebuke. As stated by Newbury J. (as she then was) in </w:t>
      </w:r>
      <w:r>
        <w:rPr>
          <w:rFonts w:ascii="arial" w:eastAsia="arial" w:hAnsi="arial" w:cs="arial"/>
          <w:i/>
          <w:color w:val="000000"/>
          <w:sz w:val="20"/>
          <w:lang w:val="en-US" w:eastAsia="en-US" w:bidi="ar-SA"/>
        </w:rPr>
        <w:t>Ahluwalia v. Richmond Cabs Ltd.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(1994), 28 C.P.C. (3d) 226</w:t>
        </w:r>
      </w:hyperlink>
      <w:r>
        <w:rPr>
          <w:rFonts w:ascii="arial" w:eastAsia="arial" w:hAnsi="arial" w:cs="arial"/>
          <w:color w:val="000000"/>
          <w:sz w:val="20"/>
          <w:lang w:val="en-US" w:eastAsia="en-US" w:bidi="ar-SA"/>
        </w:rPr>
        <w:t xml:space="preserve"> (B.C.S.C.)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every case is whether, on a consideration of the substantive conduct of the party making the allegation, and the conduct of the litigation itself, the person or persons against whom the order is sought, has acted in a manner that is sufficiently reprehensible to warrant chastisement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International Hi-Tec Industries Inc. v. FANUC Robotics Canada Ltd.</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2007 BCSC 1724</w:t>
        </w:r>
      </w:hyperlink>
      <w:r>
        <w:rPr>
          <w:rFonts w:ascii="arial" w:eastAsia="arial" w:hAnsi="arial" w:cs="arial"/>
          <w:color w:val="000000"/>
          <w:sz w:val="20"/>
          <w:lang w:val="en-US" w:eastAsia="en-US" w:bidi="ar-SA"/>
        </w:rPr>
        <w:t>, Madam Justice Ballance conducted a detailed discussion of the case law surrounding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Special costs are punitive and are intended as well to encompass an element of deterrence: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12 C.P.C. (3d) 319</w:t>
        </w:r>
      </w:hyperlink>
      <w:r>
        <w:rPr>
          <w:rFonts w:ascii="arial" w:eastAsia="arial" w:hAnsi="arial" w:cs="arial"/>
          <w:color w:val="000000"/>
          <w:sz w:val="20"/>
          <w:lang w:val="en-US" w:eastAsia="en-US" w:bidi="ar-SA"/>
        </w:rPr>
        <w:t xml:space="preserve">). The purpose of awarding them is to chastise and discourage reprehensible conduct. Accordingly, the focus of the inquiry is on the party's blame-worthiness and intent: </w:t>
      </w:r>
      <w:r>
        <w:rPr>
          <w:rFonts w:ascii="arial" w:eastAsia="arial" w:hAnsi="arial" w:cs="arial"/>
          <w:i/>
          <w:color w:val="000000"/>
          <w:sz w:val="20"/>
          <w:lang w:val="en-US" w:eastAsia="en-US" w:bidi="ar-SA"/>
        </w:rPr>
        <w:t>Bank of Credit and Commerce International (Overseas) Ltd. v. Akbar et al</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2001 BCCA 204</w:t>
        </w:r>
      </w:hyperlink>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86 B.C.L.R. (3d) 312</w:t>
        </w:r>
      </w:hyperlink>
      <w:r>
        <w:rPr>
          <w:rFonts w:ascii="arial" w:eastAsia="arial" w:hAnsi="arial" w:cs="arial"/>
          <w:color w:val="000000"/>
          <w:sz w:val="20"/>
          <w:lang w:val="en-US" w:eastAsia="en-US" w:bidi="ar-SA"/>
        </w:rPr>
        <w:t>,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case law demonstrates a wide variety of circumstances that have resulted in the awarding of special costs. The failure to prove allegations of fraud will not automatically result in such an award (see: </w:t>
      </w:r>
      <w:r>
        <w:rPr>
          <w:rFonts w:ascii="arial" w:eastAsia="arial" w:hAnsi="arial" w:cs="arial"/>
          <w:i/>
          <w:color w:val="000000"/>
          <w:sz w:val="20"/>
          <w:lang w:val="en-US" w:eastAsia="en-US" w:bidi="ar-SA"/>
        </w:rPr>
        <w:t>307527 B.C. Ltd. v. Langley</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2005 BCCA 161</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210 B.C.A.C. 155</w:t>
        </w:r>
      </w:hyperlink>
      <w:r>
        <w:rPr>
          <w:rFonts w:ascii="arial" w:eastAsia="arial" w:hAnsi="arial" w:cs="arial"/>
          <w:color w:val="000000"/>
          <w:sz w:val="20"/>
          <w:lang w:val="en-US" w:eastAsia="en-US" w:bidi="ar-SA"/>
        </w:rPr>
        <w:t xml:space="preserve">). However, where the totality of the circumstances reveal that allegations of fraud have been made frivolously, are without foundation, or made in circumstances where the alleging party had access to information sufficient to conclude that the defendant was merely negligent or had committed no wrongdoing at all, the allegations themselves are seen to be reprehensible warranting an order of special costs: </w:t>
      </w:r>
      <w:r>
        <w:rPr>
          <w:rFonts w:ascii="arial" w:eastAsia="arial" w:hAnsi="arial" w:cs="arial"/>
          <w:i/>
          <w:color w:val="000000"/>
          <w:sz w:val="20"/>
          <w:lang w:val="en-US" w:eastAsia="en-US" w:bidi="ar-SA"/>
        </w:rPr>
        <w:t>Chaplin v. Sun Life Assurance Company of Canada et al.</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2004 BCSC 116</w:t>
        </w:r>
      </w:hyperlink>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 C.P.C. (6th) 271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1 S.C.R. 303</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235 D.L.R. (4th) 193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at 253, </w:t>
      </w:r>
      <w:hyperlink r:id="rId21" w:history="1">
        <w:r>
          <w:rPr>
            <w:rFonts w:ascii="arial" w:eastAsia="arial" w:hAnsi="arial" w:cs="arial"/>
            <w:i/>
            <w:color w:val="0077CC"/>
            <w:sz w:val="20"/>
            <w:u w:val="single"/>
            <w:shd w:val="clear" w:color="auto" w:fill="FFFFFF"/>
            <w:lang w:val="en-US" w:eastAsia="en-US" w:bidi="ar-SA"/>
          </w:rPr>
          <w:t>23 C.P.C. (3d) 345</w:t>
        </w:r>
      </w:hyperlink>
      <w:r>
        <w:rPr>
          <w:rFonts w:ascii="arial" w:eastAsia="arial" w:hAnsi="arial" w:cs="arial"/>
          <w:color w:val="000000"/>
          <w:sz w:val="20"/>
          <w:lang w:val="en-US" w:eastAsia="en-US" w:bidi="ar-SA"/>
        </w:rPr>
        <w:t xml:space="preserve"> (S.C.), Mr. Justice MacKinnon remarked that a party must give thoughtful consideration before making serious allegations of fraud. He stated, "At the very least,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must exist and if it does not then special costs by way of 'chastisement' is a reminder ... to exercise better care in the future." Also noteworthy in the context of the case at hand are the remarks of Madam Justice Sinclair Prowse in </w:t>
      </w:r>
      <w:r>
        <w:rPr>
          <w:rFonts w:ascii="arial" w:eastAsia="arial" w:hAnsi="arial" w:cs="arial"/>
          <w:i/>
          <w:color w:val="000000"/>
          <w:sz w:val="20"/>
          <w:lang w:val="en-US" w:eastAsia="en-US" w:bidi="ar-SA"/>
        </w:rPr>
        <w:t>Webber et al v. Cdn. Aviation Ins. Mgrs. Ltd.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2003 BCSC 274</w:t>
        </w:r>
      </w:hyperlink>
      <w:r>
        <w:rPr>
          <w:rFonts w:ascii="arial" w:eastAsia="arial" w:hAnsi="arial" w:cs="arial"/>
          <w:color w:val="000000"/>
          <w:sz w:val="20"/>
          <w:lang w:val="en-US" w:eastAsia="en-US" w:bidi="ar-SA"/>
        </w:rPr>
        <w:t>, 29 C.P.C. (5th) 226 at para. 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dispute that if the Court finds that there has been a deliberate attempt to mislead it through contrived, concocted, or fabricated evidence, that such conduct can found an order for special costs. See: </w:t>
      </w:r>
      <w:r>
        <w:rPr>
          <w:rFonts w:ascii="arial" w:eastAsia="arial" w:hAnsi="arial" w:cs="arial"/>
          <w:i/>
          <w:color w:val="000000"/>
          <w:sz w:val="20"/>
          <w:lang w:val="en-US" w:eastAsia="en-US" w:bidi="ar-SA"/>
        </w:rPr>
        <w:t>Jogia v. Aetna Life Insurance Co. of Canada</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[1999] B.C.J. No. 1502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[1998] B.C.J. No. 2568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S.S.G. Trucking Ltd. v. Standard Building Maintenance Ltd.</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[2000] B.C.J. No. 1042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Smith v. Garbutt</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[1998] B.C.J. No. 2460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After referring to the quote from </w:t>
      </w:r>
      <w:r>
        <w:rPr>
          <w:rFonts w:ascii="arial" w:eastAsia="arial" w:hAnsi="arial" w:cs="arial"/>
          <w:i/>
          <w:color w:val="000000"/>
          <w:sz w:val="20"/>
          <w:lang w:val="en-US" w:eastAsia="en-US" w:bidi="ar-SA"/>
        </w:rPr>
        <w:t>Ahluwalia</w:t>
      </w:r>
      <w:r>
        <w:rPr>
          <w:rFonts w:ascii="arial" w:eastAsia="arial" w:hAnsi="arial" w:cs="arial"/>
          <w:color w:val="000000"/>
          <w:sz w:val="20"/>
          <w:lang w:val="en-US" w:eastAsia="en-US" w:bidi="ar-SA"/>
        </w:rPr>
        <w:t xml:space="preserve"> cited above,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Madam Justice Newbury further stated at p. 231 that where a party has "consciously advanced allegations of fraud and deceit and testified as to facts which were found to be untrue ..." as well as created delays, pressured the defendants, and failed to comply with court orders and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such actions qualify as reprehensible conduct and warrant an order for special costs. (Also see: </w:t>
      </w:r>
      <w:r>
        <w:rPr>
          <w:rFonts w:ascii="arial" w:eastAsia="arial" w:hAnsi="arial" w:cs="arial"/>
          <w:i/>
          <w:color w:val="000000"/>
          <w:sz w:val="20"/>
          <w:lang w:val="en-US" w:eastAsia="en-US" w:bidi="ar-SA"/>
        </w:rPr>
        <w:t>Paz v. Hardouin</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(1996), 138 D.L.R. (4th) 292</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25 B.C.L.R. (3d) 201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An underlying rationale of the authorities which have considered the relationship between unproven allegations of fraudulent conduct and special costs is an obvious one: a recognition that such allegations are potentially damaging to those accused of practising such deception and, accordingly, should not be made lightly.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Baseless allegations of conspiracy may also be susceptible to an order for special costs: </w:t>
      </w:r>
      <w:r>
        <w:rPr>
          <w:rFonts w:ascii="arial" w:eastAsia="arial" w:hAnsi="arial" w:cs="arial"/>
          <w:i/>
          <w:color w:val="000000"/>
          <w:sz w:val="20"/>
          <w:lang w:val="en-US" w:eastAsia="en-US" w:bidi="ar-SA"/>
        </w:rPr>
        <w:t>World Wide Treasure Adventures Inc. v. Ralph</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[1996] B.C.J. No. 154</w:t>
        </w:r>
      </w:hyperlink>
      <w:r>
        <w:rPr>
          <w:rFonts w:ascii="arial" w:eastAsia="arial" w:hAnsi="arial" w:cs="arial"/>
          <w:color w:val="000000"/>
          <w:sz w:val="20"/>
          <w:lang w:val="en-US" w:eastAsia="en-US" w:bidi="ar-SA"/>
        </w:rPr>
        <w:t xml:space="preserve"> (S.C.) [In Chambers].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Genesee Enterprises Ltd. v. Rached</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Genesee</w:t>
      </w:r>
      <w:r>
        <w:rPr>
          <w:rFonts w:ascii="arial" w:eastAsia="arial" w:hAnsi="arial" w:cs="arial"/>
          <w:color w:val="000000"/>
          <w:sz w:val="20"/>
          <w:lang w:val="en-US" w:eastAsia="en-US" w:bidi="ar-SA"/>
        </w:rPr>
        <w:t>], Madam Justice Levine (as she was then) ordered the defendant to pay special costs for making improper allegations of fraudulent misrepresentation, conspiracy, and breach of fiduciary duty, and for his improper conduct during the proceedings and his improper motive for bringing the counterclaim. Levine J. found that some of the defendant's testimony was clearly fabricated and much of his behaviour was outrageous and scandalous. She stated at para. 29, "Some of the factors described above could support, on their own, an award of special costs." At para. 11, Levine J. warned that a litigant "risks censure for bringing claims that have the effect of besmirching the reputation of other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in this case refers the court to the decision of Justice Sinclair Prowse (as she then was) in </w:t>
      </w:r>
      <w:r>
        <w:rPr>
          <w:rFonts w:ascii="arial" w:eastAsia="arial" w:hAnsi="arial" w:cs="arial"/>
          <w:i/>
          <w:color w:val="000000"/>
          <w:sz w:val="20"/>
          <w:lang w:val="en-US" w:eastAsia="en-US" w:bidi="ar-SA"/>
        </w:rPr>
        <w:t>Webber v. Canadian Aviation Insurance Managers Ltd.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2003 BCSC 274</w:t>
        </w:r>
      </w:hyperlink>
      <w:r>
        <w:rPr>
          <w:rFonts w:ascii="arial" w:eastAsia="arial" w:hAnsi="arial" w:cs="arial"/>
          <w:color w:val="000000"/>
          <w:sz w:val="20"/>
          <w:lang w:val="en-US" w:eastAsia="en-US" w:bidi="ar-SA"/>
        </w:rPr>
        <w:t xml:space="preserve"> at paras.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There is no dispute that if the Court finds that there has been a deliberate attempt to mislead it through contrived, concocted, or fabricated evidence, that such conduct can found an order for special costs. See: </w:t>
      </w:r>
      <w:r>
        <w:rPr>
          <w:rFonts w:ascii="arial" w:eastAsia="arial" w:hAnsi="arial" w:cs="arial"/>
          <w:i/>
          <w:color w:val="000000"/>
          <w:sz w:val="20"/>
          <w:lang w:val="en-US" w:eastAsia="en-US" w:bidi="ar-SA"/>
        </w:rPr>
        <w:t>Jogia v. Aetna Life Insurance Co. of Canada</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[1999] B.C.J. No. 1502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[1998] B.C.J. No. 2568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S.S.G. Trucking Ltd. v. Standard Building Maintenance Ltd.</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[2000] B.C.J. No. 1042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Smith v. Garbutt</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[1998] B.C.J. No. 2460</w:t>
        </w:r>
      </w:hyperlink>
      <w:r>
        <w:rPr>
          <w:rFonts w:ascii="arial" w:eastAsia="arial" w:hAnsi="arial" w:cs="arial"/>
          <w:color w:val="000000"/>
          <w:sz w:val="20"/>
          <w:lang w:val="en-US" w:eastAsia="en-US" w:bidi="ar-SA"/>
        </w:rPr>
        <w:t xml:space="preserve"> (C.A.). However, the simple finding that a party or a witness called by a party is untruthful or unreliable is not, in itself, sufficient to found such an award. See: </w:t>
      </w:r>
      <w:r>
        <w:rPr>
          <w:rFonts w:ascii="arial" w:eastAsia="arial" w:hAnsi="arial" w:cs="arial"/>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Therefore, the issue to be determined is whether I am satisfied that the Plaintiffs deliberately attempted to mislead me through contrived, concocted, or fabricated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CONDUCT OF THE DEFENDANTS UPON WHICH THE PLAINTIFF AND THIRD PARTIES RELY FOR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their claim for special costs, the plaintiff and Prudential rely on my findings of fact concerning the conduct of Mr. and Ms. Garnier both prior to and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Among the findings I made upon which the plaintiff and Prudential rely are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evidence should be rejected where it conflicted with the evidence of the third party, Ray Hunter, and the evidence of other witnesses;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evidence was in direct conflict with that of their solicitor, Ms. Jong. They testified that they requested she look into whether the first deposit was made. Ms. Jong had no record of receiving such instructions. If she had received such instructions she could have determined the answer by reference to the documents she received from Ms. Morin or from Prudential when she was initially retained;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instructed Mr. Coombe to contact Ms. Morin and advise her, amongst other things, that he was "acting" for the Garniers and that the Garniers wished to rent back the property until June 30. The Garniers wanted Ms. Morin and Ms. Hundley to believe they intended to complete the conveyance on May 2 when, in fact, they had decided much earlier they would not complete the transaction;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deliberately sought to create confusion about who was representing them and what their true intentions were in order to set up an obstacle to Ms. Hundley tendering the completion documents by the completion date. They were in essence playing a game, trying to frustrate Ms. Hundley's ability to tender on time. The Garniers had received legal advice (as acknowledged in their letter to Attorney-General Oppal) that they were obligated to complete the transaction. Nevertheless, they adopted a strategy they thought would frustrate that completion;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to the Commissioner of the Land Title and Survey Authority of British Columbia demonstrated that the Garniers' perception of the truth was particularly one-sided in their favour, regardless of the facts;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fabricated three letters, and did so well after the event, to lend support to their position that Mr. Hunter did not disclose particulars of Ms. Hundley's deposits to them;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Hunter's offer to assist the Garniers search for alternate premises was nothing other than a good faith offer. Ms. Garnier's characterization of that offer as a design to mislead them is but one example of the couple's attempts throughout their testimony to unfairly discredit Mr. Hunter;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assertions to both the Attorney General and the Real Estate Board that Mr. Hunter engaged in criminal conduct and that he breached his fiduciary duties to them were groundless;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relinquish their claim of the plaintiff's deposit until August 16, 2010, approximately two weeks before trial;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Garniers' representation to the Commissioner of Land Titles that they had not been "provided with any closing papers or monies ... before the closing date ..."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different considerations apply to whether the plaintiff and Prudential are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number of the above findings relate to Ms. Hundley's claim against the defendants. However, I do not think their conduct as found rises to the level of reprehensible as has been described in the case law. Clearly, the Garniers improperly sought to avoid their obligations under the purchase agreement and in doing so they concocted a version of events the court did not accept, including the manufacturing of false and misleading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main, however, the Garniers' complaints, concoctions and fabricated evidence were addressed to Mr. Hunter, not to the plaintiff. The letters dated March 19, and April 4, 2007, that I have found Ms. Garnier fabricated to lend support to the defence, were disparaging to Mr. Hunter and attacked his credibility. While I found the April 4, 2007 letter to Ms. Hundley to be fabricated, it did not attack her personally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same is true of the April 21, 2007 letter to the then Attorney General, Mr. Oppal, and the complaint made to the Real Estate Council. These are both personal and professional attacks on Mr. Hunter. These attacks and concoctions simply did not reach the same level against Ms. Hundley.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points out that the defendants have engaged in other conduct that should warrant special costs: failing to complete the conveyance after being advised by a lawyer they were legally obliged to; deliberately creating confusion to keep Ms. Hundley from tendering the completion documents by the completion date; and deceiving the Land Title and Survey Authority in an attempt to have the caveat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the plaintiffs that there are a number of aspects of the defendants' conduct, and their evidence at trial, which are troubling. Such conduct does deserve rebuke. However, it does not, in my view, permeate the case involving the plaintiff to the extent of deserving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contrast, the third parties are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third party notice, which the defendants issued, joining the third parties to the action, alleges the third parties were at fault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breach of fiduciary duty and breach of contract. The defendants asserted Mr. Hunter "pressured" them into agreeing on the listing price of $920,000 and that he did not disclose his relationship with the plaintiff to them. They maintained this position against the third parties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More significantly, in addition to relying on what I found to be manufactured evidence at trial, that is, the letters of March 19 and April 4, 2007, they made public defamatory allegations against Mr. Hunter. They made false accusations to the Attorney General, calling Mr. Hunter's conduct "unscrupulous" and to the Real Estate Council, seeking to initiate an investigation. They also wrote a patently untrue letter to the Commissioner of Land Titles.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argues that this is merely a case of conflicting evidence and conflicting evidence is not proof of misconduct. Furthermore, he submits that the fact that I did not believe the defendants is not a reason to award special costs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agree that courts should reserve an award of special costs to circumstances where the parties have, in essence, abused the process of the court and where their conduct deserves rebuke. In fact, there are many cases which come before the courts where parties are not candid in their evidence, or their evidence is disbelieved. These do not warrant an award of special costs. As stated by Justice Sigurdson in </w:t>
      </w:r>
      <w:r>
        <w:rPr>
          <w:rFonts w:ascii="arial" w:eastAsia="arial" w:hAnsi="arial" w:cs="arial"/>
          <w:i/>
          <w:color w:val="000000"/>
          <w:sz w:val="20"/>
          <w:lang w:val="en-US" w:eastAsia="en-US" w:bidi="ar-SA"/>
        </w:rPr>
        <w:t>Osooli-Talesh v. Emami</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2008 BCSC 1749</w:t>
        </w:r>
      </w:hyperlink>
      <w:r>
        <w:rPr>
          <w:rFonts w:ascii="arial" w:eastAsia="arial" w:hAnsi="arial" w:cs="arial"/>
          <w:color w:val="000000"/>
          <w:sz w:val="20"/>
          <w:lang w:val="en-US" w:eastAsia="en-US" w:bidi="ar-SA"/>
        </w:rPr>
        <w:t xml:space="preserve">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case where, upon a consideration of all the evidence, I rejected the plaintiff's testimony. The fact that a party's evidence is rejected, as it was in this case, and in </w:t>
      </w:r>
      <w:r>
        <w:rPr>
          <w:rFonts w:ascii="arial" w:eastAsia="arial" w:hAnsi="arial" w:cs="arial"/>
          <w:i/>
          <w:color w:val="000000"/>
          <w:sz w:val="20"/>
          <w:lang w:val="en-US" w:eastAsia="en-US" w:bidi="ar-SA"/>
        </w:rPr>
        <w:t>Roberts v. Wilson</w:t>
      </w:r>
      <w:r>
        <w:rPr>
          <w:rFonts w:ascii="arial" w:eastAsia="arial" w:hAnsi="arial" w:cs="arial"/>
          <w:color w:val="000000"/>
          <w:sz w:val="20"/>
          <w:lang w:val="en-US" w:eastAsia="en-US" w:bidi="ar-SA"/>
        </w:rPr>
        <w:t xml:space="preserve"> [ (1997), 10 C.P.C. (4th) 188 (B.C.S.C.)], is not, of itself usually sufficient to ground an order for special costs. There was nothing reprehensible in the manner in which Mr. Osooli-Talesh or his counsel conducted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Similarly, the court in </w:t>
      </w:r>
      <w:r>
        <w:rPr>
          <w:rFonts w:ascii="arial" w:eastAsia="arial" w:hAnsi="arial" w:cs="arial"/>
          <w:i/>
          <w:color w:val="000000"/>
          <w:sz w:val="20"/>
          <w:lang w:val="en-US" w:eastAsia="en-US" w:bidi="ar-SA"/>
        </w:rPr>
        <w:t>Anmore Dev. Corp. v. City of Burnaby et al</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2006 BCSC 1772</w:t>
        </w:r>
      </w:hyperlink>
      <w:r>
        <w:rPr>
          <w:rFonts w:ascii="arial" w:eastAsia="arial" w:hAnsi="arial" w:cs="arial"/>
          <w:color w:val="000000"/>
          <w:sz w:val="20"/>
          <w:lang w:val="en-US" w:eastAsia="en-US" w:bidi="ar-SA"/>
        </w:rPr>
        <w:t xml:space="preserve"> stated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distinction between conduct which amounts to intentionally contriving or concocting evidence to mislead the Court, which may lead to an award of special costs and evidence that is simply disbelieved, which will generally not result in an award of special costs. See: </w:t>
      </w:r>
      <w:r>
        <w:rPr>
          <w:rFonts w:ascii="arial" w:eastAsia="arial" w:hAnsi="arial" w:cs="arial"/>
          <w:i/>
          <w:color w:val="000000"/>
          <w:sz w:val="20"/>
          <w:lang w:val="en-US" w:eastAsia="en-US" w:bidi="ar-SA"/>
        </w:rPr>
        <w:t>S.S.G. Trucking Ltd. v. Standard Bldg. Maintenance Ltd.</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2000 BCSC 812</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I find that during the spring of 2007 the Garniers sought to lay a foundation for evidence involving Mr. Hunter which they knew to be false and that they intended to mislead the court by persisting in giving that evidence at trial. This is not a case, where, as argued by the Garniers' counsel, a party's evidence is simply disbelieved.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Nor is this a case, as submitted by counsel, where one party is simply upset about having his or her credibility questioned. The false accusations made against Mr. Hunter were serious and they were made to public figures and bodies. Furthermore, the Garniers knew the accusations were groundless.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Marchen v. Dams Ford Lincoln Sales Ltd.</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2010 BCCA 29</w:t>
        </w:r>
      </w:hyperlink>
      <w:r>
        <w:rPr>
          <w:rFonts w:ascii="arial" w:eastAsia="arial" w:hAnsi="arial" w:cs="arial"/>
          <w:color w:val="000000"/>
          <w:sz w:val="20"/>
          <w:lang w:val="en-US" w:eastAsia="en-US" w:bidi="ar-SA"/>
        </w:rPr>
        <w:t>, the Court of Appeal, in dealing with similar circumstances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Although the judge conflated the analysis damages and costs analysis, he made findings of fact relevant to and supportive of his award of special costs. They can be summarized as concluding that very shortly after this action was commenced, the appellant began to lay the groundwork for a defence that was based on facts it knew to be untrue: that Mr. Marchen was terminated as a result of downsizing the body shop operations. It persisted with this defence throughout the trial and it was rejected by the trial judge. He concluded the appellant's "conduct was planned and deliberate and intended to mislead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The appellant contends it is condemned for pursuing a defence it was entitled to pursue and that an award of special costs has a chilling effect on the ability of defendants to advance legitimate defences that ultimately are rejected.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In my view, the appellant's concern is misplaced. There is no question a defendant is entitled to advance defences in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this case, the judge's conclusions go far beyond merely rejecting a defence. Looking at the evidence overall, he concluded the appellant sought to mislead the court and to drive Mr. Marchen from the judgment seat. No palpable and overriding error has been shown in the judge's findings of fact. They are based on his appreciation of the evidence. There is no basis in principle on which this Court could interfere.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I would sustain the judge's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be clear, this is not a case where counsel for the defendants has abused the court process. Indeed, Mr. Davison conducted the trial courteously and efficiently. It was not Mr. Davison who deceived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however, satisfied that the Garniers were deliberately attempting to mislead the court by concocting false evidence, particularly concerning Mr. Hunter's role in the transaction. Such conduct warrants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 FOR COSTS PURSUANT TO RULE 9-1: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made two offers to settle. The first was made on January 29, 2009, offering to settle her claim upon payment by the defendants of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offer was made August 7, 2010, in which the plaintiff offered to settle her claim for $135,000, plus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third parties made no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Rule 9-1(5) and (6)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Cost options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 [B.C. Reg. 119/2010, Sch. A, s. 21.]</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Considerations of court</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the Court of Appeal recently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In this regard, Mr. Justice Frankel's comments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[2010] B.C.J. No. 1061</w:t>
        </w:r>
      </w:hyperlink>
      <w:r>
        <w:rPr>
          <w:rFonts w:ascii="arial" w:eastAsia="arial" w:hAnsi="arial" w:cs="arial"/>
          <w:color w:val="000000"/>
          <w:sz w:val="20"/>
          <w:lang w:val="en-US" w:eastAsia="en-US" w:bidi="ar-SA"/>
        </w:rPr>
        <w:t>, are apposite: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[74] The purposes for which costs rules exist must be kept in mind in determining whether appellate intervention is warranted. In addition to indemnifying a successful litigant, those purposes have been described as follows by this Court:</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w:t>
      </w:r>
      <w:hyperlink r:id="rId387"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[1988] 1 S.C.R. ix;</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Navegaço Norsul</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first factor [from Rule 9-1(6)] - whether the offer to settle was one that ought reasonably to have been accepted -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A.E. v. D.W.J.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applying the criteria set out as in Rule 9-1(6) and as discussed in the above authority, I conclude the defendants should have accepted the plaintiff's offer of January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reasons expressed in my judgment, I concluded the Garniers were aware they were obligated to complete the transaction as early as April 21, 2007, when they wrote to the Attorney General. The Garniers also testified that they were quite adamantly of the view (wrongly, as I found) that their residence was worth several hundred thousand dollars in excess of the listing price. It follows that a reasonable person in the position of the Garniers, weighing the strengths and weaknesses of their case and knowing they were legally required to complete the transaction, would have accepted the plaintiff's January 29, 2009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Rule 9-1(6)(d) also allows the court to consider other circumstances it may consider appropriate. In this regard, I take into account the factors outlined in my judgment in which I found the Garniers took steps to deliberately attempt to frustrate the completion of the transaction. They also attempted to deceive the Commissioner of the Land Title and Survey Authority, as well as kept Ms. Hundley's deposit until approximately two weeks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would also point out that the amount awarded to the plaintiff was well in excess of the January 29, 2009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arguing that double costs should not be awarded against his clients, counsel for the defendants relies on the cases of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2009 BCSC 1497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 xml:space="preserve">, McEwan J. pointed out that courts should be careful that in awarding costs they are not penalizing losing parties simply because they did not "guess the outcome" of the case (at para. 19). The court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noted that "Parties should not however be unduly deterred from bringing a meritorious, albeit uncertain claim, because of the fear that a punishing cost order could potentially wipe out their award [of damages] ..."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agree with the principles from both of these cases, however, I do not believe they assist the defendants. At the risk of being redundant, I will again point to my finding that the Garniers knew their case had no merit by April of 2007. Furthermore, if the defendants believed their defence had merit, they would not have felt it necessary to manufacture evidence to support their claims at trial. In this case, an award of double costs is not penalizing the defendants because they did not guess the outcome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Accordingly, the plaintiff shall receive double costs against the defendants from and after January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I.A.L. (Litigation guardian of) v. Y.C., [2019] B.C.J. No. 1739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L. Muir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26, 2019.</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August 26,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S118637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1739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2019 BCSC 1566</w:t>
      </w:r>
    </w:p>
    <w:p>
      <w:pPr>
        <w:spacing w:before="120" w:line="260" w:lineRule="atLeast"/>
        <w:rPr>
          <w:lang w:val="en-US" w:eastAsia="en-US" w:bidi="ar-SA"/>
        </w:rPr>
      </w:pPr>
      <w:r>
        <w:rPr>
          <w:rFonts w:ascii="arial" w:eastAsia="arial" w:hAnsi="arial" w:cs="arial"/>
          <w:color w:val="000000"/>
          <w:sz w:val="20"/>
          <w:lang w:val="en-US" w:eastAsia="en-US" w:bidi="ar-SA"/>
        </w:rPr>
        <w:t>Between I.A.L., by her Litigation Guardian, Emilia Bordalba, Cleo June Bordalba and Reynaldo Lumbre, Plaintiffs, and Y.C., Y.C. doing business as Y.N. Daycare, Y.N. Daycare, Volunteer Richmond Information Services Society doing business as Richmond Childcare Resource and Referral Centre, and Her Majesty the Queen in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 paras.)</w:t>
      </w:r>
    </w:p>
    <w:p>
      <w:pPr>
        <w:jc w:val="both"/>
        <w:rPr>
          <w:lang w:val="en-US" w:eastAsia="en-US" w:bidi="ar-SA"/>
        </w:rPr>
      </w:pPr>
      <w:bookmarkStart w:id="62" w:name="Counsel_17"/>
      <w:bookmarkEnd w:id="6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6" style="position:absolute;z-index:2516797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B.E. Webster-Evans.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Y.C., Y.C. doing business as Y.N. Daycare and Y.N. Daycare: T.S. Newnham.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T. Callan, A. Glen.</w:t>
      </w:r>
      <w:r>
        <w:rPr>
          <w:lang w:val="en-US" w:eastAsia="en-US" w:bidi="ar-SA"/>
        </w:rPr>
        <w:cr/>
      </w:r>
    </w:p>
    <w:p>
      <w:pPr>
        <w:spacing w:after="240"/>
        <w:rPr>
          <w:lang w:val="en-US" w:eastAsia="en-US" w:bidi="ar-SA"/>
        </w:rPr>
      </w:pPr>
      <w:bookmarkStart w:id="63" w:name="Judgment_17"/>
      <w:bookmarkEnd w:id="63"/>
      <w:r>
        <w:pict>
          <v:line id="_x0000_s1087" style="position:absolute;z-index:2517309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4" w:name="MASTER L. MUIR (orally)"/>
            <w:bookmarkEnd w:id="64"/>
            <w:r>
              <w:rPr>
                <w:rFonts w:ascii="arial" w:eastAsia="arial" w:hAnsi="arial" w:cs="arial"/>
                <w:b/>
                <w:color w:val="000000"/>
                <w:sz w:val="30"/>
                <w:lang w:val="en-US" w:eastAsia="en-US" w:bidi="ar-SA"/>
              </w:rPr>
              <w:t>MASTER L. MUIR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Her Majesty the Queen in Right of the Province of British Columbia (the "Province") for leave to bring a third party notice against the defendants Y.C., Y.C. doing business as Y.N. Daycare, and Y.N. Daycare (the "Daycare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from a medical issue suffered by the infant plaintiff on December 15, 2009 when she was 13 months old. Obviously, the plaintiff is still an infant and is represented by her litigation guardian, Emilia Bordalba.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medical emergency allegedly happened at Y.N. Daycare that the child was involved in, and it was discovered, very broad brush, that she has a significant head injury. She now has very serious ongoing cognitive deficits and injuries, allegedly as a result of this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litigation itself is at a relatively advanced stage in that there is a trial set to commence on September 30, 2019 for 30 days. The notice of civil claim was filed December 16, 2011, amended on July 26, 2013, and on October 2, 2018. The latter amendment resulted, at least in part, from an application by the Province to have the claim as against it struck. That application was successful and resulted in the order of Mr. Justice N. Smith dated August 3, 2018.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was leave, however, for the plaintiffs to bring an amended claim against the Province, and they did so. Thus, the Province argues that the pleadings were not in a state such as to require them to even consider bringing a third party notice or filing a third party notice until October of 2018.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plaintiffs take the position that this claim should be disallowed. They note that the factors to be considered from </w:t>
      </w:r>
      <w:r>
        <w:rPr>
          <w:rFonts w:ascii="arial" w:eastAsia="arial" w:hAnsi="arial" w:cs="arial"/>
          <w:i/>
          <w:color w:val="000000"/>
          <w:sz w:val="20"/>
          <w:lang w:val="en-US" w:eastAsia="en-US" w:bidi="ar-SA"/>
        </w:rPr>
        <w:t>Tyson Creek Hydro Corporation v. Kerr Wood Leidal Associates Limited.</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2014 BCCA 17</w:t>
        </w:r>
      </w:hyperlink>
      <w:r>
        <w:rPr>
          <w:rFonts w:ascii="arial" w:eastAsia="arial" w:hAnsi="arial" w:cs="arial"/>
          <w:color w:val="000000"/>
          <w:sz w:val="20"/>
          <w:lang w:val="en-US" w:eastAsia="en-US" w:bidi="ar-SA"/>
        </w:rPr>
        <w:t xml:space="preserve">, amongst other cases, are the expiration of a limitation period, the merits of the proposed claim, any delay in the proceedings, the timeliness of the application, and prejudice to the parties: </w:t>
      </w:r>
      <w:r>
        <w:rPr>
          <w:rFonts w:ascii="arial" w:eastAsia="arial" w:hAnsi="arial" w:cs="arial"/>
          <w:i/>
          <w:color w:val="000000"/>
          <w:sz w:val="20"/>
          <w:lang w:val="en-US" w:eastAsia="en-US" w:bidi="ar-SA"/>
        </w:rPr>
        <w:t>Tyslon Creek</w:t>
      </w:r>
      <w:r>
        <w:rPr>
          <w:rFonts w:ascii="arial" w:eastAsia="arial" w:hAnsi="arial" w:cs="arial"/>
          <w:color w:val="000000"/>
          <w:sz w:val="20"/>
          <w:lang w:val="en-US" w:eastAsia="en-US" w:bidi="ar-SA"/>
        </w:rPr>
        <w:t>, para. 42.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Here there is no issue of limitation period. This matter is governed by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which, in s. 3(5), has a six-year limitation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Further, the decision in </w:t>
      </w:r>
      <w:r>
        <w:rPr>
          <w:rFonts w:ascii="arial" w:eastAsia="arial" w:hAnsi="arial" w:cs="arial"/>
          <w:i/>
          <w:color w:val="000000"/>
          <w:sz w:val="20"/>
          <w:lang w:val="en-US" w:eastAsia="en-US" w:bidi="ar-SA"/>
        </w:rPr>
        <w:t>Strata Plan LMS 1751 v. Scott Management Ltd.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stands for the proposition that, in para. 23: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cause of action for contribution does not accrue, and the limitation period does not begin to run, until the defendant tortfeasor sued by the plaintiff has been found liable: .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factor also for consideration that is pointed out by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at para. 82, is, halfway through the paragraph: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As discussed previously, s. 4(2)(b)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creates a substantive cause of action that does not accrue until the plaintiff obtains judgment against a tortfeasor. At that point, that tortfeasor is no longer a defendant, but a judgment debtor and potential plaintiff with an accrued independent cause of action for contribution against concurrent tortfeasors. That claim is governed by a six-year limitation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Accordingly, there is no bar, even if this application for leave to bring a third party claim is dismissed, to the Province bringing its own action on the contribution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at para. 90, points out that, in these circumstances: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fundamental question on the applications should have been whether greater injustice and inconvenience would arise from allowing the contribution claim to continue as a third party proceeding, or from striking it and leaving it to be pursued in a separate future action. The chambers judge erred in failing to address that question. Had he done so, in my view he would have been compelled to exercise his discretion in favour of the former course, as the better of two unpalatable options.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note that the proposed third parties-- the Daycare Parties are already defendants to the action, and the Province raises the issue that the Province's response to the amended notice of civil claim pleads precisely the issues that they would be pleading in their third party notice if it was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Province further argues that they gave notice of the draft third party claim on June 26, 2019 over two months ago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argued by the Daycare Parties that there has been such a substantial delay since the original filing of the notice of civil claim in 2011, that the delay is obviously inordinate, and requires a clear and compelling explanation and excuse.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satisfied that the position or belief by counsel for the Province that the claim brought against the Province was fundamentally flawed, which resulted in the application to have the claim as against the Province dismissed, is a factor in that delay scenario. I also agree that, until the amended notice of civil claim was filed, the Province really had no way of having a proper foundation to bring a third party claim. Be that as it may, between October and June, there is still a significant period of time when a third party claim could have been brought and was not, and that raises the issues not just of delay, but of timeliness as well, because as I noted, the trial is a month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Daycare Parties say that there will be actual prejudice if this application is allowed as it will hinder their ability to defend, both against the third party claim and the plaintiffs' claim. They say that it will require them to respond to this third party claim a month short of the scheduled trial when they should obviously be preparing for trial, not trying to get their ducks in a row on a third party claim. The Daycare Parties also argue that it will likely lead to an adjournment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supported the position of the Daycare Parties that this application should be dismissed and pointed out the considerable prejudice that the plaintiffs will suffer by any delay here. They pointed out the significant injuries that this child has suffered and that she, although being 10 years old, has the mental age of about a three or a four-year-old, requires constant 24-hour care and attention, and has some very significant physical and psychological injuries. As a result, the plaintiffs say that the failure of the Province to bring this application in a timely way, jeopardizing as it does the trial date, is serious prejudice to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Province, for its part, says, essentially: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Well, that's not going to be an issue because this trial will likely have to be adjourned anyway, or, even if it isn't adjourned, it's going to require more time, and the third party claim will be able to be accommodated within that trial time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however, to my mind, does not answer the question that all of the other parties to this litigation should not be put in the position at this stage of trying to respond in an accelerated fashion to a third party claim. Even if that claim simply reiterates the response to the amended notice of civil claim, there will obviously be considerations, litigation tactical considerations, as well as procedural matters that will have to be dealt with, and I am of the view that the delay, combined with the lack of timeliness of the application, is sufficient here for the application to be denied.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my view that, as submitted by the Daycare Parties, that a greater injustice and inconvenience would arise from allowing the third party proceedings as the parties gear up for trial rather than simply requiring the Province to bring a claim for contribution and indemnity as a separate proceeding, as they are entitled to do because the six-year limitation period has not expired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Thus, the application is denied.</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I am satisfied that the responding parties, that is the plaintiffs and the Daycare Parties, should have their costs of this application in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not going to grant leave to reopen this issue if the trial is adjourned. The Province can always bring its own claim and seek to have it heard at the same time as whenever this trial is ultimately scheduled. I do not see that there is any prejudice to them.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L. MUIR</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Insurance Corp. of British Columbia v. Suska, [2009] B.C.J. No. 2474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S064987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1694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Jozsef Suska, Michele Palma a.k.a. Mike Palma, Laszlo Balogh, Gyula Vaczi, Andras Takacs, Eric Nicholl, Laszlo Majorani, Andrea Muzsik, Tibor Putics, Zoltan Nadasdi, Leslie Sherart, Robert Williams, Lajos Fodor, Douglas Puddifant, Isabelle Poirer, Gaspar Gabor Balog, Lorne Peebles, Lazslo Torzsok, Andrew Vadasz, Sandor Toth, Adam Sherart, November Hayward, and Aruna Mangal and Aruna Mangal and Creation Construction Ltd. and No. 0497432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jc w:val="both"/>
        <w:rPr>
          <w:rFonts w:ascii="arial" w:eastAsia="arial" w:hAnsi="arial" w:cs="arial"/>
          <w:sz w:val="20"/>
          <w:lang w:val="en-US" w:eastAsia="en-US" w:bidi="ar-SA"/>
        </w:rPr>
      </w:pPr>
      <w:bookmarkStart w:id="65" w:name="Counsel_18"/>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J. Hewitt, I.C.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Michele Palma a.k.a. Mike Palma, Creation Construction Ltd. and No. 0497432 B.C. Ltd.: M.A. Azevedo.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Laszlo Balogh: Tova G. Kornfeld.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Laszlo Majorani and Andrea Muszik: J. Bethell and Robert J.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Bryant A. Mackey.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6" w:name="Judgment_18"/>
      <w:bookmarkEnd w:id="66"/>
      <w:r>
        <w:pict>
          <v:line id="_x0000_s1090"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7" w:name="C.E. HINKSON J."/>
            <w:bookmarkEnd w:id="67"/>
            <w:r>
              <w:rPr>
                <w:rFonts w:ascii="arial" w:eastAsia="arial" w:hAnsi="arial" w:cs="arial"/>
                <w:b/>
                <w:color w:val="000000"/>
                <w:sz w:val="30"/>
                <w:lang w:val="en-US" w:eastAsia="en-US" w:bidi="ar-SA"/>
              </w:rPr>
              <w:t>C.E. HINKSON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31, 2009, I handed down Reasons for Judgment in this case, indexed as </w:t>
      </w:r>
      <w:r>
        <w:rPr>
          <w:rFonts w:ascii="arial" w:eastAsia="arial" w:hAnsi="arial" w:cs="arial"/>
          <w:b/>
          <w:i/>
          <w:color w:val="000000"/>
          <w:sz w:val="20"/>
          <w:lang w:val="en-US" w:eastAsia="en-US" w:bidi="ar-SA"/>
        </w:rPr>
        <w:t>Insurance Corporation of British Columbia v. Suska</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2009 BCSC 1051</w:t>
        </w:r>
      </w:hyperlink>
      <w:r>
        <w:rPr>
          <w:rFonts w:ascii="arial" w:eastAsia="arial" w:hAnsi="arial" w:cs="arial"/>
          <w:color w:val="000000"/>
          <w:sz w:val="20"/>
          <w:lang w:val="en-US" w:eastAsia="en-US" w:bidi="ar-SA"/>
        </w:rPr>
        <w:t xml:space="preserve">. Supplemental Reasons for Judgment, indexed as </w:t>
      </w:r>
      <w:r>
        <w:rPr>
          <w:rFonts w:ascii="arial" w:eastAsia="arial" w:hAnsi="arial" w:cs="arial"/>
          <w:b/>
          <w:i/>
          <w:color w:val="000000"/>
          <w:sz w:val="20"/>
          <w:lang w:val="en-US" w:eastAsia="en-US" w:bidi="ar-SA"/>
        </w:rPr>
        <w:t>Insurance Corporation of British Columbia v. Suska</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2009 BCSC 1423</w:t>
        </w:r>
      </w:hyperlink>
      <w:r>
        <w:rPr>
          <w:rFonts w:ascii="arial" w:eastAsia="arial" w:hAnsi="arial" w:cs="arial"/>
          <w:color w:val="000000"/>
          <w:sz w:val="20"/>
          <w:lang w:val="en-US" w:eastAsia="en-US" w:bidi="ar-SA"/>
        </w:rPr>
        <w:t>, were handed down on October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proceedings involved an action by the Insurance Corporation of British Columbia (ICBC) (the "S064987 action") alleging that various combinations of the defendants had committed conversion, conspiracy to convert vehicles, conspiracy to defraud ICBC, fraud, and for breach of contract, and were unjustly enriched as a result of their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Default judgments were entered against Mr. Balog, Ms. Mangal, Ms. Hayward, and Lorne Peebles in the S064987 action, and damages assessed. The S064987 action was discontinued against several other defendants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S064987 action was also heard together with seven other actions against ICBC, which dealt with issues of liability but not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Andras Takacs v. ICBC</w:t>
      </w:r>
      <w:r>
        <w:rPr>
          <w:rFonts w:ascii="arial" w:eastAsia="arial" w:hAnsi="arial" w:cs="arial"/>
          <w:color w:val="000000"/>
          <w:sz w:val="20"/>
          <w:lang w:val="en-US" w:eastAsia="en-US" w:bidi="ar-SA"/>
        </w:rPr>
        <w:t xml:space="preserve"> (BCSC Action No. S047184);</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Gaspar Gabor Balog v. ICBC</w:t>
      </w:r>
      <w:r>
        <w:rPr>
          <w:rFonts w:ascii="arial" w:eastAsia="arial" w:hAnsi="arial" w:cs="arial"/>
          <w:color w:val="000000"/>
          <w:sz w:val="20"/>
          <w:lang w:val="en-US" w:eastAsia="en-US" w:bidi="ar-SA"/>
        </w:rPr>
        <w:t xml:space="preserve"> (BCSC Action No. S050027);</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Jozsef Suska v. Hayward et al. v. ICBC</w:t>
      </w:r>
      <w:r>
        <w:rPr>
          <w:rFonts w:ascii="arial" w:eastAsia="arial" w:hAnsi="arial" w:cs="arial"/>
          <w:color w:val="000000"/>
          <w:sz w:val="20"/>
          <w:lang w:val="en-US" w:eastAsia="en-US" w:bidi="ar-SA"/>
        </w:rPr>
        <w:t xml:space="preserve"> (BCSC Action No. M030490);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Laszlo Balogh v. Hayward et al. v. ICBC</w:t>
      </w:r>
      <w:r>
        <w:rPr>
          <w:rFonts w:ascii="arial" w:eastAsia="arial" w:hAnsi="arial" w:cs="arial"/>
          <w:color w:val="000000"/>
          <w:sz w:val="20"/>
          <w:lang w:val="en-US" w:eastAsia="en-US" w:bidi="ar-SA"/>
        </w:rPr>
        <w:t xml:space="preserve"> (BCSC Action No. M030489);</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Laszlo Balogh v. ICBC</w:t>
      </w:r>
      <w:r>
        <w:rPr>
          <w:rFonts w:ascii="arial" w:eastAsia="arial" w:hAnsi="arial" w:cs="arial"/>
          <w:color w:val="000000"/>
          <w:sz w:val="20"/>
          <w:lang w:val="en-US" w:eastAsia="en-US" w:bidi="ar-SA"/>
        </w:rPr>
        <w:t xml:space="preserve"> (BCSC Action No. S045698);</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Gyula Vaczi v. Hayward et al. v. ICBC</w:t>
      </w:r>
      <w:r>
        <w:rPr>
          <w:rFonts w:ascii="arial" w:eastAsia="arial" w:hAnsi="arial" w:cs="arial"/>
          <w:color w:val="000000"/>
          <w:sz w:val="20"/>
          <w:lang w:val="en-US" w:eastAsia="en-US" w:bidi="ar-SA"/>
        </w:rPr>
        <w:t xml:space="preserve"> (BCSC Action No. M030488); and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Gyula Vaczi v. ICBC</w:t>
      </w:r>
      <w:r>
        <w:rPr>
          <w:rFonts w:ascii="arial" w:eastAsia="arial" w:hAnsi="arial" w:cs="arial"/>
          <w:color w:val="000000"/>
          <w:sz w:val="20"/>
          <w:lang w:val="en-US" w:eastAsia="en-US" w:bidi="ar-SA"/>
        </w:rPr>
        <w:t xml:space="preserve"> (BCSC Action No. S045697).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my Reasons for Judgment of July 31, 2009, I invited counsel and the unrepresented parties to make submissions as to costs. Some counsel sought the opportunity to make both written and oral submissions. I received written submissions from several counsel, which enabled me to resolve some of the issues pertaining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I discuss the matters pertaining to costs, I will address a new issue arising from these proceedings involving Mr. Vaczi's settlement with ICBC and its possible application to the judgment awarded against the 4 defendants with respect to the October 16, 2002,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Settlement of Mr. Vaczi and ICBC Application to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my Reasons for Judgment dated July 31, 2009, I awarded judgment to ICBC in the amount of $29,157.78 in relation to the motor vehicle accident of October 16, 2002, that I found to have been staged; against Mr. Suska, Mr. Balogh, Ms. Mangal, and Ms. Hayward,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evidence was heard, I was advised that Mr. Vaczi and ICBC had entered into a settlement with respect to ICBC's claims against him in the S064987 action for a total of $18,000.00.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Kornfeld, counsel for Mr. Balogh, argued that because I had deducted the entirety of Leslie Sherart's payment to ICBC of $20,000.00 with respect to Vehicle 1 from the judgment against Mr. Suska (the other defendant against whom I found liability with respect to that vehicle), that I should deduct the entire amount of Mr. Vaczi's settlement with ICBC from the damages that I found against Mr. Suska, Mr. Balogh, Ms. Mangal, and Ms. Hayward, relating to the staged collision of October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I did not have the benefit of any breakdown of the settlement agreed to by Mr. Sherart, I have been provided with a breakdown of Mr. Vaczi's settlement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 have indicated above, Mr. Vaczi was a plaintiff in proceedings against ICBC (BCSC Action No. S045697) and against ICBC and Ms. Hayward (BCSC Action No. M030488), both of which I dismissed. He was also a defendant in the S064987 action with respect to the October 16, 2002 collision and the Vehicle 4 claim. Due to the settlement of the plaintiff's claims in Action No. S06497 against Mr. Vaczi, I dismissed those claims against him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settlement agreement between ICBC and Mr. Vaczi provided that Mr. Vaczi would pay ICBC a total of $18,000.00, broken down as $10,000.00 for special damages and $8,000.00 for damages and costs. ICBC is prepared to attribute $6,000.00 of this settlement to the accident of October 16, 2002, based upon the reasoning in </w:t>
      </w:r>
      <w:r>
        <w:rPr>
          <w:rFonts w:ascii="arial" w:eastAsia="arial" w:hAnsi="arial" w:cs="arial"/>
          <w:b/>
          <w:i/>
          <w:color w:val="000000"/>
          <w:sz w:val="20"/>
          <w:lang w:val="en-US" w:eastAsia="en-US" w:bidi="ar-SA"/>
        </w:rPr>
        <w:t>Holmes v. Hanna</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2001 BCSC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consider that I am in a position to go behind the settlement agreed to between Mr. Vaczi and ICBC and find that the settlement is other than that as described in the documents. That settlement, as I understand it, relates to both claims against Mr. Vaczi in the S064987 action. To support the attribution of only $6,000.00 to the October 16, 2002 motor vehicle claim, ICBC argued that I should notionally attribute 3/5 of the special damages settlement to the October 16, 2002 accident and 2/5 of the settlement to the claim with respect to Vehicle 4, on the basis that the former was a claim for approximately $30,000.00, and the latter was a claim for approximately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Absent more precise evidence respecting the settlement, I am not prepared to attribute it as ICBC proposes. I find that is was open to ICBC in its negotiations with Mr. Vaczi to have made it clear what portion of the settlement it reached with him related to the alleged October 16, 2002, accident. Because it also had a claim against Mr. Vaczi for $20,000.00, relating to Vehicle 4, I find that the entire special damages settlement with Mr. Vaczi for $10,000 should be applied to the October 16, 2002, accident claim, and reduce the award of $29,157.78 against Mr. Suska, Mr. Balogh, Ms. Hayward, and Ms. Mangal to $19,157.78.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Based upon written and oral submissions on costs, in an oral judgment on November 9, 2009 I found the following:</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refusal to admit facts or the conduct of Mr. Palma's counsel in the discovery process was such as to deprive him of costs was not an argument I would accept;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Palma and the defendants, Creation Construction Ltd. and No. 0497432 B.C. Ltd., should collectively recover one set of costs against ICBC;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Laszlo Majorani should recover his costs as against ICBC;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ICBC should recover its costs against the defendant Laszlo Balogh, in the S064987 action, in which he was named as a defendant, and in the action that he brought against it (BCSC Action No. S045698), and for the action he brought against it and Ms. Hayward (BCSC Action No. M030489);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ICBC should recover its costs against the defendant, Andrea Muszik, in the S064987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did not receive written submissions concerning costs from the defendants Jozsef Suska, Andras Takacs, Zolton Nadasdi, Lorne Peebles, Gaspar Gabor Balog, Aruna Mangal, or November Hayward, nor did any of these defendants appear for the scheduled hearing with respect to costs. ICBC advised that it did not seek costs against Mr. Nadasdi and made no submissions with respect to costs against Ms. Hayward or Ms. Mangal so I will not deal with costs against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Attorney General of British Columbia participated in a limited part of the proceedings, but took the position that costs should neither be awarded for or against him. I agree with that position and order that there be no costs for or against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received no submissions with respect to costs either for or against Mr. Vaczi, who was a plaintiff in proceedings against ICBC (BCSC Action No. S045697) and against ICBC and Ms. Hayward (BCSC Action No. M030488), both of which I dismissed. Mr. Vaczi was also a defendant in the S064987, with respect to the alleged accident of October 16, 2002, and with respect to Vehicle 4, both of which I dismissed. Having received no submissions with respect to these costs, I will not deal with costs for or against Mr. Vaczi.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absence of any submissions from Mr. Suska, Mr. Takacs, Mr. Balog, and Mr. Peebles, I order that their costs follow the event. In the result, I order that ICBC will recover its costs from the following parties: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Suska, for the action that he brought against it and Ms. Hayward (BCSC Action No. M030490);</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Takacs, for the action that he brought against it (BCSC Action No. S047184);</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Balog in the action that he brought against it (BCSC Action No. S050027);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Suska, Mr. Peebles, and Mr. Balog, as defendants in the S064987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also order that ICBC pay costs to Mr. Takacs for the S064987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nature and scale of these costs will be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received oral submissions as to the remaining issues relating to costs from Ms. Kornfeld, Mr. Carter, and Mr. Hewitt on November 9, 2009. Following those submissions, I ordered that the Certificate of Pending Litigation registered against property owned in joint tenancy by Mr. Balogh be discharged on terms that are to be resolved between Mr. Hewitt and Ms. Kornfeld.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reserved judgment on the following issues: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Palma, Creation Construction Ltd. and 0497432 B.C. Ltd. should receive special or ordinary costs, and if the latter, on what scale;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ICBC did not seek special costs against Mr. Balogh, the scale of the costs that he should pay;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Muzsik, should pay ICBC special or ordinary costs, and if the latter, on what scale;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Majorani should receive special or ordinary costs, and if the latter, on what scale;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Suska should pay special or ordinary costs to ICBC, and if the latter, on what scale;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 or scale of costs to be awarded for and against Mr. Takacs, and against Mr. Peebles, and Mr. Balog;</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Muzsik, should pay costs for all or a portion of the proceedings brought against her by ICBC;</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Peebles or Mr. Balog should pay costs for all, or a portion of the proceedings brought against them by ICBC;</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ICBC should pay Mr. Takacs his costs for all, or a portion of the proceedings brought against him by ICBC;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ICBC should pay costs for all or a portion of the proceedings brought against Mr. Majorani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 of Mr. Palma, Creation Construction Ltd. and 0497432 B.C. Ltd.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will refer to these defendants as the "Palma defendants" for the sake of simplicity. On two occasions prior to the trial of the S064987 action, counsel for the Palma defendants made what they allege was an offer to settle. The final purported offer, which would have revoked the former offer,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lack of evidence as against my client, Mr. Palma, which I have made reference to in writing and in various conversations with you, and in anticipation of this matter going to trial, the following offer to settle is hereby made, </w:t>
      </w:r>
      <w:r>
        <w:rPr>
          <w:rFonts w:ascii="arial" w:eastAsia="arial" w:hAnsi="arial" w:cs="arial"/>
          <w:color w:val="000000"/>
          <w:sz w:val="20"/>
          <w:u w:val="single"/>
          <w:lang w:val="en-US" w:eastAsia="en-US" w:bidi="ar-SA"/>
        </w:rPr>
        <w:t>without prejudice except as to costs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offer is made under Rule 39, with the attendant costs consequences set out therein: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will dismiss all claims as against Mike Palma without costs and shall issue a public statement stating that "ICBC is satisfied that Mike Palma is not guilty of any wrongdoing with respect to the claims brought by ICBC against him".</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Mike Palma shall dismiss all claims as against ICBC without costs.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above offer shall remain open until one minute after trial on this matter commences, unless withdrawn or modified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unable to see this purported offer to settle as one that has been accomplished or one that can affect the costs in this matter. The inclusion of the requirement of a public apology is not something that the Palma defendants have accomplished at trial, and I do not consider that ICBC can be faulted for not agreeing to it. In addition, the inclusion of Mr. Palma's claims against ICBC as a feature of the purported settlement is too vague to be assessed for the purpose of determining if the Palma defendants succeeded on such unspecified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Palma defendants conceded that in order to warrant special costs, some form of reprehensible conduct must be shown in the conduct giving rise to the cause of action, or in the proceedings themselves, citing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Stiles v. Workers' Compensation Board of British Columbia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Palma defendants argued that they should recover special costs against the plaintiff for the following reasons: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pleadings alleged fraud against them;</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pleadings alleged conspiracy, deceit, and conversion against them;</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was guilty of misconduct in the circumstances giving rise to the alleged cause of action;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litigation.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Allegations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Reasons for Judgment of July 31, 2009, I concluded that some of the named defendants participated in a staged vehicle accident and fraudulent claims arising there from, as well as the deliberate thefts of vehicles, resulting in fraudulent claims against the plaintiff. I also found that some of the named defendants participated in illegal "chopping" and "revinning" and/or reconstruction and sale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order to pursue these activities, some of the defendants used the property belonging to Mr. Palma's company, Creation Construction Ltd., and property adjacent to it to store vehicles that were to be reconstructed. This was possible because Mr. Palma permitted Mr. Suska to control the use of the property of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Mr. Palma provided some financing to Mr. Suska, associated with him in a car sales business in the Yukon Territory, and accompanied him and Mr. Balogh to Europe in 2002. There Mr. Balogh claimed to have disposed of a vehicle whose parts were later located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general rule is that unproven allegations of fraud will result in an award of special costs: </w:t>
      </w:r>
      <w:r>
        <w:rPr>
          <w:rFonts w:ascii="arial" w:eastAsia="arial" w:hAnsi="arial" w:cs="arial"/>
          <w:b/>
          <w:i/>
          <w:color w:val="000000"/>
          <w:sz w:val="20"/>
          <w:lang w:val="en-US" w:eastAsia="en-US" w:bidi="ar-SA"/>
        </w:rPr>
        <w:t>Genesee Enterprises Ltd. v. Rached</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at para. 11. At the least,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must exist to support such serious allegations, and if it does not, then special costs may be appropriate by way of "chastisement" as a reminder to the defendant to exercise better care in the future: </w:t>
      </w:r>
      <w:r>
        <w:rPr>
          <w:rFonts w:ascii="arial" w:eastAsia="arial" w:hAnsi="arial" w:cs="arial"/>
          <w:b/>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general rule has been considered by the Supreme Court of Canada in </w:t>
      </w:r>
      <w:r>
        <w:rPr>
          <w:rFonts w:ascii="arial" w:eastAsia="arial" w:hAnsi="arial" w:cs="arial"/>
          <w:b/>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SCC 9</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1 S.C.R. 303</w:t>
        </w:r>
      </w:hyperlink>
      <w:r>
        <w:rPr>
          <w:rFonts w:ascii="arial" w:eastAsia="arial" w:hAnsi="arial" w:cs="arial"/>
          <w:color w:val="000000"/>
          <w:sz w:val="20"/>
          <w:lang w:val="en-US" w:eastAsia="en-US" w:bidi="ar-SA"/>
        </w:rPr>
        <w:t xml:space="preserve"> at paras. 24-26 where Arbour J.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overturning the costs award ordered by Wilkins J. at trial, Simmons J.A. for the majority of the Court of Appeal, at para. 57,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trial judge found that the appellant had not met the high standard of proof required to sustain allegations of fraud or dishonesty. He did not find the pleading to be without foundation. In these circumstances and in light of my disposition of the main ground of appeal, I would set aside the order for solicitor and client costs and substitute an award on the partial indemnity scale.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Wilkins J. assessed the tenability of the allegations of dishonesty and fraud, assisted by his observation of the demeanour of all the witnesses. He concluded that, while the allegations had, perhaps, some circumstantial plausibility, OWB relied only upon the narrow issue of dishonesty and persisted unduly in these allegations.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p. 134, McLachlin J. (as she then was) for a majority of this Court held that solicitor-and-client costs "are generally awarded only where there has been reprehensible, scandalous or outrageous conduct on the part of one of the parties". An unsuccessful attempt to prove fraud or dishonesty on a balance of probabilities does not lead inexorably to the conclusion that the unsuccessful party should be held liable for solicitor-and-client costs, since not all such attempts will be correctly considered to amount to "reprehensible, scandalous or outrageous conduct". However, allegations of fraud and dishonesty are serious and potentially very damaging to those accused of deception. When, as here, a party makes such allegations unsuccessfully at trial and with access to information sufficient to conclude that the other party was merely negligent and neither dishonest nor fraudulent (as Wilkins J. found), costs on a solicitor-and-client scale are appropriate: see, generally, M. M. Orkin, </w:t>
      </w:r>
      <w:r>
        <w:rPr>
          <w:rFonts w:ascii="arial" w:eastAsia="arial" w:hAnsi="arial" w:cs="arial"/>
          <w:i/>
          <w:color w:val="000000"/>
          <w:sz w:val="20"/>
          <w:lang w:val="en-US" w:eastAsia="en-US" w:bidi="ar-SA"/>
        </w:rPr>
        <w:t>The Law of Costs</w:t>
      </w:r>
      <w:r>
        <w:rPr>
          <w:rFonts w:ascii="arial" w:eastAsia="arial" w:hAnsi="arial" w:cs="arial"/>
          <w:color w:val="000000"/>
          <w:sz w:val="20"/>
          <w:lang w:val="en-US" w:eastAsia="en-US" w:bidi="ar-SA"/>
        </w:rPr>
        <w:t xml:space="preserve"> (2nd ed. (loose-leaf)), at para.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I found the evidence insufficient to support a finding against the Palma defendants, I do not consider that it was unreasonable for ICBC to have alleged that Mr. Palma, by placing himself in the position that he did with Mr. Suska, was likely involved in Mr. Suska's unlawful and fraudulent pursuits. Mr. Palma's decision to transfer property held in his name to his nephew, after these proceedings were commenced, was just one more indicator that I consider ICBC reasonably regarded as inculpatory conduct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said this, I also appreciate that ICBC's interest in pursuing the Palma defendants was based, at least in part, on the fact that there was little hope of recovering on a judgment against any of the named defendants with the exception of Mr. Balogh.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accept that allegations of fraud and dishonesty are serious and potentially very damaging to those accused of deception as discussed by Madam Justice McLachlin, as she then was, in </w:t>
      </w:r>
      <w:r>
        <w:rPr>
          <w:rFonts w:ascii="arial" w:eastAsia="arial" w:hAnsi="arial" w:cs="arial"/>
          <w:b/>
          <w:i/>
          <w:color w:val="000000"/>
          <w:sz w:val="20"/>
          <w:lang w:val="en-US" w:eastAsia="en-US" w:bidi="ar-SA"/>
        </w:rPr>
        <w:t>Young v. Young</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However, in the overall context of this case, while the action against the Palma defendants failed, I am unable to conclude that the pleaded allegations of fraud should be considered to amount to "reprehensible, scandalous or outrageous conduct", on the evidence that I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ii)</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Conspiracy, Deceit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Conversion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consider that the pleadings of these causes of action do not present a factor that differs in any appreciable way from the plea of fraud. For the reasons set out above, I consider that these unproven allegations similarly do not warrant an award of special costs to the Palma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1"/>
        <w:gridCol w:w="175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Misconduct in the Circumstances giving rise to the Alleged Cause of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Palma defendants argued that the views of two experienced police officers not to lay criminal charges together with what they asserted was a fixed policy of ICBC to sue multiple defendants in conspiracy and fraud warranted an award of special costs. I disagree. The views of two police officers, however experienced, ought not to have deterred ICBC from the civil claims that they pursued in this action. I am not persuaded that ICBC has a fixed policy as contended by the Palma defendants, and in any case, I am not persuaded that its decision to sue a number of people in these proceedings was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previously described ICBC's claim as a complicated one. The pursuit of multiple defendants in these proceedings was due to the elaborate network of players (a number of whom settled the plaintiff's claims against them, and a further number I have found against in these proceedings) and the numerous dishonest activities involving different combinations of defendants. While ICBC's choice to pursue some of the more minor players in this action may assist them with respect to costs, I am not persuaded that it assists the Palma defendants. I will not award the Palma defendants special costs for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further assertion by the Palma defendants, that they relied upon in seeking special costs, was what was described as "the plaintiff's allegations that [Mr. Palma] was connect (sic) to the mob". I am not persuaded that any such allegation was made. While counsel for Mr. Palma spent some time at trial trying to prove that such an allegation had been made, I do not consider the passing remark made by Mr. Rinke to a police officer in Ontario to have been anything of the sort, and reject this argument as a basis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Conduct of the Litigation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 litigation of this claim against the Palma defendants was lengthy and complex, I am not persuaded that that is a basis for an award of special costs. I reject the submission of the Palma defendants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ICBC's submission on the matter of costs that Mr. Palma was involved in witness tampering during the trial, I find to be not only unproven, but to amount to "reprehensible, scandalous or outrageous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with Respect to the Palma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Palma defendants are entitled to one set of costs in the S064987 action. In that they were implicated in almost every aspect of ICBC's claims, I consider that they were obliged to participate, through their counsel, in almost all parts of the trial. As their counsel was not present throughout all of the trial, the Palma defendants will recover no costs for the days when he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Due to the allegations of witness tampering, I award the Palma defendants special costs and disbursements associated with the written submissions as to costs. Those special costs will be a percentage of actual costs, with the appropriate fees and disbursements to be determined by the registrar, and the percentage of those fees and disbursements as special costs also to be determined by the registrar, in the exercise of his or her discretion. For the balance of the pre-trial and trial steps in the S064987 action, I award the Palma defendants ordinary costs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next matter to be addressed is the scale of ordinary costs to be ordered. As I have already indicated, ICBC's claim was a complicated one. It chose to pursue multiple defendants in these proceedings, albeit due to the elaborate network of players and the numerous dishonest activities involving different combinations of defendants. The Palma defendants were obliged to defend almost all aspects of the complicated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Mort v. Board of School Trustees of School Board No. 63 (Saanich</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Mort</w:t>
      </w:r>
      <w:r>
        <w:rPr>
          <w:rFonts w:ascii="arial" w:eastAsia="arial" w:hAnsi="arial" w:cs="arial"/>
          <w:color w:val="000000"/>
          <w:sz w:val="20"/>
          <w:lang w:val="en-US" w:eastAsia="en-US" w:bidi="ar-SA"/>
        </w:rPr>
        <w:t>], Wilson J. summarized a number of factors to be considered in order to determine if a case warranted costs at Scale C, the scale reserved for matters of more than ordinary difficulty, at para. 6:</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this case meets factors 'a', 'b', 'c', 'd' and 'g', and I am unable to determine whether factor 'e' has been met. In such circumstances, I conclude that the Palma defendants are entitled to their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Given that I consider Mr. Suska unlikely to be capable of satisfying any order as to costs, I will not make either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as proposed by ICBC. ICBC's decision to name the Palma defendants in these proceedings proved incorrect in the final analysis, and in my view, the Palma defendants should not be left without any effective recourse as to their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Laszlo Balogh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ICBC and Mr. Balogh have settled the issue of costs between them since November 9, 2009; therefore, it is unnecessary for me to determine that matter as between them, and I will not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Andrea Muzsik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ICBC sought special costs against Ms. Muzsik on the basis that she had deliberately fabricated her evidence and that this evidence was disbelieved at trial. If a Court finds that there has been a deliberate attempt to mislead it through contrived, concocted, or fabricated evidence, such conduct can found an order for special costs: </w:t>
      </w:r>
      <w:r>
        <w:rPr>
          <w:rFonts w:ascii="arial" w:eastAsia="arial" w:hAnsi="arial" w:cs="arial"/>
          <w:b/>
          <w:i/>
          <w:color w:val="000000"/>
          <w:sz w:val="20"/>
          <w:lang w:val="en-US" w:eastAsia="en-US" w:bidi="ar-SA"/>
        </w:rPr>
        <w:t>Jogia v. Aetna Life Insurance Co. of Canada</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(1999), 11 C.C.L.I. (3d) 223</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(1998), 114 B.C.A.C. 299</w:t>
        </w:r>
      </w:hyperlink>
      <w:r>
        <w:rPr>
          <w:rFonts w:ascii="arial" w:eastAsia="arial" w:hAnsi="arial" w:cs="arial"/>
          <w:color w:val="000000"/>
          <w:sz w:val="20"/>
          <w:lang w:val="en-US" w:eastAsia="en-US" w:bidi="ar-SA"/>
        </w:rPr>
        <w:t xml:space="preserve"> at paras. 12, 15 (C.A.); and </w:t>
      </w:r>
      <w:r>
        <w:rPr>
          <w:rFonts w:ascii="arial" w:eastAsia="arial" w:hAnsi="arial" w:cs="arial"/>
          <w:b/>
          <w:i/>
          <w:color w:val="000000"/>
          <w:sz w:val="20"/>
          <w:lang w:val="en-US" w:eastAsia="en-US" w:bidi="ar-SA"/>
        </w:rPr>
        <w:t>S.S.G. Trucking Ltd. v. Standard Building Maintenance Ltd.</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2000 BCSC 812</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ICBC also relied upon the finding in </w:t>
      </w:r>
      <w:r>
        <w:rPr>
          <w:rFonts w:ascii="arial" w:eastAsia="arial" w:hAnsi="arial" w:cs="arial"/>
          <w:b/>
          <w:i/>
          <w:color w:val="000000"/>
          <w:sz w:val="20"/>
          <w:lang w:val="en-US" w:eastAsia="en-US" w:bidi="ar-SA"/>
        </w:rPr>
        <w:t>ICBC v. Katinic</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2000 BCSC 1085</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77 B.C.L.R. (3d) 297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Katinic 1</w:t>
      </w:r>
      <w:r>
        <w:rPr>
          <w:rFonts w:ascii="arial" w:eastAsia="arial" w:hAnsi="arial" w:cs="arial"/>
          <w:color w:val="000000"/>
          <w:sz w:val="20"/>
          <w:lang w:val="en-US" w:eastAsia="en-US" w:bidi="ar-SA"/>
        </w:rPr>
        <w:t>], where the trial judge awarded special costs against a number of parties who filed false and fraudulent ICBC claims. The defendants in that action did not appeal the special costs award in the fraud action. Although the Court of Appeal mentioned that if the defendants had argued that special costs were not appropriate in the fraud action, that they might have had a point, the Court reserved the point for further consideration, therefore upholding the trial judge's award (</w:t>
      </w:r>
      <w:hyperlink r:id="rId413" w:history="1">
        <w:r>
          <w:rPr>
            <w:rFonts w:ascii="arial" w:eastAsia="arial" w:hAnsi="arial" w:cs="arial"/>
            <w:i/>
            <w:color w:val="0077CC"/>
            <w:sz w:val="20"/>
            <w:u w:val="single"/>
            <w:shd w:val="clear" w:color="auto" w:fill="FFFFFF"/>
            <w:lang w:val="en-US" w:eastAsia="en-US" w:bidi="ar-SA"/>
          </w:rPr>
          <w:t>2003 BCCA 147</w:t>
        </w:r>
      </w:hyperlink>
      <w:r>
        <w:rPr>
          <w:rFonts w:ascii="arial" w:eastAsia="arial" w:hAnsi="arial" w:cs="arial"/>
          <w:color w:val="000000"/>
          <w:sz w:val="20"/>
          <w:lang w:val="en-US" w:eastAsia="en-US" w:bidi="ar-SA"/>
        </w:rPr>
        <w:t xml:space="preserve"> at para. 4 [</w:t>
      </w:r>
      <w:r>
        <w:rPr>
          <w:rFonts w:ascii="arial" w:eastAsia="arial" w:hAnsi="arial" w:cs="arial"/>
          <w:b/>
          <w:i/>
          <w:color w:val="000000"/>
          <w:sz w:val="20"/>
          <w:lang w:val="en-US" w:eastAsia="en-US" w:bidi="ar-SA"/>
        </w:rPr>
        <w:t>Katinic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satisfied that Ms. Muzsik deliberately fabricated evidence in an attempt to mislead the court and I am satisfied that the situation in </w:t>
      </w:r>
      <w:r>
        <w:rPr>
          <w:rFonts w:ascii="arial" w:eastAsia="arial" w:hAnsi="arial" w:cs="arial"/>
          <w:b/>
          <w:i/>
          <w:color w:val="000000"/>
          <w:sz w:val="20"/>
          <w:lang w:val="en-US" w:eastAsia="en-US" w:bidi="ar-SA"/>
        </w:rPr>
        <w:t>Katinic 1</w:t>
      </w:r>
      <w:r>
        <w:rPr>
          <w:rFonts w:ascii="arial" w:eastAsia="arial" w:hAnsi="arial" w:cs="arial"/>
          <w:color w:val="000000"/>
          <w:sz w:val="20"/>
          <w:lang w:val="en-US" w:eastAsia="en-US" w:bidi="ar-SA"/>
        </w:rPr>
        <w:t xml:space="preserve"> applies here as well. As a result, I find that ICBC is entitled to special costs against Ms. Muzsik. I will deal with the portion of the overall costs that must be paid by Ms. Muzsik as special costs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Mr. Majorani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Majorani was a close associate of Mr. Suska, and participated in a number of activities with him. As was the case with the Palma defendants, while I found the evidence insufficient to support a finding against him at trial, I do not consider that it was unreasonable for ICBC to have alleged that Mr. Majorani, by placing himself in the position that he did with Mr. Suska, was involved in Mr. Suska's unlawful and fraudulent pursuits. I am not prepared to find that the allegations of ICBC against Mr. Majorani in these circumstances amount to reprehensible, scandalous or outrageous conduct, entitling him to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Majorani will have his costs as ordinary costs, but unlike the Palma defendants, I do not consider that the case against Mr. Majorani was complex. I do not consider that his role in the case meets factors 'a', 'b', 'c' or 'g' from </w:t>
      </w:r>
      <w:r>
        <w:rPr>
          <w:rFonts w:ascii="arial" w:eastAsia="arial" w:hAnsi="arial" w:cs="arial"/>
          <w:b/>
          <w:i/>
          <w:color w:val="000000"/>
          <w:sz w:val="20"/>
          <w:lang w:val="en-US" w:eastAsia="en-US" w:bidi="ar-SA"/>
        </w:rPr>
        <w:t>Mort</w:t>
      </w:r>
      <w:r>
        <w:rPr>
          <w:rFonts w:ascii="arial" w:eastAsia="arial" w:hAnsi="arial" w:cs="arial"/>
          <w:color w:val="000000"/>
          <w:sz w:val="20"/>
          <w:lang w:val="en-US" w:eastAsia="en-US" w:bidi="ar-SA"/>
        </w:rPr>
        <w:t>, and I have no evidence that would allow me to conclude that factors 'e' or 'f' are met. In the result, I conclude that Mr. Majorani should have his costs as ordinary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deal with the portion of the overall costs that must be paid to Mr. Majorani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Mr. Suska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concluded that Mr. Suska was complicit in the vast majority of the attempts to defraud ICBC that were alleged in the S064987 action, and moreover I found that his evidence was not only unbelievable in all but a few instances, but also that, by his own admission, that he was quite prepared to lie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Katinic 2</w:t>
      </w:r>
      <w:r>
        <w:rPr>
          <w:rFonts w:ascii="arial" w:eastAsia="arial" w:hAnsi="arial" w:cs="arial"/>
          <w:color w:val="000000"/>
          <w:sz w:val="20"/>
          <w:lang w:val="en-US" w:eastAsia="en-US" w:bidi="ar-SA"/>
        </w:rPr>
        <w:t xml:space="preserve">, the Court of Appeal found that persons who first make fraudulent claims to ICBC and then bring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based on those claims against ICBC were "engaging in perverting the course of justice" and therefore, special costs ought to be awarded against them (at para. 5). For this reason, I find that special costs ought to be awarded against Mr. Suska in the action that he brought against ICBC and Ms. Hayward (BCSC Action No. M030490).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based upon the authorities that I have referred to above with respect to Ms. Muzsik, I have no hesitation in awarding ICBC special costs against Mr. Suska as the defendant in the S064987 action for all aspects of the proceedings, whether any specific aspect was directly aimed at Mr. Suska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will therefore award ICBC special costs for its pre-trial and trial steps against Mr. Suska in both the S064987 action and the M030490 action, as a percentage of actual costs, with the appropriate fees and disbursements to be determined by the registrar, and the percentage of those fees and disbursements as special costs also to be determined by the registrar, in the exercise of his or her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Mr. Takacs, Mr. Peebles and Mr. Balogh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Takacs' action against ICBC (BCSC Action No. S047184) was dismissed as no evidence was led to support his claim. His action did not involve the October 2002 collision. I consider that ordinary costs to ICBC at Scale B for that action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the S064987 action, Mr. Takacs was a defendant and he was not represented by counsel. He is nonetheless entitled to recover costs pursuant to the authority of </w:t>
      </w:r>
      <w:r>
        <w:rPr>
          <w:rFonts w:ascii="arial" w:eastAsia="arial" w:hAnsi="arial" w:cs="arial"/>
          <w:b/>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4 W.W.R. 524</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 B.C.L.R. (3d) 201</w:t>
        </w:r>
      </w:hyperlink>
      <w:r>
        <w:rPr>
          <w:rFonts w:ascii="arial" w:eastAsia="arial" w:hAnsi="arial" w:cs="arial"/>
          <w:color w:val="000000"/>
          <w:sz w:val="20"/>
          <w:lang w:val="en-US" w:eastAsia="en-US" w:bidi="ar-SA"/>
        </w:rPr>
        <w:t xml:space="preserve"> (C.A.). The type of costs to which he is entitled depends firstly upon the nature of the allegations against him. The allegations were similar to those brought against Mr. Majorani, and Mr. Takacs' relationship to Mr. Suska, on the evidence, was not dissimilar to that of Mr. Majorani.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For the reasons that I declined to award special costs to Mr. Majorani, I decline to order special costs to Mr. Takacs. Like Mr. Majorani, Mr. Takacs will have his costs as ordinary costs, but unlike the Palma defendants, I do not consider that the case against Mr. Takacs was complex. I do not consider that his role in the case meets factors 'a,' 'b', 'c' or 'g' from </w:t>
      </w:r>
      <w:r>
        <w:rPr>
          <w:rFonts w:ascii="arial" w:eastAsia="arial" w:hAnsi="arial" w:cs="arial"/>
          <w:b/>
          <w:i/>
          <w:color w:val="000000"/>
          <w:sz w:val="20"/>
          <w:lang w:val="en-US" w:eastAsia="en-US" w:bidi="ar-SA"/>
        </w:rPr>
        <w:t>Mort</w:t>
      </w:r>
      <w:r>
        <w:rPr>
          <w:rFonts w:ascii="arial" w:eastAsia="arial" w:hAnsi="arial" w:cs="arial"/>
          <w:color w:val="000000"/>
          <w:sz w:val="20"/>
          <w:lang w:val="en-US" w:eastAsia="en-US" w:bidi="ar-SA"/>
        </w:rPr>
        <w:t>, and have no evidence that would allow me to conclude that factors 'e' or 'f' are met. In the result, I conclude that Mr. Takacs should have his costs as ordinary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will deal with the portion of the overall costs that must be paid to Mr. Takacs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the claim of Mr. Balog (BCSC Action No. S050027), this claim was dismissed as no evidence was led to support his claim. His claim did not involve the October 2002 collision. I consider that ordinary costs to ICBC at Scale B for that action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Default judgment was entered against Mr. Peebles in the S064987 action, having been found to have been involved with only one of the vehicles that were the subject of the action. As his ICBC claim was found to be fraudulent, following the reasoning in </w:t>
      </w:r>
      <w:r>
        <w:rPr>
          <w:rFonts w:ascii="arial" w:eastAsia="arial" w:hAnsi="arial" w:cs="arial"/>
          <w:b/>
          <w:i/>
          <w:color w:val="000000"/>
          <w:sz w:val="20"/>
          <w:lang w:val="en-US" w:eastAsia="en-US" w:bidi="ar-SA"/>
        </w:rPr>
        <w:t>Katinic 1</w:t>
      </w:r>
      <w:r>
        <w:rPr>
          <w:rFonts w:ascii="arial" w:eastAsia="arial" w:hAnsi="arial" w:cs="arial"/>
          <w:color w:val="000000"/>
          <w:sz w:val="20"/>
          <w:lang w:val="en-US" w:eastAsia="en-US" w:bidi="ar-SA"/>
        </w:rPr>
        <w:t>, I find that ICBC should have its costs against Mr. Peebles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Balog, in his capacity as a defendant in the S064987 action, was similarly found by default to have been involved with respect to only one vehicle that was the subject of that action, but as his claim too was found to have been fraudulent, based on the reasoning in </w:t>
      </w:r>
      <w:r>
        <w:rPr>
          <w:rFonts w:ascii="arial" w:eastAsia="arial" w:hAnsi="arial" w:cs="arial"/>
          <w:b/>
          <w:i/>
          <w:color w:val="000000"/>
          <w:sz w:val="20"/>
          <w:lang w:val="en-US" w:eastAsia="en-US" w:bidi="ar-SA"/>
        </w:rPr>
        <w:t>Katinic 1</w:t>
      </w:r>
      <w:r>
        <w:rPr>
          <w:rFonts w:ascii="arial" w:eastAsia="arial" w:hAnsi="arial" w:cs="arial"/>
          <w:color w:val="000000"/>
          <w:sz w:val="20"/>
          <w:lang w:val="en-US" w:eastAsia="en-US" w:bidi="ar-SA"/>
        </w:rPr>
        <w:t>, I find that ICBC should have its costs against Mr. Balog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deal with the portion of the overall costs that must be paid by Mr. Peebles and Mr. Balog as special costs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Portion of the costs to be paid by Ms. Muzsik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ICBC conceded that in awarding costs to a successful plaintiff, the Court may apportion them amongst several defendants (</w:t>
      </w:r>
      <w:r>
        <w:rPr>
          <w:rFonts w:ascii="arial" w:eastAsia="arial" w:hAnsi="arial" w:cs="arial"/>
          <w:b/>
          <w:i/>
          <w:color w:val="000000"/>
          <w:sz w:val="20"/>
          <w:lang w:val="en-US" w:eastAsia="en-US" w:bidi="ar-SA"/>
        </w:rPr>
        <w:t>Mosdell v. Jardine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[1929] 3 W.W.R. 95</w:t>
        </w:r>
      </w:hyperlink>
      <w:r>
        <w:rPr>
          <w:rFonts w:ascii="arial" w:eastAsia="arial" w:hAnsi="arial" w:cs="arial"/>
          <w:color w:val="000000"/>
          <w:sz w:val="20"/>
          <w:lang w:val="en-US" w:eastAsia="en-US" w:bidi="ar-SA"/>
        </w:rPr>
        <w:t>, 4 D.L.R. 617 (B.C.S.C.)) or order that they be joint and several as against the defendants (</w:t>
      </w:r>
      <w:r>
        <w:rPr>
          <w:rFonts w:ascii="arial" w:eastAsia="arial" w:hAnsi="arial" w:cs="arial"/>
          <w:b/>
          <w:i/>
          <w:color w:val="000000"/>
          <w:sz w:val="20"/>
          <w:lang w:val="en-US" w:eastAsia="en-US" w:bidi="ar-SA"/>
        </w:rPr>
        <w:t>Pressler v. Lethbridge</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BCSC 694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ICBC also conceded that where judgment is given against two or more defendants, costs can be apportioned between them on the same ratio as the apportionment of liability, unless a greater portion of the trial is attributable to claims against only one or some of the defendants: </w:t>
      </w:r>
      <w:r>
        <w:rPr>
          <w:rFonts w:ascii="arial" w:eastAsia="arial" w:hAnsi="arial" w:cs="arial"/>
          <w:b/>
          <w:i/>
          <w:color w:val="000000"/>
          <w:sz w:val="20"/>
          <w:lang w:val="en-US" w:eastAsia="en-US" w:bidi="ar-SA"/>
        </w:rPr>
        <w:t>Vista Truss Ltd. v. Octagon Enterprises Ltd.</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[1994] B.C.J. No. 1933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already indicated that ICBC may pursue all of its costs against Mr. Suska as special costs in the S064987 action. In the event that ICBC recovers all of its costs against Mr. Suska, then it cannot seek the same costs against other defendants in the S064987 action. In the result, the awards of costs against Ms. Muzsik, Mr. Peebles, and Mr. Balog will be costs that ICBC will have jointly and severally against Mr. Suska and each of Ms. Muzsik, Mr. Peebles and Mr. Balog, but not jointly and severally against all of them. In other words, until the unlikely event that ICBC is fully indemnified by Mr. Suska for its costs, it will be entitled to pursue Ms. Muzsik, Mr. Peebles, and Mr. Balog for the costs that I have awarded against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ICBC has proposed that Ms. Muzsik bear 10% of the pre-trial costs and disbursements, and 10% of the trial costs and disbursements. I consider this to be a reasonable percentage of the costs and disbursements and order that she bear that portion of ICBC's costs as special costs in the S064987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Portion of the Costs to be Paid by Mr. Peebles and Mr. Balog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ICBC has proposed that Mr. Peebles bear 5% of the pre-trial costs and 2% of the trial costs in the S064987 action. I consider the proposed apportionment of the pre-trial costs to be a reasonable percentage of the pre-trial costs and disbursements, and given Mr. Peebles' serial applications during the trial, I consider that 1% of the trial costs and disbursements to be a reasonable percentage of the costs and disbursements and order that he bear those portions of ICBC's costs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ICBC has proposed that Mr. Balog bear 5% of the pre-trial costs and disbursements, and 5% of the trial costs and disbursements for the S064987 action. I consider the proposed apportionment of the pre-trial costs to be a reasonable percentage of the pre-trial costs and disbursements, but I see no reason to award any of the trial costs against Mr. Balog, and will not do so. I therefore order that he pay 5% of ICBC's pre-trial costs only,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Portion of the Costs to be Paid to Mr. Takacs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the S064987 action, I found that Mr. Takacs is entitled to costs, despite being unrepresented, according to the authorities in </w:t>
      </w:r>
      <w:r>
        <w:rPr>
          <w:rFonts w:ascii="arial" w:eastAsia="arial" w:hAnsi="arial" w:cs="arial"/>
          <w:b/>
          <w:i/>
          <w:color w:val="000000"/>
          <w:sz w:val="20"/>
          <w:lang w:val="en-US" w:eastAsia="en-US" w:bidi="ar-SA"/>
        </w:rPr>
        <w:t>Skidmore v. Blackmore</w:t>
      </w:r>
      <w:r>
        <w:rPr>
          <w:rFonts w:ascii="arial" w:eastAsia="arial" w:hAnsi="arial" w:cs="arial"/>
          <w:color w:val="000000"/>
          <w:sz w:val="20"/>
          <w:lang w:val="en-US" w:eastAsia="en-US" w:bidi="ar-SA"/>
        </w:rPr>
        <w:t>. Although Mr. Takacs is inexperienced in litigation, I find that he was left in a position at trial where he could not be certain which evidence might be used against him. However, I do not conclude that the same applies to his pre-trial involvement, nor do I consider that he was required to attend throughout the entire trial. I consider that a fair allotment of trial time that was required of Mr. Takacs warrants costs against ICBC for 5% of his pre-trial costs and disbursements but 10% of his trial costs and disbursements: 10 % represents approximately the percentage of claims made against him compared to the total amount of damages claimed and the total number of automobiles claimed to be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Portion of the Costs to be Paid to Mr. Majorani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Majorani shared the same counsel as did Ms. Muzsik. In his oral submissions, Mr. Carter proposed that whatever percentage of trial costs were applied against Ms. Muzsik should be applied in favour of Mr. Majorani. He did so, without the benefit of my decision to award special costs against Ms. Muzsik, and to award only ordinary costs at Scale B to Mr. Majorani.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concluded that while the type of costs awarded against Ms. Muzsik, on the one hand, and for Mr. Majorani, on the other hand, should not affect the principle of which portion of the costs should be awarded to Mr. Majorani, the case against Mr. Majorani was far more involved and extensive than the case against Ms. Muzsik. Although the amount of damages claimed against Mr. Majorani is close to 44% of the total damages claimed in the S064987 action, and the number of automobiles he was claimed to be at fault for represents about 48% of the total number of automobiles in the action, I find that the appropriate amount of costs to award him on Scale B is 20% of the pre-trial costs and disbursements, and 20% of the trial costs and disbursements. To award a higher amount may overcompensate Mr. Majorani for the efforts required of his counsel at trial, particularly as he shared counsel with Ms. Muzsik.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Irving v. Canada (Royal Canadian Mounted Police), [2000] B.C.J. No. 424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Singh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September 1 - 4, 1998, June 14 - 16,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22, September 16, 17 and December 8 - 10,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S030524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424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117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Lisa Irving, Suzi Johnson and Mark Ibarra, plaintiffs, and Constable John Clemens, Constable Sue Sanford, Constable Daniel Hawe, Constable Dean Jantzen, other unknown constables of the Royal Canadian Mounted Police, Her Majesty the Queen in Right of the Province of British Columbia and the Attorney General of the Province of British Columbia and Sergeant Del Roberts,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jc w:val="both"/>
        <w:rPr>
          <w:rFonts w:ascii="arial" w:eastAsia="arial" w:hAnsi="arial" w:cs="arial"/>
          <w:sz w:val="20"/>
          <w:lang w:val="en-US" w:eastAsia="en-US" w:bidi="ar-SA"/>
        </w:rPr>
      </w:pPr>
      <w:bookmarkStart w:id="68" w:name="Counsel_19"/>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Gold and J.C. Challenger,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Hayes,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19"/>
      <w:bookmarkEnd w:id="69"/>
      <w:r>
        <w:pict>
          <v:line id="_x0000_s1093" style="position:absolute;z-index:251732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SINGH J."/>
            <w:bookmarkEnd w:id="70"/>
            <w:r>
              <w:rPr>
                <w:rFonts w:ascii="arial" w:eastAsia="arial" w:hAnsi="arial" w:cs="arial"/>
                <w:b/>
                <w:color w:val="000000"/>
                <w:sz w:val="30"/>
                <w:lang w:val="en-US" w:eastAsia="en-US" w:bidi="ar-SA"/>
              </w:rPr>
              <w:t>SINGH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Nature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Lisa Irving ("Irving"), Suzi Johnson ("Johnson") and Mark Ibarra ("Ibarra") claim damages against the defendants Constables John Clemens ("Clemens"), Sue Sanford ("Sanford"), Sergeant Del Roberts and Her Majesty the Queen in Right of the Province of British Columbia and the Attorney General of the Province of British Columbia for damages inter alia for false arrest and false imprisonment. The plaintiffs have discontinued their claim against the other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Constable Clemens acting in the lawful execution of his duties in effecting the arrest of the plaintiffs?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he use excessive or unreasonable force in effecting the arrest of the plaintiff Irving?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determination of the issues brings into play the following statutory provisions of the Criminal Code and the Police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Criminal Code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 Every one who is required or authorized by law to do anything in the administration or enforcement of the law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 Every peace officer who witnesses a breach of the peace and every one who lawfully assists the peace officer is justified in arresting any person whom he finds committing the breach of the peace or who, on reasonable grounds, he believes is about to join in or renew the breach of the peace.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 Every one who</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resists or wilfully obstructs a public officer or peace officer in the execution of his duty or any person lawfully acting in aid of such an officer,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guilty of</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indictable offence and is liable to imprisonment for a term not exceeding two years, 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punishable on summary conviction.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 Every one who</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being in a dwelling-house, causes a disturbance in or near a public place,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fighting, screaming, shouting, swearing, singing or using insulting or obscene language,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being drunk, or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guilty of an offence punishable on summary conviction.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495(1) -- A peace officer may arrest without warrant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whom he finds committing a criminal offence, or</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A peace officer shall not arrest a person without warrant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punishable on summary conviction, in any case where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believes on reasonable grounds that the public interest, having regard to all the circumstances including the need to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the continuation or repetition of the offence or the commission of another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be satisfied without so arresting the person,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 </w:t>
      </w:r>
      <w:r>
        <w:rPr>
          <w:rFonts w:ascii="arial" w:eastAsia="arial" w:hAnsi="arial" w:cs="arial"/>
          <w:i/>
          <w:color w:val="000000"/>
          <w:sz w:val="20"/>
          <w:lang w:val="en-US" w:eastAsia="en-US" w:bidi="ar-SA"/>
        </w:rPr>
        <w:t>R.S.B.C. 1996, Chapter 367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21</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"police officer" means a person holding an appointment as a constable under this Act.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Review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incident Ibarra was 35 years of age. He was a graphic artist and a musician. Ibarra and Johnson had a common law relationship for seven to eight years and resided in a middle to upper class neighbourhood at 1304 Sherman Road, Coquitlam,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12th of February 1995, about 2:00 p.m. Ibarra proceeded to make the preliminary preparations for the evening meal. During this time he listened to music and drank coolers. This continued throughout the evening. Johnson and Irving arrived at 1304 Sherman Road later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Johnson was 34 years old and Irving approximately 27 years old. At day's end Johnson and Irving left their workplace, "Twisted Hair Salon". On their way to Johnson's house they stopped at the liquor store and bought cigarettes, a six pack of beer and a bottle of wine. Upon arrival Ibarra said he served them coolers. Johnson said that before dinner she had two drinks of rye. Irving said she had one drink of rye and half of a second drink. The other half she finished after dinner. All stated they had shared a bottle of wine during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dinner all three sat in the living room listening to music. Ibarra then played his band's music and turned the volume up. At this time he was dressed in pyjamas and by his own admission was acting a bit goofy and silly. They drank after dinner. Johnson said that in all she had about five drinks. Irving said that she had two rye and a glass of wine during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Around midnight they heard a loud knock on the front door. Ibarra went to the door and was met by Clemens who advised Ibarra that there was a noise complaint of loud music. Ibarra apologized and assured the officer that the music would be turned down and returned to the living room. Immediately upon his return he was asked by Johnson and Irving, "Who was at the door?" He told them it was the police responding to a complaint of loud music. They were in disbelief. They thought Ibarra was fooling and believed that Irving's boyfriend had arrived and was hiding.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Johnson and Irving scurried out of the living room and looked out the front window and observed a police officer in his car. They immediately went outside and approached the police car. Johnson was barefoot. Irving was in stocking feet. The temperature was between -12[degrees] and -14[degrees] Celsius. Ibarra remained in the living room watching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of them approached Clemens who was seated in the police car. Johnson asked Clemens what the problem was, why one could not play music in their own home. She further inquired of the Coquitlam noise by-law. Johnson's testimony was that Clemens was abrupt, dismissive, loud, not responsive and told her, "Lady, you're pissing me off." When Johnson responded likewise Clemens immediately approached her, grabbed her aggressively and kicked her feet from under her causing her to fall to the ground. Clemens then proceeded to handcuff her. Irving yelled and screamed for Ibarra to come out and see what was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Ibarra testified that he came outside when Johnson was on her knees being arrested. His opinion was that Clemens was angry and out of control. He stated that from the look on Johnson's face he knew that she was in a state of shock and frightened. Ibarra asked what was going on. Ibarra was told that Johnson was being taken to jail for being drunk in a public place. He insisted more than once that Clemens should leave her behind but if they were taking her then they would have to take him also, that is, they should arrest him as well. Ibarra was then arrested and placed in a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Irving's testimony was practically identical to Johnson's evidence regarding the sequence of events and the conversation between them and Clemens. Irving testified that Johnson's feet were kicked out from under her, causing her to fall to the ground and when Ibarra was being arrested he was slammed against the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Irving said all three of them were not loud, yelling or screaming but were using a conversational tone. She testified that she told Clemens in a polite and precatory tone to let her friends go, that he should not do that and there was a misunderstanding. She said she could not believe what was happening, as she had the utmost respect for the police because her father was an ex-police sergeant of the Port Moody detachment. In contrast, however, Johnson testified that Irving was screaming loudly, You can't do this. What are you doing?, and her father was an ex-police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Irving testified that Clemens, after having arrested Ibarra, turned his attention to her and rudely told her to get back into the house. Clemens approached her and she turned and ran into the house. She tried to shut the door but Clemens pushed the door open causing her to lose her footing. She reached and grabbed the banister with her right hand. Clemens grabbed her left arm and twisted it violently behind her back causing the humerus of her left arm to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Rhonda Hill, a neighbour who lived across the street at 1309 Sherman, testified that when she and her husband were going upstairs to bed, she looked out an open window and observed a policeman and a female talking face to face. She was unable to hear the conversation. There were a number of police vehicles and police officers around. The female suddenly turned and ran into the house followed by the constable. She heard a door attempting to be closed and within seconds heard a female cry out in pain. Sharon Watt, who lived at 1308 Sherman Road, and Anita Fei, who lived at 1311 Sherman Road, testified that they were not disturbed by what occurred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Review of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turn now to the defendants' version. Around midnight of the 12th of February 1995, Clemens responded to a radio dispatch of a complaint of loud music from the Sherman Road area. Clemens was not given an address where the noise was emanating from so he drove slowly on Sherman Road with his window down to hear the loud music. He determined the loud music was coming from 1304 Sherman Road. He parked the vehicle on the left hand side, in the wrong direction, facing north. He walked up to the front door and rang the door bell five times without a response. He then used his flashlight to knock loudly on the door. Ibarra answered the door and Clemens advised Ibarra as to the nature of the complaint. Clemens received an assurance from Ibarra that the music would be turned down. He noted that Ibarra showed signs of having been drinking. He returned to his vehicle to complete his report, and to advise the dispatch clerk of the resolution of the problem and obtain a file number. In the process of doing so Johnson and Irving rapidly approached. He rolled his window down. They came to the car and demanded to know what the problem was and accused him of being the problem. Clemens on at least ten occasions, told them that the problem had been resolved, that they should return to the house otherwise they would be arrested for being drunk in a public place and causing a disturbance. Clemens said that Johnson then made an aggressive move towards him as he was in the process of getting out of the car and he proceeded to arrest her. Johnson is somewhat of a large frame and heavy built woman. Clemens said in attempting to have the handcuffs placed on her they stumbled and Johnson went down to her knees. Constables Sanford and Hawe, who had recently arrived on the scene, came to assist in the arrest and handcuffing. Clemens had summoned for help over the radio at the initial encounter with Johnson and Irving as he anticipated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the arrest of Johnson, Irving grabbed on to Clemens' jacket, she tugged and pulled in an attempt to prevent Johnson from being handcuffed. Johnson was then placed in a police car and Clemens' attention was drawn to Ibarra who was demanding to know what was going on and stating that if Johnson was being taken then they should take him also. Ibarra was told repeatedly to go back into the house, that Johnson was being taken to jail for being drunk and causing a disturbance but he persisted in accompanying the officers. When he insisted on being taken he too was arrested for being drunk in a public place and causing a disturbance and placed in a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this point Irving was screaming and yelling and demanding to know what was happening, stating that her father was an ex-policeman and that they would be sued. She too was repeatedly told to go back into the house otherwise she would be arrested for being drunk and causing a disturbance. Irving continued swearing and yelling. During this verbal confrontation Clemens approached her and she moved somewhat backwards toward the residence. Clemens instructed her to go back into the house, she did not comply. Instead she yelled an obscenity to Clemens, he then said, "That's it, you're under arrest". Irving then fled into the house and Clemens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foyer they stumbled, Irving fell backwards and Clemens stumbled to his knees. Irving maneuvered herself to be able to grab the banister with her right hand. Clemens then placed one arm under her right armpit and was taking her left arm to the small of her back, to place the handcuffs, when he heard a "pop" and heard Irving cry out in pain. Throughout this time Irving was resisting and struggling. Clemens was being assisted by Constable Jantzen in handcuffing her. Constable Jantzen had a hold of her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ambulance was summoned. Both Clemens and Jantzen heard Irving say, when asked how much she had to drink, that she had four or five beers. She told the attendants that she had six beers to drink. At the Emergency Department of the hospital at the time the arm was being x-rayed she was belligerent and disruptive and was told by personnel that if she didn't calm down they would seek the assistance of security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Jantzen responded to Clemens' call for back-up. He arrived at the time when Ibarra was being arrested and he heard Irving screaming, swearing and yelling and when doing so she was backing up to the residence while facing and being approached by Clemens. Clemens was telling her repeatedly to go into the house and that she'd been drinking and was causing a disturbance. Jantzen said that Clemens reached out to grab hold of Irving when she pulled away, turned and fled into the house. Clemens followed. Clemens and Irving fell in the foyer. Irving was on her back and kicking out at Clemens. Clemens was attempting to subdue and handcuff her. She rolled to her right and grabbed the banister. Jantzen was attempting to remove her right arm as she grabbed the banister and then heard a "crack" when Irving's left arm broke.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Constable Hawe responded with Constable Sanford to the back-up call from Clemens. He observed Clemens grab hold of Johnson and then both appeared to lose their balance. Constable Hawe cushioned Johnson's fall. He then assisted Clemens in handcuffing Johnson. He, as well, described the physical contact by Irving with Clemens. He described Johnson as having a strong smell of alcohol, bloodshot eyes, slurred speech and being unsteady on her feet. Ibarra was described likewise but to a lesser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Sanford said that she arrived with Constable Hawe at the time when Clemens was sitting in his police vehicle, Irving and Johnson were on the sidewalk and Johnson was yelling at Clemens. Johnson approached the vehicle. Clemens then got a hold of Johnson, Sanford rushed over and Johnson and Clemens fell to the ground. Sanford described the physical involvement of Irving with Clemens and stated that Clemens gave Irving a straight arm shove causing her to fall backwards to the ground. She could smell liquor on both Johnson's and Ibarra's breath and Ibarra was swaying back and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Haley, who complained of loud music to the police, lived next door to 1304 Sherman Road. Terry Lynn Haley, his fianc e at the time, was visiting Mr. Haley. She observed Clemens arrive at 1304 Sherman. She stated that Clemens pounded on the door, the music was turned down and Clemens returned to his vehicle. Two ladies then came out of 1304 Sherman ranting and raving at the officer. Mrs. Haley said she did not hear every word but heard them inquire of the officer what the problem was and he told them it was with respect to a noise complaint concerning loud music. She too described the physical altercation between Clemens and Irving during the arrest of Johnson and that Clemens pushed Irving causing her to fall to the ground on her back. Irving argued with the officers, swore at them, turned and went towards the house with an officer immediately following. She then heard a scuffle and heard Irving cry out in pain. Subsequently Irving was taken away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position is this: (i) Clemens' execution of his lawful duties came to an end after he had spoken to Ibarra about the loud music complaint and Ibarra lowered the music volume. (ii) The female plaintiffs as ordinary citizens had a right to inquire of Clemens as to the nature of the problem and they did so in a polite manner. (iii) None of the plaintiffs were drunk and in any event, they were on their own premises and not in a public place. Furthermore, the arrests were unnecessary. Even if the plaintiffs were drunk in a public place, Clemens and the other officers by their admission had no concern that the plaintiffs, by reason of their condition, were unable to care for their health and safety. (iv) The plaintiffs did not cause a disturbance as no member or members of the public were in fact disturbed as confirmed by the evidence of the residents within the immediate vicinity, namely, Rhonda Hill, Shannon Watt and Anita Fei. (v) Thus there was no offence being committed or continued or likely to be repeated. Clemens and the other police officers had no reasonable and probable grounds to arrest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Furthermore, the arrests of the plaintiffs were effected unreasonably, particularly in the case of Irving, through unreasonable or excessive force. The plaintiffs say that Clemens and Constable Jantzen, no longer a defendant, but who was involved in the arrest of Irving, were untruthful in their testimony in an effort to justify their conduct. In this regard plaintiffs' counsel made detailed reference to the evidence of each witness and a minute analysis of such evidence to point out the contradictions and inconsistencies in the officers' testimony, particularly that of Clemens.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Indeed, there were some conflicts, inconsistencies and contradictions in the evidence of the witnesses and that of the police officers regarding the details of the sequence of events that led to the arrest of the plaintiffs. In assessing the credibility of the witnesses I have considered the totality of the circumstances surrounding the incident, including the following:</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took place in a quiet neighbourhood at around midnight when it was very cold;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witnesses were testifying to events that occurred some four to five years previously;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occurred very quickly and not in ideal lighting conditions;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witnesses were recounting events that they observed which were already in progress, particularly Rhonda Hill whose observation was of a very brief period at the very end;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also that some of the witnesses, because of the factors that I have mentioned and the number of people present and involved, recounted impressions rather than what they actually heard or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Irrespective of the contradictions and inconsistencies in the evidence of the police officers within itself or with respect to the testimony of other officers or witnesses, I am satisfied that all of the witnesses, subject to my assessment of the plaintiffs, were by their deportment, demeanor and substance of their testimony, frank and forthright in their efforts to recount the events as they rapidly unfolded. I did not find their evidence to be as a result of collusion, concoction, or find them to be evasive or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general, I found the plaintiffs to be credible when recounting the events preceding the arrests. However, I do not find them to be frank and truthful with respect to the amount of liquor that they had imbibed that evening. Nor do I accept the evidence of Johnson and Irving with respect to their recounting of events that occurred outside the house when they approached Clemens as he was seated in his car. I formed the distinct impression that these two plaintiffs colluded and fabricated their testimony so as to paint a picture of themselves as being innocent concerned citizens making reasonable inquiries. I believe they in concert attempted to portray Clemens as a constable with a short fuse, who was bullish and authoritative. Through this portrayal they attempted to demonstrate that his request for back-up help and his conduct thereafter was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Upon a consideration of the total circumstances, including the plaintiffs' condition and conduct, I find that their evidence is inherently improbable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need for a detailed critical analysis of the witnesses' evidence. From a synthetic overview of the evidence I find the following facts:</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midnight on the 12th of February 1995 the plaintiffs were partying at 1304 Sherman Road, Coquitlam, a quiet, upscale neighbourhood, by playing Ibarra's band's compact disc loudly.</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Haley's, who lived next door, complained to the police of the disturbance by this loud music.</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Clemens responded to the complaint of mischief (Section 430(c) and (d) Criminal Code) and see R. v. W.(T.) (1993), B.C.J. 2031 (B.C.S.C.) and R. v. Maddeaux </w:t>
      </w:r>
      <w:hyperlink r:id="rId424" w:history="1">
        <w:r>
          <w:rPr>
            <w:rFonts w:ascii="arial" w:eastAsia="arial" w:hAnsi="arial" w:cs="arial"/>
            <w:i/>
            <w:color w:val="0077CC"/>
            <w:sz w:val="20"/>
            <w:u w:val="single"/>
            <w:shd w:val="clear" w:color="auto" w:fill="FFFFFF"/>
            <w:lang w:val="en-US" w:eastAsia="en-US" w:bidi="ar-SA"/>
          </w:rPr>
          <w:t>(1997), 6 C.R. (5th) 176</w:t>
        </w:r>
      </w:hyperlink>
      <w:r>
        <w:rPr>
          <w:rFonts w:ascii="arial" w:eastAsia="arial" w:hAnsi="arial" w:cs="arial"/>
          <w:color w:val="000000"/>
          <w:sz w:val="20"/>
          <w:lang w:val="en-US" w:eastAsia="en-US" w:bidi="ar-SA"/>
        </w:rPr>
        <w:t xml:space="preserve"> (Ont. C.A.). He was in the lawful execution of his duties.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music is clearly loud because the plaintiffs didn't hear the door bell ring even though Clemens rang the door bell at least five times and was obliged to use his flashlight by banging forcefully and loudly on the door.</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Ibarra answers the door, apologizes, agrees to turn the music down, does so and proceeds to watch television.</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Clemens returns to his police vehicle, radios to the dispatch to advise the results of his investigation and seeks a file number. Clemens was in the process of completing his report and still in the execution of his duties.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Johnson and Irving, on learning from Ibarra that the police had attended, immediately scurried out of the house; Johnson in bare feet and Irving in stockinged feet even though it was between -12[degrees] to -14[degrees] Celsius.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approach Clemens, angered that they could not play music in their own home. They repeatedly persisted for a response from Clemens with respect to a matter that they were advised had already been resolved and was no longer a concern.</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told many, many times that the matter had been taken care of and that they should go back into the house, otherwise they would be arrested for being drunk in a public place or causing a disturbance.</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this they persisted in yelling, screaming and hurling obscenities at the officer.</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being verbally confronted by these two plaintiffs, Clemens was obliged to immediately dispatch for back-up help. Within minutes at least two police vehicles, together with Constables Sanford, Hawe, Jantzen and others, arrived.</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exchange, Johnson took an aggressive step towards Clemens who told her she was under arrest and proceeded to arrest and handcuff her.</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Johnson is a large framed woman and during the process of being arrested she and Clemens stumbled. Hawe and Sanford came to the assistance. Clemens and Johnson went down to their knees. Whilst Johnson was being arrested Irving physically confronted Clemens who then straight armed her, causing Irving to fall backwards on her rear.</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Johnson was arrested and was being placed into the police vehicle, Irving screamed out for Ibarra. Ibarra then came out of the house, inquired what was going on, and when advised persisted that if they were taking Johnson they had to take him also. He too was told, as was Irving, that if they didn't retreat to the home they too would be arrested for being drunk in a public place and causing a disturbance. Because of Ibarra's insistence on being taken, he too was placed under arrest.</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Irving was involved in the initial confrontation with Clemens, was aware of being warned repeatedly that if she didn't retreat back into the house she too would be arrested, then again persisted and screamed out for Ibarra and had Ibarra involved, and witnessed what had occurred not only to Johnson but also to Ibarra, then also finally got into the act by telling the officers that she couldn't believe what was happening, that her father was an ex-police sergeant in the Port Moody Detachment, that the matter would be resolved in court. These utterances were accompanied by obscenities.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again was told repeatedly to go back into the house or that she would be joining her friends for being drunk in a public place and causing a disturbance. She was told that if she said another word she would be arrested. She then directed some rude remark to Clemens, turned and ran into the house, immediately followed by Clemens.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foyer both stumbled and fell. Irving kicked and struggled and resisted arrest. Clemens tried to retrieve her arms to handcuff her by taking her arm to the small of her back, her arm broke. She was then taken by ambulance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AND THE ISSUES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reasonable and probable grounds for the arrest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If there were no reasonable and probable grounds for the arrest, the arrest is not lawful and there is no justification for the use of any force at all Swansburg v. Canada (Royal Canadian Mounted Police, Constable Smith), </w:t>
      </w:r>
      <w:hyperlink r:id="rId425" w:history="1">
        <w:r>
          <w:rPr>
            <w:rFonts w:ascii="arial" w:eastAsia="arial" w:hAnsi="arial" w:cs="arial"/>
            <w:i/>
            <w:color w:val="0077CC"/>
            <w:sz w:val="20"/>
            <w:u w:val="single"/>
            <w:shd w:val="clear" w:color="auto" w:fill="FFFFFF"/>
            <w:lang w:val="en-US" w:eastAsia="en-US" w:bidi="ar-SA"/>
          </w:rPr>
          <w:t>[1996] B.C.J. No. 3114</w:t>
        </w:r>
      </w:hyperlink>
      <w:r>
        <w:rPr>
          <w:rFonts w:ascii="arial" w:eastAsia="arial" w:hAnsi="arial" w:cs="arial"/>
          <w:color w:val="000000"/>
          <w:sz w:val="20"/>
          <w:lang w:val="en-US" w:eastAsia="en-US" w:bidi="ar-SA"/>
        </w:rPr>
        <w:t xml:space="preserve"> (B.C.C.A.). The defendants' position is that officer Clemens had reasonable and probable grounds to arrest the plaintiffs because he had reason to believe that an offence was being committed or that an offence would be continued or repeated. The offences may be categorized as; being drunk in a public place, causing a disturbance or a repetition of the offence of mischief. Furthermore, their position by the pleadings is, even if Clemens did not have reasonable and probable grounds to believe that the previously mentioned offences were being committed or would be committed, he would have been justified to arrest the plaintiffs under s. 31 of the Criminal Code for breach of the peace. The arrest provisions are contained in s. 495 of the Criminal Code. In R. v. Storrey </w:t>
      </w:r>
      <w:hyperlink r:id="rId426" w:history="1">
        <w:r>
          <w:rPr>
            <w:rFonts w:ascii="arial" w:eastAsia="arial" w:hAnsi="arial" w:cs="arial"/>
            <w:i/>
            <w:color w:val="0077CC"/>
            <w:sz w:val="20"/>
            <w:u w:val="single"/>
            <w:shd w:val="clear" w:color="auto" w:fill="FFFFFF"/>
            <w:lang w:val="en-US" w:eastAsia="en-US" w:bidi="ar-SA"/>
          </w:rPr>
          <w:t>(1990), 53 C.C.C. (3d) 316</w:t>
        </w:r>
      </w:hyperlink>
      <w:r>
        <w:rPr>
          <w:rFonts w:ascii="arial" w:eastAsia="arial" w:hAnsi="arial" w:cs="arial"/>
          <w:color w:val="000000"/>
          <w:sz w:val="20"/>
          <w:lang w:val="en-US" w:eastAsia="en-US" w:bidi="ar-SA"/>
        </w:rPr>
        <w:t xml:space="preserve"> (S.C.C.), Cory J., at page 324, summarized what is required of an arresting officer: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the Criminal Code requires that an arresting officer must subjectively have reasonable and probable grounds on which to base the arrest. Those grounds must, in addition, be justifiable from an objective point of view. That is to say, a reasonable person placed in the position of the officer must be able to conclude that there were indeed reasonable and probable grounds for the arrest. On the other hand, the police need not demonstrate anything more than reasonable and probable grounds. Specifically they are not required to establish a prima facie case for conviction before making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So too, A. M. Linden, in Canadian Tort Law, 5th Edition (Toronto: Butterworths), 1993 at page 84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excuse themselves the police need not be able to prove a prima facie case against an arrested person as long as they have reasonable grounds for suspicion, which may include information not admissible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an arrest is only lawful where the police officer subjectively believes he has reasonable or probable grounds to make an arrest and where the evidence objectively establishes that those grounds existed. The reasonable and probable grounds must be apparent to a reasonable person standing in the police officer's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test is not whether the officer believed that the plaintiffs were in fact intoxicated. In Besse v. Thom, </w:t>
      </w:r>
      <w:hyperlink r:id="rId427" w:history="1">
        <w:r>
          <w:rPr>
            <w:rFonts w:ascii="arial" w:eastAsia="arial" w:hAnsi="arial" w:cs="arial"/>
            <w:i/>
            <w:color w:val="0077CC"/>
            <w:sz w:val="20"/>
            <w:u w:val="single"/>
            <w:shd w:val="clear" w:color="auto" w:fill="FFFFFF"/>
            <w:lang w:val="en-US" w:eastAsia="en-US" w:bidi="ar-SA"/>
          </w:rPr>
          <w:t>(1979), 96 D.L.R. (3d) 657</w:t>
        </w:r>
      </w:hyperlink>
      <w:r>
        <w:rPr>
          <w:rFonts w:ascii="arial" w:eastAsia="arial" w:hAnsi="arial" w:cs="arial"/>
          <w:color w:val="000000"/>
          <w:sz w:val="20"/>
          <w:lang w:val="en-US" w:eastAsia="en-US" w:bidi="ar-SA"/>
        </w:rPr>
        <w:t xml:space="preserve">, the police officer believed the plaintiff to be intoxicated in a public place and in arresting the plaintiff the plaintiff's left leg was severely fractured. The plaintiff sued the officer for damages for assault. On pages 661-662, Hinds, C.C.J. (as he then was) referred to R. v. Robertson </w:t>
      </w:r>
      <w:hyperlink r:id="rId428" w:history="1">
        <w:r>
          <w:rPr>
            <w:rFonts w:ascii="arial" w:eastAsia="arial" w:hAnsi="arial" w:cs="arial"/>
            <w:i/>
            <w:color w:val="0077CC"/>
            <w:sz w:val="20"/>
            <w:u w:val="single"/>
            <w:shd w:val="clear" w:color="auto" w:fill="FFFFFF"/>
            <w:lang w:val="en-US" w:eastAsia="en-US" w:bidi="ar-SA"/>
          </w:rPr>
          <w:t>(1978), 42 C.C.C. (2d) 78</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[1978] 5 W.W.R. 289</w:t>
        </w:r>
      </w:hyperlink>
      <w:r>
        <w:rPr>
          <w:rFonts w:ascii="arial" w:eastAsia="arial" w:hAnsi="arial" w:cs="arial"/>
          <w:color w:val="000000"/>
          <w:sz w:val="20"/>
          <w:lang w:val="en-US" w:eastAsia="en-US" w:bidi="ar-SA"/>
        </w:rPr>
        <w:t xml:space="preserve"> (B.C.C.A.)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decision in R. v. Robertson has altered the law in British Columbia. It establishes that a policeman is justified in arresting a person without a warrant if the person being arrested is </w:t>
      </w:r>
      <w:r>
        <w:rPr>
          <w:rFonts w:ascii="arial" w:eastAsia="arial" w:hAnsi="arial" w:cs="arial"/>
          <w:b/>
          <w:color w:val="000000"/>
          <w:sz w:val="20"/>
          <w:lang w:val="en-US" w:eastAsia="en-US" w:bidi="ar-SA"/>
        </w:rPr>
        <w:t>apparently</w:t>
      </w:r>
      <w:r>
        <w:rPr>
          <w:rFonts w:ascii="arial" w:eastAsia="arial" w:hAnsi="arial" w:cs="arial"/>
          <w:color w:val="000000"/>
          <w:sz w:val="20"/>
          <w:lang w:val="en-US" w:eastAsia="en-US" w:bidi="ar-SA"/>
        </w:rPr>
        <w:t xml:space="preserve"> intoxicated in a public place (my italics). In such circumstances the arrest is lawful.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Robertson decision, if the plaintiff was "apparently intoxicated" at the time the defendant purported to arrest him, the defendant might well have a valid defence to the plaintiff's claim for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evidence I am satisfied that Clemens had reasonable and probable grounds to believe that the plaintiffs were intoxicated in a public place and therefore was justified in proceeding to arrest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officer was also justified in arresting the plaintiffs for causing a disturbance. The plaintiffs' position is that no disturbance was caused. In light of the evidence of Rhonda Hill, Watt and Fei, there was no overt manifest disturbance. They rely on Lohnes v. The Queen </w:t>
      </w:r>
      <w:r>
        <w:rPr>
          <w:rFonts w:ascii="arial" w:eastAsia="arial" w:hAnsi="arial" w:cs="arial"/>
          <w:i/>
          <w:color w:val="000000"/>
          <w:sz w:val="20"/>
          <w:lang w:val="en-US" w:eastAsia="en-US" w:bidi="ar-SA"/>
        </w:rPr>
        <w:t>(1992), 69 C.C.C. (3d) 289</w:t>
      </w:r>
      <w:r>
        <w:rPr>
          <w:rFonts w:ascii="arial" w:eastAsia="arial" w:hAnsi="arial" w:cs="arial"/>
          <w:color w:val="000000"/>
          <w:sz w:val="20"/>
          <w:lang w:val="en-US" w:eastAsia="en-US" w:bidi="ar-SA"/>
        </w:rPr>
        <w:t xml:space="preserve"> (S.C.C.) and what McLachlin J. (as she then was) held at pages 299-300 after fully reviewing the law on the elements that constitute causing a disturbance: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a disturbance of the use of the premises in question by anyone in the case at bar. The trial judge applied a mental disturbance test, convicting on the basis that an "ordinary reasonable individual would be disturbed by language of that nature being shouted in a public area". The convictions were upheld. In denying leave to appeal, the Court of Appeal agreed that language such as that used by the accused was "inherently disturbing and was of itself a disturbance" (p. 270). There was no finding that the conduct of the complainant or anyone else was affected or disturbed by the language. In the absence of such findings, the convictions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in my view, the plaintiffs take a very narrow view of what was said in Lohnes, supra. They have misinterpreted what was said to mean only if there is evidence of somebody actually being disturbed can there be an offence of causing a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page 298 McLachlin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consideration is that the narrower "public disturbance" test permits a more sensitive balancing between the countervailing interests at stake. As MacKeigan C.J.N.S. points out in Swinimer, the test for a disturbance in or near a public place under s. 175(1)(a) should permit the court to weigh the degree and intensity of the conduct complained of against the degree and nature of the peace which can be expected to prevail in a given place at a given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Justice McLachlin's conclusion on page 299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weight of the authorities, the principles of statutory construction and policy considerations, taken together, lead me to the conclusion that the disturbance contemplated by s. 175(1)(a) is something more than mere emotional upset. There must be an externally manifested disturbance of the public peace, in the sense of interference with the ordinary and customary use of the premises by the public. There may be direct evidence of such an effect or interference, or it may be inferred from the evidence of a police officer as to the conduct of a person or persons under s. 175(2). The disturbance may consist of the impugned act itself, as in the case of a fight interfering with the peaceful use of a barroom, or it may flow as a consequence of the impugned act, as where shouting and swearing produce a scuffle. As the cases illustrate, the interference with the ordinary and customary conduct in or near the public place may consist in something as small as being distracted from one's work. But it must be present and it must be externally manifested. In accordance with the principle of legality, the disturbance must be one which may reasonably have been foreseen in the particular circumstances of time and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on the totality of the evidence, considering the time, place, rapid unfolding of events and conduct of the plaintiffs, the constable was justified in believing that a disturbance was being caused by the acts of the plaintiffs themselves. In any event, their conduct falls within the ambit of causing a breach of the peace as encompassed by s. 31(1)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Blanchard v. Galbraith (1966), 10 Crim. L.Q. 122 (Man. Q.B.), the plaintiff claimed damages for false imprisonment. An R.C.M.P. constable was trying to disperse a group of loud and intoxicated loiterers outside a known trouble spot. The plaintiff, in a belligerent and defiant manner accepted jail when given the alternative of returning to his hotel room. Hall J. dismissed the action and held that the R.C.M.P. officers were justified in arresting the accused as it was the plain duty of the officers to act in anticipation of, and thereby prevent, breaches of the peace. At page 125 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there existed reasonable and probable grounds for believing that a breach of the peace would probably occur, and defendant White was acting within the course of his duty in asking the group to disperse. Plaintiff's refusal by inviting arrest amounted to obstruction in the discharge of defendant's duty, and, in my opinion, was complete justification for the arrest and detention. Moreover, plaintiff invited the very thing about which he is now complaining and which it must be agreed was the least attractive way of effecting his removal from the scene. Added to this was the belligerent and defiant manner displayed by plaintiff, which was wholly unjustified by anything which defendants said or did. No doubt his decision to invite arrest rather than return to his hotel room was due to his aggressive personality, previously displayed on other occasions and reinforced on this particular occasion by the consumption of liquor.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Similarly in Hayes v. Thompson et al, </w:t>
      </w:r>
      <w:hyperlink r:id="rId429" w:history="1">
        <w:r>
          <w:rPr>
            <w:rFonts w:ascii="arial" w:eastAsia="arial" w:hAnsi="arial" w:cs="arial"/>
            <w:i/>
            <w:color w:val="0077CC"/>
            <w:sz w:val="20"/>
            <w:u w:val="single"/>
            <w:shd w:val="clear" w:color="auto" w:fill="FFFFFF"/>
            <w:lang w:val="en-US" w:eastAsia="en-US" w:bidi="ar-SA"/>
          </w:rPr>
          <w:t>[1985] 3 W.W.R. 366</w:t>
        </w:r>
      </w:hyperlink>
      <w:r>
        <w:rPr>
          <w:rFonts w:ascii="arial" w:eastAsia="arial" w:hAnsi="arial" w:cs="arial"/>
          <w:color w:val="000000"/>
          <w:sz w:val="20"/>
          <w:lang w:val="en-US" w:eastAsia="en-US" w:bidi="ar-SA"/>
        </w:rPr>
        <w:t xml:space="preserve"> (B.C.C.A.) police officers arrested the plaintiff for breach of the peace in order to prevent the plaintiff from re-entering the pub where she had been drinking and thereby creating a disturbance. She sued for false arrest and imprisonment. Hutcheon J.A. confirmed that, aside from the provisions of the Criminal Code, police officers have the power at common law to arrest an individual for breach of the peace and an apprehended breach of the peace. Police officers have the obligation to preserve the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therefore find that Constable Clemens had reasonable and probable grounds to arrest these plaintiffs.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force used in effecting the arrest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decision in Priestman v. Colangelo </w:t>
      </w:r>
      <w:hyperlink r:id="rId430" w:history="1">
        <w:r>
          <w:rPr>
            <w:rFonts w:ascii="arial" w:eastAsia="arial" w:hAnsi="arial" w:cs="arial"/>
            <w:i/>
            <w:color w:val="0077CC"/>
            <w:sz w:val="20"/>
            <w:u w:val="single"/>
            <w:shd w:val="clear" w:color="auto" w:fill="FFFFFF"/>
            <w:lang w:val="en-US" w:eastAsia="en-US" w:bidi="ar-SA"/>
          </w:rPr>
          <w:t>(1959), 19 D.L.R. (2d) 1</w:t>
        </w:r>
      </w:hyperlink>
      <w:r>
        <w:rPr>
          <w:rFonts w:ascii="arial" w:eastAsia="arial" w:hAnsi="arial" w:cs="arial"/>
          <w:color w:val="000000"/>
          <w:sz w:val="20"/>
          <w:lang w:val="en-US" w:eastAsia="en-US" w:bidi="ar-SA"/>
        </w:rPr>
        <w:t xml:space="preserve"> (S.C.C.) is the classic statement of law relating to the use of police power to effect an arrest in a civil context. There, the Supreme Court of Canada confirmed that s. 25 provides a defence to both civil and criminal liability if the force was justified within that section. In Bottrell v. R. </w:t>
      </w:r>
      <w:hyperlink r:id="rId431" w:history="1">
        <w:r>
          <w:rPr>
            <w:rFonts w:ascii="arial" w:eastAsia="arial" w:hAnsi="arial" w:cs="arial"/>
            <w:i/>
            <w:color w:val="0077CC"/>
            <w:sz w:val="20"/>
            <w:u w:val="single"/>
            <w:shd w:val="clear" w:color="auto" w:fill="FFFFFF"/>
            <w:lang w:val="en-US" w:eastAsia="en-US" w:bidi="ar-SA"/>
          </w:rPr>
          <w:t>(1981) 22 C.R. (3d) 371</w:t>
        </w:r>
      </w:hyperlink>
      <w:r>
        <w:rPr>
          <w:rFonts w:ascii="arial" w:eastAsia="arial" w:hAnsi="arial" w:cs="arial"/>
          <w:color w:val="000000"/>
          <w:sz w:val="20"/>
          <w:lang w:val="en-US" w:eastAsia="en-US" w:bidi="ar-SA"/>
        </w:rPr>
        <w:t xml:space="preserve"> (B.C.C.A.) Anderson J.A. summarized the principles applicable to the use of force provisions in s. 25 of the Criminal Code at pages 379-380. Some of these are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 peace officer, if he acts on reasonable and probable grounds, can use as much force as is necessary to effect an arrest, but that if he uses more force than is necessary, he is not justified in the eyes of the criminal law.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 cannot use force that is intended or likely to cause death or grievous bodily harm unless he believes that it is necessary for the purpose of preserving himself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amount of force used by the officer was necessary the [trier of fact] must have regard to the circumstances as they existed at the time the force was used. ... [Mindful that the police officer] could not be expected to measure the force used with exactitude.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belief of the police officer in the light of all of the circumstances that is important.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officer cannot be deemed to be in breach of s. 25(3) of the Code merely because in the final result grievous bodily harm [or serious injuries] resulted unless he intended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So too in Cluett v. The Queen </w:t>
      </w:r>
      <w:hyperlink r:id="rId432" w:history="1">
        <w:r>
          <w:rPr>
            <w:rFonts w:ascii="arial" w:eastAsia="arial" w:hAnsi="arial" w:cs="arial"/>
            <w:i/>
            <w:color w:val="0077CC"/>
            <w:sz w:val="20"/>
            <w:u w:val="single"/>
            <w:shd w:val="clear" w:color="auto" w:fill="FFFFFF"/>
            <w:lang w:val="en-US" w:eastAsia="en-US" w:bidi="ar-SA"/>
          </w:rPr>
          <w:t>[1985] 2 S.C.R. 216</w:t>
        </w:r>
      </w:hyperlink>
      <w:r>
        <w:rPr>
          <w:rFonts w:ascii="arial" w:eastAsia="arial" w:hAnsi="arial" w:cs="arial"/>
          <w:color w:val="000000"/>
          <w:sz w:val="20"/>
          <w:lang w:val="en-US" w:eastAsia="en-US" w:bidi="ar-SA"/>
        </w:rPr>
        <w:t>, Le Dain J. approved what the trial judge said in his charge to the jury at p. 222: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Police officers are authorized to use such force as is reasonable, proper and necessary to carry out their duties, providing that no wanton or unnecessary violence is imposed. What is reasonable and proper in the particular circumstance, and in the particular case, will depend upon all the circumstances. It is not possible to lay down any hard and fast rule, except the test of reasonableness. If the police officer in carrying out his authority acts on reasonable and probable grounds, he is justified in doing what he is required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Breen v. Saunders </w:t>
      </w:r>
      <w:hyperlink r:id="rId433" w:history="1">
        <w:r>
          <w:rPr>
            <w:rFonts w:ascii="arial" w:eastAsia="arial" w:hAnsi="arial" w:cs="arial"/>
            <w:i/>
            <w:color w:val="0077CC"/>
            <w:sz w:val="20"/>
            <w:u w:val="single"/>
            <w:shd w:val="clear" w:color="auto" w:fill="FFFFFF"/>
            <w:lang w:val="en-US" w:eastAsia="en-US" w:bidi="ar-SA"/>
          </w:rPr>
          <w:t>(1986), 39 C.C.L.T. 273</w:t>
        </w:r>
      </w:hyperlink>
      <w:r>
        <w:rPr>
          <w:rFonts w:ascii="arial" w:eastAsia="arial" w:hAnsi="arial" w:cs="arial"/>
          <w:color w:val="000000"/>
          <w:sz w:val="20"/>
          <w:lang w:val="en-US" w:eastAsia="en-US" w:bidi="ar-SA"/>
        </w:rPr>
        <w:t xml:space="preserve"> (N.B.Q.B.), Stevenson J. commented at page 277: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force was used is not disputed. Was it more force than was necessary? A policeman's job is not an easy one. However, it is his lot to have to deal with persons who, fortified by drink, obstruct and provoke them while they are carrying out their duties. Mr. Justice Dickson, in Foster v. Pawsey </w:t>
      </w:r>
      <w:hyperlink r:id="rId434" w:history="1">
        <w:r>
          <w:rPr>
            <w:rFonts w:ascii="arial" w:eastAsia="arial" w:hAnsi="arial" w:cs="arial"/>
            <w:i/>
            <w:color w:val="0077CC"/>
            <w:sz w:val="20"/>
            <w:u w:val="single"/>
            <w:shd w:val="clear" w:color="auto" w:fill="FFFFFF"/>
            <w:lang w:val="en-US" w:eastAsia="en-US" w:bidi="ar-SA"/>
          </w:rPr>
          <w:t>(1980), 28 N.B.R. (2d) 334</w:t>
        </w:r>
      </w:hyperlink>
      <w:r>
        <w:rPr>
          <w:rFonts w:ascii="arial" w:eastAsia="arial" w:hAnsi="arial" w:cs="arial"/>
          <w:color w:val="000000"/>
          <w:sz w:val="20"/>
          <w:lang w:val="en-US" w:eastAsia="en-US" w:bidi="ar-SA"/>
        </w:rPr>
        <w:t xml:space="preserve">, 63 A.P.R. 334 N.B.Q.B., at 346 said "Some allowance must be made for an officer in the exigencies of the moment misjudging the degree of force necessary to restrain a prisoner". The same applies to the use of force in making an arrest or preventing an escape. Like the driver of a vehicle facing a sudden emergency, the policeman "cannot be held to a standard of conduct which one sitting in the calmness of a courtroom later might determine was the best course". See Canadian Pacific Ltd. v. Gill, </w:t>
      </w:r>
      <w:hyperlink r:id="rId435" w:history="1">
        <w:r>
          <w:rPr>
            <w:rFonts w:ascii="arial" w:eastAsia="arial" w:hAnsi="arial" w:cs="arial"/>
            <w:i/>
            <w:color w:val="0077CC"/>
            <w:sz w:val="20"/>
            <w:u w:val="single"/>
            <w:shd w:val="clear" w:color="auto" w:fill="FFFFFF"/>
            <w:lang w:val="en-US" w:eastAsia="en-US" w:bidi="ar-SA"/>
          </w:rPr>
          <w:t>[1973] S.C.R. 654</w:t>
        </w:r>
      </w:hyperlink>
      <w:r>
        <w:rPr>
          <w:rFonts w:ascii="arial" w:eastAsia="arial" w:hAnsi="arial" w:cs="arial"/>
          <w:color w:val="000000"/>
          <w:sz w:val="20"/>
          <w:lang w:val="en-US" w:eastAsia="en-US" w:bidi="ar-SA"/>
        </w:rPr>
        <w:t xml:space="preserve"> at 665.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what Hinds C.C.J. (as he then was) said in Besse v. Thom (1979), 96 D.L.R. (3d) at page 657: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Society is entitled to expect that police officers shall carry out their duties, particularly those duties which involve the curtailment of the liberties of a citizen with care, caution and concern. They should not over-react; they should not take unreasonable offence at offensive comments. They should act with moderation and with responsibility. On the other hand, it is well-recognized that police officers have difficult and unenviable duties to perform in modern society. They should not be criticized unduly for making immediate decisions in the course of duty which, when analyzed with exquisite precision after the event, may not be demonstrated to have been the most appropriate decisions to have made. Generally speaking, police officers are deserving of sympathetic consideration of the problems with which they are confronted in the performance of their arduous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may well ask why Clemens did not drive away avoiding the events that followed. In my view, that position is a simplistic one and it is one taken in hindsight, ignoring the exigencies that faced Clemens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invited the very thing about which they now complain. They were repeatedly given the alternative to peacefully go back into the house as the problem had already been resolved. They responded in the least attractive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They have no one to blame but themselves for their arrest and detention. They cannot now be heard to complain that they were falsely imprisoned when they became involved in a breach of the peace by their own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I find that Clemens had reasonable and probable grounds to effect the arrest of the plaintiffs. The manner of the arrest was reasonable. Excessive force was not used given the circumstances prevalent at the time of the arrest of the plaintiffs and the exigencies thereof. The plaintiffs' claims are dismissed. It becomes unnecessary for me to deal with the question of damages. The defendants shall have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SINGH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Jackson v. Backus, [2002] I.L.R. para. G-1496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McEwan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October 23,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[2002] I.L.R. para. G-1496</w:t>
      </w:r>
    </w:p>
    <w:p>
      <w:pPr>
        <w:spacing w:before="120" w:line="260" w:lineRule="atLeast"/>
        <w:rPr>
          <w:lang w:val="en-US" w:eastAsia="en-US" w:bidi="ar-SA"/>
        </w:rPr>
      </w:pPr>
      <w:r>
        <w:rPr>
          <w:rFonts w:ascii="arial" w:eastAsia="arial" w:hAnsi="arial" w:cs="arial"/>
          <w:color w:val="000000"/>
          <w:sz w:val="20"/>
          <w:lang w:val="en-US" w:eastAsia="en-US" w:bidi="ar-SA"/>
        </w:rPr>
        <w:t>Jackson v. Backus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5"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1" w:name="Keywords_2"/>
      <w:bookmarkEnd w:id="71"/>
      <w:r>
        <w:rPr>
          <w:rFonts w:ascii="arial" w:eastAsia="arial" w:hAnsi="arial" w:cs="arial"/>
          <w:b/>
          <w:color w:val="000000"/>
          <w:sz w:val="20"/>
          <w:lang w:val="en-US" w:eastAsia="en-US" w:bidi="ar-SA"/>
        </w:rPr>
        <w:t xml:space="preserve">Animals — Horse at large on road colliding with vehicle — Owner had been taking horse home with no lead or control — Plaintiff driver not keeping proper look out or heeding warnings from other drivers — Plaintiff held to be two-thirds liable — Personal injury damages — Soft tissue injury and temporomandibular joint injury — $18,000 non-pecuniary damages — Livestock Act, </w:t>
      </w:r>
      <w:hyperlink r:id="rId443" w:history="1">
        <w:r>
          <w:rPr>
            <w:rFonts w:ascii="arial" w:eastAsia="arial" w:hAnsi="arial" w:cs="arial"/>
            <w:b/>
            <w:i/>
            <w:color w:val="0077CC"/>
            <w:sz w:val="20"/>
            <w:u w:val="single"/>
            <w:shd w:val="clear" w:color="auto" w:fill="FFFFFF"/>
            <w:lang w:val="en-US" w:eastAsia="en-US" w:bidi="ar-SA"/>
          </w:rPr>
          <w:t>R.S.B.C. 1996, c. 270, s. 11</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2" w:name="Case Summary_2"/>
            <w:bookmarkEnd w:id="7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suffered when the plaintiff's vehicle struck a horse that was running loose. Three of the defendant's horses had escaped from her property, and were rounded up by a neighbour. When the defendant took the horses home, she led one but left the other two to follow with no lead rope or other control. One of the horses ran off across the highway. It was a dark night, and the defendant had help from neighbours in trying to find the runaway horse. Vehicles were positioned on the highway to warn drivers of the danger. As the plaintiff approached on the highway, she saw flashing lights from one of these vehicles. She slowed slightly, but then resumed speed. Suddenly, she collided with the horse.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claimed to have suffered soft tissue injuries and temporomandibular joint injury (TMJ). Before this accident, she had suffered an injury to her shoulder which left her permanently partially disabled, entitled to a disability pension. She had been receiving treatment for head and neck pain from an earlier accident. The TMJ dysfunction also pre-dated the accident. </w:t>
            </w:r>
            <w:r>
              <w:rPr>
                <w:lang w:val="en-US" w:eastAsia="en-US" w:bidi="ar-SA"/>
              </w:rPr>
              <w:cr/>
            </w:r>
          </w:p>
          <w:p>
            <w:pPr>
              <w:spacing w:before="120" w:line="260" w:lineRule="atLeast"/>
              <w:ind w:left="240"/>
              <w:jc w:val="both"/>
              <w:rPr>
                <w:lang w:val="en-US" w:eastAsia="en-US" w:bidi="ar-SA"/>
              </w:rPr>
            </w:pPr>
            <w:bookmarkStart w:id="73" w:name="Holdings of Court_2"/>
            <w:bookmarkEnd w:id="73"/>
            <w:r>
              <w:rPr>
                <w:rFonts w:ascii="arial" w:eastAsia="arial" w:hAnsi="arial" w:cs="arial"/>
                <w:color w:val="000000"/>
                <w:sz w:val="20"/>
                <w:lang w:val="en-US" w:eastAsia="en-US" w:bidi="ar-SA"/>
              </w:rPr>
              <w:t>HELD: The plaintiff was partially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 had a duty under the </w:t>
            </w:r>
            <w:r>
              <w:rPr>
                <w:rFonts w:ascii="arial" w:eastAsia="arial" w:hAnsi="arial" w:cs="arial"/>
                <w:i/>
                <w:color w:val="000000"/>
                <w:sz w:val="20"/>
                <w:lang w:val="en-US" w:eastAsia="en-US" w:bidi="ar-SA"/>
              </w:rPr>
              <w:t>Livestock Act</w:t>
            </w:r>
            <w:r>
              <w:rPr>
                <w:rFonts w:ascii="arial" w:eastAsia="arial" w:hAnsi="arial" w:cs="arial"/>
                <w:color w:val="000000"/>
                <w:sz w:val="20"/>
                <w:lang w:val="en-US" w:eastAsia="en-US" w:bidi="ar-SA"/>
              </w:rPr>
              <w:t xml:space="preserve"> to keep her horses under control and not to allow them to be at large. In attempting to lead the horses home with no control, she was in breach of this duty, and was liable for the damage caused by the horse. However, the plaintiff was also negligent in failing to pay attention to the warning lights on the highway and in proceeding without slowing to ascertain what the dangerous situation was. Liability was apportioned two-thirds against the plaintiff and one-third against the defendant.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medical evidence was not very clear as to the extent to which the accident aggravated the pre-existing condition of the plaintiff. The Court found the injuries from this accident to have been modest. The TMJ injury was aggravated by the accident, but it would have presented problems even without the accident. Non-pecuniary damages were assessed at $18,000; the plaintiff received $6,000 because of 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award was made for future care.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34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Jennings v. Insurance Corporation of British Columbia, [2002] I.L.R. para. M-1562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Hunter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4, 2002.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2002</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[2002] I.L.R. para. M-1562</w:t>
      </w:r>
    </w:p>
    <w:p>
      <w:pPr>
        <w:spacing w:before="120" w:line="260" w:lineRule="atLeast"/>
        <w:rPr>
          <w:lang w:val="en-US" w:eastAsia="en-US" w:bidi="ar-SA"/>
        </w:rPr>
      </w:pPr>
      <w:r>
        <w:rPr>
          <w:rFonts w:ascii="arial" w:eastAsia="arial" w:hAnsi="arial" w:cs="arial"/>
          <w:color w:val="000000"/>
          <w:sz w:val="20"/>
          <w:lang w:val="en-US" w:eastAsia="en-US" w:bidi="ar-SA"/>
        </w:rPr>
        <w:t>Jennings v. Insurance Corporation of British Columbia</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7"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4" w:name="Keywords_3"/>
      <w:bookmarkEnd w:id="74"/>
      <w:r>
        <w:rPr>
          <w:rFonts w:ascii="arial" w:eastAsia="arial" w:hAnsi="arial" w:cs="arial"/>
          <w:b/>
          <w:color w:val="000000"/>
          <w:sz w:val="20"/>
          <w:lang w:val="en-US" w:eastAsia="en-US" w:bidi="ar-SA"/>
        </w:rPr>
        <w:t xml:space="preserve">Unidentified motorist — Effort to identify — Stationary vehicle in roadway allegedly causing accident — Plaintiff's efforts to identify owner of vehicle not adequate — Insurance (Motor Vehicle) Act, </w:t>
      </w:r>
      <w:hyperlink r:id="rId451" w:history="1">
        <w:r>
          <w:rPr>
            <w:rFonts w:ascii="arial" w:eastAsia="arial" w:hAnsi="arial" w:cs="arial"/>
            <w:b/>
            <w:i/>
            <w:color w:val="0077CC"/>
            <w:sz w:val="20"/>
            <w:u w:val="single"/>
            <w:shd w:val="clear" w:color="auto" w:fill="FFFFFF"/>
            <w:lang w:val="en-US" w:eastAsia="en-US" w:bidi="ar-SA"/>
          </w:rPr>
          <w:t>R.S.B.C. 1996, c. 231, s. 24</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5" w:name="Case Summary_3"/>
            <w:bookmarkEnd w:id="75"/>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against ICBC as nominal defendant to recover personal injury damages allegedly caused by an unidentified motorist. The plaintiff had been driving in the southbound lane when he observed a stationary vehicle in the lane ahead of him. The northbound lane was occupied, so he tried to go around the stationary vehicle on the right; he dropped off the shoulder and collided with a tree. He suffered soft tissue injuries and he and his wife were taken to hospital by ambulance. He had not obtained any identification for the stationary vehicle at the accident site, and a phone call to the police a month later did not produce any identification. Fifteen months after the accident, a newspaper advertisement was placed seeking witnesses, but did not produce any results. </w:t>
            </w:r>
            <w:r>
              <w:rPr>
                <w:lang w:val="en-US" w:eastAsia="en-US" w:bidi="ar-SA"/>
              </w:rPr>
              <w:cr/>
            </w:r>
          </w:p>
          <w:p>
            <w:pPr>
              <w:spacing w:before="120" w:line="260" w:lineRule="atLeast"/>
              <w:ind w:left="240"/>
              <w:jc w:val="both"/>
              <w:rPr>
                <w:lang w:val="en-US" w:eastAsia="en-US" w:bidi="ar-SA"/>
              </w:rPr>
            </w:pPr>
            <w:bookmarkStart w:id="76" w:name="Holdings of Court_3"/>
            <w:bookmarkEnd w:id="76"/>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Section 24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required the parties to make all reasonable efforts to ascertain the identity of the unknown owners and drivers, before a judgment could be given against ICBC. The Court found that the efforts of the plaintiff to identify the owners or drivers fell short of what was required by subsection 24(5).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also concluded that the evidence did not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owners or drivers of the stationary vehicles or against the plaintiff.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35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Jiang v. Grand East Supermarket Inc., [2005] B.C.J. No. 2787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15,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21,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S-055196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2787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1769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29 C.P.C. (6th) 121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145 A.C.W.S. (3d) 704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CarswellBC 3070</w:t>
      </w:r>
    </w:p>
    <w:p>
      <w:pPr>
        <w:spacing w:before="120" w:line="260" w:lineRule="atLeast"/>
        <w:rPr>
          <w:lang w:val="en-US" w:eastAsia="en-US" w:bidi="ar-SA"/>
        </w:rPr>
      </w:pPr>
      <w:r>
        <w:rPr>
          <w:rFonts w:ascii="arial" w:eastAsia="arial" w:hAnsi="arial" w:cs="arial"/>
          <w:color w:val="000000"/>
          <w:sz w:val="20"/>
          <w:lang w:val="en-US" w:eastAsia="en-US" w:bidi="ar-SA"/>
        </w:rPr>
        <w:t>Between Guiying Jiang and Di Liu, plaintiffs, and Grand East Supermarket Inc., Shaoming Wang, Great China Trading Inc., Allied Pioneers Enterprises Co. Ltd., Kang Ho, Guang Zhao and Zhi Yong Gu,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(41 paras.)</w:t>
      </w:r>
    </w:p>
    <w:p>
      <w:pPr>
        <w:jc w:val="both"/>
        <w:rPr>
          <w:lang w:val="en-US" w:eastAsia="en-US" w:bidi="ar-SA"/>
        </w:rPr>
      </w:pPr>
      <w:bookmarkStart w:id="77" w:name="Counsel_20"/>
      <w:bookmarkEnd w:id="7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9" style="position:absolute;z-index:2516848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Guiying Jiang and Di Liu: Alan H. Brown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Great China Trading Inc., Allied Pioneers Enterprises Co. Ltd., and Zhi Yong Gu: Gerald Martin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Shaoming Wang and Kang Ho: Gordon K.M. Yu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One Appearing for defendant Guang Zhao</w:t>
      </w:r>
      <w:r>
        <w:rPr>
          <w:lang w:val="en-US" w:eastAsia="en-US" w:bidi="ar-SA"/>
        </w:rPr>
        <w:cr/>
      </w:r>
    </w:p>
    <w:p>
      <w:pPr>
        <w:spacing w:after="240"/>
        <w:rPr>
          <w:lang w:val="en-US" w:eastAsia="en-US" w:bidi="ar-SA"/>
        </w:rPr>
      </w:pPr>
      <w:bookmarkStart w:id="78" w:name="Judgment_20"/>
      <w:bookmarkEnd w:id="78"/>
      <w:r>
        <w:pict>
          <v:line id="_x0000_s1100" style="position:absolute;z-index:2517360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79" w:name="N.H. SMITH J."/>
            <w:bookmarkEnd w:id="79"/>
            <w:r>
              <w:rPr>
                <w:rFonts w:ascii="arial" w:eastAsia="arial" w:hAnsi="arial" w:cs="arial"/>
                <w:b/>
                <w:color w:val="000000"/>
                <w:sz w:val="30"/>
                <w:lang w:val="en-US" w:eastAsia="en-US" w:bidi="ar-SA"/>
              </w:rPr>
              <w:t>N.H.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apply to continue and extend a Mareva injunction that was pronounced without notice on September 23,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That injunction effectively freezes all assets of the individual defendants Shaoming Wang and Zhi Yong Gu and of the corporate defendants Grand East Supermarket Inc., Great China Trading Inc. and Allied Pioneer Enterprises Co. Ltd. The order the plaintiff now seeks would continue that injunction until trial of this action, expand the injunction to include assets of the defendant Kang Ho and require all defendants to provide the plaintiffs with affidavits identifying their assets.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arises out of an investment by the plaintiffs in a supermarket that has since closed. The plaintiffs allege that they were fraudulently induced to make that investment. They also allege fraud in the disposition of the inventory and assets of the business, resulting in the loss of their entire investment. The defendants say the plaintiffs simply invested in a business that was not 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Guiying Jiang is the mother of the other plaintiff, Di Liu, and advanced funds on behalf of both plaintiffs. Ms. Jiang says that in December 2004, the defendant, Mr. Wang approached her about investing in the defendant company Grand East, which was building a supermarket in Richmond.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Jiang alleges Mr. Wang represented that he had been a senior executive of a large and well known supermarket chain in China and that the Richmond store would be affiliated with that chain. She says this representation was supported by the fact that the name "Grand East" is a literal translation of the Chinese store's name and by use of similar signage.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Wang denies that he made any representations about being affiliated with the Chinese chain the plaintiff refers to. He says he did tell the plaintiffs that he had supermarket management experience in China, but made it clear that he had no Canadian experience and that there were risks involved in the venture.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made two loans totalling $70,000 in December 2004 and January 2005. Later in January, the plaintiffs agreed to invest directly in Grand East by buying shares from Mr. Wang and advancing a shareholder's loan to the company. In total, the plaintiffs say they advanced more than $500,000.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this process, Ms. Jiang says she retained the defendant Mr. Ho, who she says held himself out to be an accountant, to review the financial records. She says that she relied on Mr. Ho's representations that the company was in good financial condition. Mr. Ho says he told Ms. Jiang that although he has a degree in business administration and some accounting experience, he was not a certified accountant. He says he told her he could not do audits and had no supermarket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entered into a share purchase agreement which provided that Mr. Wang would be the general manager of the business and Mr. Ho the vice general manager. They were to be the authorized signatories. Ms. Jiang was made a director with a right to be notified of any planned expenditure over $20,000. Monthly reports were to be made to directors. Ms. Jiang says she was never asked about expenditures and received no monthly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of the date of the shareholders' agreement, Mr. Wang retained the majority of Grand East shares. There were two other shareholders in addition to Mr. Wang and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supermarket opened for business (the evidence on this application is not clear on the exact date) but by April 2005 the plaintiffs were told that it had already lost $300,000 to $400,000. Mr. Ho says the company had severe cash flow problems. He says that for the period from January to April, its gross profit on sales was only about $80,000 before overhead of $200,000 per month. These numbers are set out in a single page summary and the plaintiffs say they have not been provided with any documentation to support it. Ms. Jiang says the store appeared to be very busy and she understood that some goods imported from China were being sold at mark-ups as high as 600 per cent.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June, Ms. Jiang says she learned that Mr. Wang had entered into an agreement under which the assets of the company would be sold to the defendants Great China Trading and/or Allied Pioneer Investments. The defendant Mr. Gu is the principal of both of those companies. The agreement states that Allied Pioneer "in the name of Great China" would purchase all assets of Grand East for $1 million. The first payment was to be made within one year, with the further payments spread out beyond that. The purchaser was given the right to pay Grand East's suppliers and deduct those payments from the purchase price.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shareholders of Grand East, other than the plaintiffs, purported to approve this transaction in a document dated June 3. The plaintiffs say this document does not constitute a proper special resolution, which s. 301 of the Business Corporations Act,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requires for such a transaction. The plaintiffs also allege this was a sham transaction to allow all the defendants to retain money generated by the sale of Grand East's inventory.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Gu says he took over what turned out to be an insolvent company and that he lost money operating it until the landlord distrained for rent and the store closed in September. He also says that a number of suppliers took back merchandise that had not been paid for.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action was started on September 22, 2005 and the Mareva injunction was granted on September 23, 2005. It was extended several times pending the hearing of this application. On October 20, there was a further order, by consent, appointing an inspector under s. 248 of the Business Corporations Act to review the financial records of the defendant companies. The inspector has not yet reported.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defendants argued that the plaintiffs should not be permitted to maintain the injunction in this case because they failed to disclose all relevant facts to the Court on the original application without notice. The alleged non-disclosure relates to an earlier action started by the plaintiffs and what if anything occurred in that earlier proceeding. The original motion material includes an affidavit that was filed in the earlier proceeding. It appears the earlier action did not proceed. I am not persuaded that there was any material non-disclosure that would have made any difference to the original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Similarly, the defendants say that affidavit material filed on the original application refers to an accounting review that had been performed of Grand East's records and a statement by the accountant that he would "furnish a report to you shortly." The defendants say they do not know what, if anything, had been received, but I understood from counsel on this application that nothing has been received. Again, there is no material non-disclosure and I will not decide this application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Mareva injunction allows the court to freeze exigible assets if there is a genuine risk of disappearance of assets either inside or outside the jurisdiction. (Aetna Financial Services Ltd. v. Feigelman, </w:t>
      </w:r>
      <w:hyperlink r:id="rId459" w:history="1">
        <w:r>
          <w:rPr>
            <w:rFonts w:ascii="arial" w:eastAsia="arial" w:hAnsi="arial" w:cs="arial"/>
            <w:i/>
            <w:color w:val="0077CC"/>
            <w:sz w:val="20"/>
            <w:u w:val="single"/>
            <w:shd w:val="clear" w:color="auto" w:fill="FFFFFF"/>
            <w:lang w:val="en-US" w:eastAsia="en-US" w:bidi="ar-SA"/>
          </w:rPr>
          <w:t>[1985] 1 S.C.R. 2</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15 D.L.R. (4th) 161</w:t>
        </w:r>
      </w:hyperlink>
      <w:r>
        <w:rPr>
          <w:rFonts w:ascii="arial" w:eastAsia="arial" w:hAnsi="arial" w:cs="arial"/>
          <w:color w:val="000000"/>
          <w:sz w:val="20"/>
          <w:lang w:val="en-US" w:eastAsia="en-US" w:bidi="ar-SA"/>
        </w:rPr>
        <w:t xml:space="preserve"> [Aetna]). In Aetna, the Supreme Court of Canada affirmed the jurisdiction to make such orders but warned courts to use them cautiously due to their harsh effect. The Court held that where there was no evidence of a shifting of assets to avoid judgment, but only the transfer of moneys in the ordinary course of business from province to province, the exceptional remedy of a Mareva injunction was unwarranted.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Mooney v. Orr </w:t>
      </w:r>
      <w:hyperlink r:id="rId460" w:history="1">
        <w:r>
          <w:rPr>
            <w:rFonts w:ascii="arial" w:eastAsia="arial" w:hAnsi="arial" w:cs="arial"/>
            <w:i/>
            <w:color w:val="0077CC"/>
            <w:sz w:val="20"/>
            <w:u w:val="single"/>
            <w:shd w:val="clear" w:color="auto" w:fill="FFFFFF"/>
            <w:lang w:val="en-US" w:eastAsia="en-US" w:bidi="ar-SA"/>
          </w:rPr>
          <w:t>(1994), 100 B.C.L.R. (2d) 335</w:t>
        </w:r>
      </w:hyperlink>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[1995] 3 W.W.R. 116</w:t>
        </w:r>
      </w:hyperlink>
      <w:r>
        <w:rPr>
          <w:rFonts w:ascii="arial" w:eastAsia="arial" w:hAnsi="arial" w:cs="arial"/>
          <w:color w:val="000000"/>
          <w:sz w:val="20"/>
          <w:lang w:val="en-US" w:eastAsia="en-US" w:bidi="ar-SA"/>
        </w:rPr>
        <w:t xml:space="preserve"> (S.C.), Huddart J. (as she then was) reviewed the law in both Canada and England and set out a more flexible approach to Mareva injunctions than had been suggested by prior cases. She said at s 51 and 52 that the test for a Mareva injunction is essentially the same as for any injunction. After the plaintiff has shown a "strong prima facie" or "good arguable" case, the court must balance the interests of the parties, having regard to the relevant factors in each case, in order to reach a just and convenient result: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Included in such factors will be evidence that establishes the existence of assets within British Columbia (for a domestic injunction) or outside (for a national or international injunction) and a real risk of their disposal or dissipation so as to render nugatory any judgment.</w:t>
      </w:r>
    </w:p>
    <w:p>
      <w:pPr>
        <w:spacing w:before="120" w:line="260" w:lineRule="atLeast"/>
        <w:ind w:left="720"/>
        <w:rPr>
          <w:lang w:val="en-US" w:eastAsia="en-US" w:bidi="ar-SA"/>
        </w:rPr>
      </w:pPr>
      <w:r>
        <w:rPr>
          <w:rFonts w:ascii="arial" w:eastAsia="arial" w:hAnsi="arial" w:cs="arial"/>
          <w:color w:val="000000"/>
          <w:sz w:val="20"/>
          <w:lang w:val="en-US" w:eastAsia="en-US" w:bidi="ar-SA"/>
        </w:rPr>
        <w:t>But also included will be whatever other factors counsel consider relevant in the particular circumstances. A non-exhaustive list of such factors drawn from the authorities includes: the nature of the transaction (local, national, international) giving rise to the cause of action, the risks inherent in that transaction, the residency of the respondent, enforcement rights for judgment creditors in the jurisdiction where the respondent's assets are located, the amount of the claim, the history of the respondent's conduct.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Her Ladyship added at s. 55 TO 57: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approach permits factors taken into account on applications for ordinary injunctions to be considered on these extraordinary applications as well: the relative strength of the parties' cases, evidence of irreparable harm one way or the other, potential effects on third parties, factors affecting the public interest. It also permits the balancing of the convenience of the parties and the tailoring of the remedy to fit the circumstances.</w:t>
      </w:r>
    </w:p>
    <w:p>
      <w:pPr>
        <w:spacing w:before="120" w:line="260" w:lineRule="atLeast"/>
        <w:ind w:left="720"/>
        <w:rPr>
          <w:lang w:val="en-US" w:eastAsia="en-US" w:bidi="ar-SA"/>
        </w:rPr>
      </w:pPr>
      <w:r>
        <w:rPr>
          <w:rFonts w:ascii="arial" w:eastAsia="arial" w:hAnsi="arial" w:cs="arial"/>
          <w:color w:val="000000"/>
          <w:sz w:val="20"/>
          <w:lang w:val="en-US" w:eastAsia="en-US" w:bidi="ar-SA"/>
        </w:rPr>
        <w:t>In other words, it prevents the judge from becoming a prisoner of a fixed formula and places the emphasis where it belongs, on the justice and fairness of the order inter partes. It is fair to both sides, because, while maintaining the burden on the plaintiff to establish grounds for the application, it justifies calling upon the defendant to meet the case brought by the plaintiff, by putting other evidence to support his position.</w:t>
      </w:r>
    </w:p>
    <w:p>
      <w:pPr>
        <w:spacing w:before="120" w:line="260" w:lineRule="atLeast"/>
        <w:ind w:left="720"/>
        <w:rPr>
          <w:lang w:val="en-US" w:eastAsia="en-US" w:bidi="ar-SA"/>
        </w:rPr>
      </w:pPr>
      <w:r>
        <w:rPr>
          <w:rFonts w:ascii="arial" w:eastAsia="arial" w:hAnsi="arial" w:cs="arial"/>
          <w:color w:val="000000"/>
          <w:sz w:val="20"/>
          <w:lang w:val="en-US" w:eastAsia="en-US" w:bidi="ar-SA"/>
        </w:rPr>
        <w:t>By this approach, the ultimate question becomes, is it fair and just that the applicant should have the right to monitor the movement or expenditure of capital assets by the respondent during the course of the proceedings between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issue of whether the plaintiff has shown a strong prima facie or a good arguable case, Huddart J. said at 32: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there is evidence or potential evidence from which facts can be found that give rise to the necessary inferences, it will be difficult to say that there is not a strong prima facie case or a good arguable case, if such evidence is assumed to be credible. In other words, either side "might well win."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That approach was approved by the Court of Appeal in Silver Standard Resources Inc. v. Joint Stock Company Geolog </w:t>
      </w:r>
      <w:hyperlink r:id="rId461" w:history="1">
        <w:r>
          <w:rPr>
            <w:rFonts w:ascii="arial" w:eastAsia="arial" w:hAnsi="arial" w:cs="arial"/>
            <w:i/>
            <w:color w:val="0077CC"/>
            <w:sz w:val="20"/>
            <w:u w:val="single"/>
            <w:shd w:val="clear" w:color="auto" w:fill="FFFFFF"/>
            <w:lang w:val="en-US" w:eastAsia="en-US" w:bidi="ar-SA"/>
          </w:rPr>
          <w:t>(1998), 168 D.L.R. (4th) 309</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59 B.C.L.R. (3d) 196</w:t>
        </w:r>
      </w:hyperlink>
      <w:r>
        <w:rPr>
          <w:rFonts w:ascii="arial" w:eastAsia="arial" w:hAnsi="arial" w:cs="arial"/>
          <w:color w:val="000000"/>
          <w:sz w:val="20"/>
          <w:lang w:val="en-US" w:eastAsia="en-US" w:bidi="ar-SA"/>
        </w:rPr>
        <w:t xml:space="preserve"> (B.C.C.A.) [Silver Standard], Newbury J.A. said at 20: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overarching consideration in each case is the balance of justice and convenience between the parties, and those concepts can embrace many factors that do not fit easily into the "rules" or "conditions" advanced by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However, the court cautioned at 21 that, in most cases, it will not be just and convenient to tie up a defendant's assets simply to give the plaintiff security for a judgment that may never be obtained: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Courts will be reluctant to interfere with the parties' normal business arrangements, and affect the rights of other creditors, merely on the speculation that the plaintiff will ultimately succeed in its claim and have difficulty collecting on its judgment if the injunction is not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Cranewood Financial Corp. v. Norisawa, </w:t>
      </w:r>
      <w:r>
        <w:rPr>
          <w:rFonts w:ascii="arial" w:eastAsia="arial" w:hAnsi="arial" w:cs="arial"/>
          <w:i/>
          <w:color w:val="000000"/>
          <w:sz w:val="20"/>
          <w:lang w:val="en-US" w:eastAsia="en-US" w:bidi="ar-SA"/>
        </w:rPr>
        <w:t>[2000] B.C.J. No. 1130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BCSC 882</w:t>
      </w:r>
      <w:r>
        <w:rPr>
          <w:rFonts w:ascii="arial" w:eastAsia="arial" w:hAnsi="arial" w:cs="arial"/>
          <w:color w:val="000000"/>
          <w:sz w:val="20"/>
          <w:lang w:val="en-US" w:eastAsia="en-US" w:bidi="ar-SA"/>
        </w:rPr>
        <w:t xml:space="preserve"> [Cranewood], Cohen J. referred to that passage to emphasize that the evidence in support of the application must go beyond mere speculation at s 26 and 27. He also indicated that the risk of assets being removed from the jurisdiction or being dissipated is still a relevant consideration.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Kim's evidence explains the respondents' dealings with assets and refutes the applicants' allegations that the respondents have engaged in wrongful conduct. On the other hand, Norisawa's evidence essentially amounts to nothing more than speculation that the monetary value of the applicants' claim may be greater than the monetary value of the respondents' claim, and that Kim may be attempting to dispose of assets prior to judgment ...</w:t>
      </w:r>
    </w:p>
    <w:p>
      <w:pPr>
        <w:spacing w:before="120" w:line="260" w:lineRule="atLeast"/>
        <w:ind w:left="720"/>
        <w:rPr>
          <w:lang w:val="en-US" w:eastAsia="en-US" w:bidi="ar-SA"/>
        </w:rPr>
      </w:pPr>
      <w:r>
        <w:rPr>
          <w:rFonts w:ascii="arial" w:eastAsia="arial" w:hAnsi="arial" w:cs="arial"/>
          <w:color w:val="000000"/>
          <w:sz w:val="20"/>
          <w:lang w:val="en-US" w:eastAsia="en-US" w:bidi="ar-SA"/>
        </w:rPr>
        <w:t>Moreover, while Norisawa's evidence merely raises speculative concerns about the applicants' ability to recover a money judgment against the respondents, Kim's evidence details the prejudice that will be suffered by the respondents in the event that the injunction is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However, in Netolitzky v. Barclay, </w:t>
      </w:r>
      <w:hyperlink r:id="rId462" w:history="1">
        <w:r>
          <w:rPr>
            <w:rFonts w:ascii="arial" w:eastAsia="arial" w:hAnsi="arial" w:cs="arial"/>
            <w:i/>
            <w:color w:val="0077CC"/>
            <w:sz w:val="20"/>
            <w:u w:val="single"/>
            <w:shd w:val="clear" w:color="auto" w:fill="FFFFFF"/>
            <w:lang w:val="en-US" w:eastAsia="en-US" w:bidi="ar-SA"/>
          </w:rPr>
          <w:t>[2002] B.C.J. No. 1796</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2002 BCSC 1098</w:t>
        </w:r>
      </w:hyperlink>
      <w:r>
        <w:rPr>
          <w:rFonts w:ascii="arial" w:eastAsia="arial" w:hAnsi="arial" w:cs="arial"/>
          <w:color w:val="000000"/>
          <w:sz w:val="20"/>
          <w:lang w:val="en-US" w:eastAsia="en-US" w:bidi="ar-SA"/>
        </w:rPr>
        <w:t xml:space="preserve"> [Netolitzky] Dillon J. said that if the applicant can show a strong prima facie case for fraud, the court can infer that there is a risk of assets in British Columbia being removed or dissipated. This is because fraud has always been an exception to the courts' general reluctance to permit prejudgment execution.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plaintiffs allege that they made their investment on the basis of Mr. Wang's representation that Grand East was affiliated with a well-known Chinese supermarket chain. Mr. Wang denies he made that representation, but there is no dispute that if such a representation was made, it was not true. If the evidence of the plaintiffs is accepted at trial, that could support a finding of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of the money advanced by the plaintiffs was for the purchase of shares from Mr. Wang, meaning that some of the money went directly to him. He remained the major shareholder of Grand East and was therefore in a position to benefit directly from any benefit obtained by Grand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large investment in Grand East was lost in a very short time. The plaintiffs say they did not receive the ongoing information or the notification of large expenditures that they were entitled to. The defendants, Mr. Wang and Mr. Ho, say that the losses resulted entirely from business operations, but have still not provided the detailed accounting records to support that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Netolitzky, the allegation of fraud was supported by an accounting analysis. The evidence cannot be as strong in this case because the fraud is alleged to flow from verbal representations and the issue can only be decided on the basis of credibility findings by the trial judge. The accounting records that supported the fraud allegation in Netolitzky were the very sort of records that these plaintiffs say they have been denied access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Ms. Jiang, has also presented evidence that some of the money she invested was paid directly to a person in China whom she believes to be Mr. Wang's nephew. Although that amount was relatively small in the context of the total investment, it indicates an ability to easily transfer funds out of the jurisdiction.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other hand, none of the defendants have deposed to any prejudice that will result from continuing the Mareva injunction. The significance of evidence of such prejudice was referred to by Cohen J. in Cranewood at 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Taking into account all of the circumstances, but primarily the evidence capable of supporting an allegation of fraud, I conclude that the plaintiffs have shown sufficient grounds to continue the injunction against Grand East and Mr. Wang, at least until more information becomes available from the work of the inspector.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Mr. Wang argued that, if the injunction is continued, it should only be against Grand East, and not against Mr. Wang in his personal capacity. Normally, of course, individual directors and officers of a company are not liable for the acts of the company. However, where a corporate officer has been directly involved in the impugned transaction and where there are allegations of fraud, there is a possibility of liability attaching to the officer in his personal capacity (B.G. Preeco I (Pacific Coast) Ltd. v. Bon Street Holdings Ltd. et al. </w:t>
      </w:r>
      <w:hyperlink r:id="rId463" w:history="1">
        <w:r>
          <w:rPr>
            <w:rFonts w:ascii="arial" w:eastAsia="arial" w:hAnsi="arial" w:cs="arial"/>
            <w:i/>
            <w:color w:val="0077CC"/>
            <w:sz w:val="20"/>
            <w:u w:val="single"/>
            <w:shd w:val="clear" w:color="auto" w:fill="FFFFFF"/>
            <w:lang w:val="en-US" w:eastAsia="en-US" w:bidi="ar-SA"/>
          </w:rPr>
          <w:t>(1989) 37 B.C.L.R. (2d) 258</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60 D.L.R. (4th) 30</w:t>
        </w:r>
      </w:hyperlink>
      <w:r>
        <w:rPr>
          <w:rFonts w:ascii="arial" w:eastAsia="arial" w:hAnsi="arial" w:cs="arial"/>
          <w:color w:val="000000"/>
          <w:sz w:val="20"/>
          <w:lang w:val="en-US" w:eastAsia="en-US" w:bidi="ar-SA"/>
        </w:rPr>
        <w:t>). That is the situation that, for present purposes must apply here, given the nature of the allegations. For this reason, it is appropriate for the Mareva injunction to be continued against Mr. Wang in his personal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Mr. Ho is in a somewhat different position from that of Mr. Wang and Grand East. The plaintiffs do not allege that he was a party to the initial alleged fraudulent misrepresentation. They allege reliance on his representation that the company was in good financial condition. They also allege that he was in a position to monitor the operations of the company and failed to protect their interest. Even assuming those allegations to be true, they would be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fraud. Therefore, there is not sufficient evidence to support the allegation of fraud against Mr. Ho and the plaintiffs cannot rely on the presumption of risk that was used in Netolitzky.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must then show that there is real risk of the assets being removed from the jurisdiction, or dissipated. Mr. Ho was not a shareholder of Grand East and there is no evidence, apart from the plaintiffs' speculation, of any money flowing to him, either from the plaintiffs' original investment or from the alleged disposition of Grand East's assets. Having regard to the extraordinary nature of the remedy, I conclude that the balance of convenience favours Mr. Ho and the plaintiffs are not entitled to a Mareva injunction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Mr. Gu and his companies are even further removed from the allegations of fraud that could justify a Mareva injunction. These defendants entered into an agreement to purchase Grand East's assets in June, 2005. There is no suggestion that they were a party to any representations prior to that date and no suggestion they were involved in the management of the company in any way. There is no evidence that, when they purchased assets, these defendants knew or should have known, anything about any deficiencies in process by which the shareholders of Grand East purported to approve the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rely on what they call "absurd" deferred payment terms and the fact that the business ceased to operate only three months after sale of the assets. They say this supports an inference that Mr. Gu and his companies participated in a scheme to retain and share money generated by the sale of Grand East's inventory. I do not accept that those facts alone would support such an inference, particularly in light of the fact that the plaintiff Ms. Jiang also says she believes Grand East was insolvent at the time the assets were sold.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also rely on hearsay evidence that Mr. Gu, in discussing the asset purchase, said "How can I have so much money? I am just helping a friend." Accepting for the purpose of this application that such a statement was made, I find it is ambiguous at best and have great difficulty in understanding what conclusion could be drawn from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allegations against Mr. Gu, Allied Pioneers and Great China are only speculation at this point. It may be that further evidence will come to light during the course of this litigation, but for present purposes the plaintiffs have not shown either the strong prima facie case or evidence of any of the other factors that would support a continued Mareva injunction against those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the Mareva injunction will remain in place against Grand East Supermarket and Mr. Wang until 14 days after all parties have received a report from the inspector. The plaintiff will have liberty to make further application based on the state of knowledge that exists as a result of the inspector's report. In the absence of such application and a resulting order in that 14 day period, the injunction will expire.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Meanwhile, the defendants Mr. Wang and Grand East Supermarket will be at liberty to apply for relaxation of the injunction to permit any specific transaction they say is reasonable and necessary in the ordinary course of business or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seek an order that the parties bound by the Mareva injunction deliver an affidavit listing their assets and their location. I agree that Mr. Wang should deliver such an affidavit within 21 days. In preparing that affidavit, Mr. Wang is not required to incur any appraisal or valuation expenses. There is no need for an affidavit setting out Grand East's assets, because I expect that information will ultimately become available through the inspector.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Costs of this application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John Doe 1 v. University of British Columbia, [2019] B.C.J. No. 808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W.B. Milman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and April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S177329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673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Doe 1, Plaintiff, and The University of British Columbia, Providence Health Care Society and Positive Living Society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jc w:val="both"/>
        <w:rPr>
          <w:rFonts w:ascii="arial" w:eastAsia="arial" w:hAnsi="arial" w:cs="arial"/>
          <w:sz w:val="20"/>
          <w:lang w:val="en-US" w:eastAsia="en-US" w:bidi="ar-SA"/>
        </w:rPr>
      </w:pPr>
      <w:bookmarkStart w:id="80" w:name="Counsel_21"/>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Moriarty, N.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University of British Columbia and Providence Health Care Society: S. Hamilton, N.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Positive Living Society of British Columbia: J. Shore, E. Dolden.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21"/>
      <w:bookmarkEnd w:id="81"/>
      <w:r>
        <w:pict>
          <v:line id="_x0000_s1103" style="position:absolute;z-index:251737088"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Restriction on publication: </w:t>
      </w:r>
      <w:r>
        <w:rPr>
          <w:rFonts w:ascii="arial" w:eastAsia="arial" w:hAnsi="arial" w:cs="arial"/>
          <w:b/>
          <w:color w:val="000000"/>
          <w:sz w:val="20"/>
          <w:u w:val="single"/>
          <w:lang w:val="en-US" w:eastAsia="en-US" w:bidi="ar-SA"/>
        </w:rPr>
        <w:t>SEALED FILE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W.B. MILMAN J."/>
            <w:bookmarkEnd w:id="82"/>
            <w:r>
              <w:rPr>
                <w:rFonts w:ascii="arial" w:eastAsia="arial" w:hAnsi="arial" w:cs="arial"/>
                <w:b/>
                <w:color w:val="000000"/>
                <w:sz w:val="30"/>
                <w:lang w:val="en-US" w:eastAsia="en-US" w:bidi="ar-SA"/>
              </w:rPr>
              <w:t>W.B. MILMAN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procedural issues before me as the assigned case management judge in this proposed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First, the defendants apply under Rule 22-1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leave to cross-examine several of the plaintiff's affiants on their affidavits sworn in support of the certification application. The plaintiff opposes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issue is a question of sequencing. The defendants have brought applications seeking to strike parts of the plaintiff's claim under Rule 9-5 or alternatively, seeking summary judgment under Rule 9-6. They wish to have those applications heard at the same time as the certification application. The plaintiff's view is that the defendants' applications should not be heard until after the certification application has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arises from an email that was sent on September 14, 2016 by an employee of the defendant, Positive Living Society of British Columbia ("PLS"), to approximately 800 of its members. Membership in PLS is available to residents of British Columbia who are HIV positive. The email was intended to solicit the recipients' participation in a study that PLS was conducting together with the other defendants, The University of British Columbia ("UBC") and Providence Health Care Society ("PHCS") about the quality of the services that PLS was delivering to persons suffering from HIV/AIDS in this province. Due to an apparent oversight, the email was openly delivered to the recipients, rather than blind copied, thereby revealing their email addresses to the other recipients without their consent. I will refer to the sending of this email as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plaintiff commenced this action on August 4, 2017. The notice of civil claim ("NOCC") advances the following causes of action:</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various statutory duties pertaining to the collection, use, retention and disclosure of personal information;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torts of breach of privacy and intrusion upon seclusion;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and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seeks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Over a year later, on September 14, 2018, the plaintiff filed a certification application with six affidavits in support. The proposed class is defined as: "all persons who have been diagnosed with HIV and/or AIDS and whose status was disclosed by the September 14, 2016 email sent by [PLS]'s membership registrar." The proposed common issues include the following, among others: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any of the defendants breach the privacy of class members, as proscribed by s.1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defendants' breach willful and without a claim of right?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tort of intrusion upon seclusion available in British Columbia, or has it been supplanted by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defendants liable to pay damages to the Class for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based on the factors elucidated in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Class entitled to an aggregate damage award based on breach of privacy pursuant to s. 29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If so in what amount?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factors will determine the amount of the aggregate damage award?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defendants' conduct justify an award of aggravated damages?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defendants' conduct justify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a judicial management conference on March 15, 2018, I made an order by consent adopting a case plan proposal that would have seen the certification application heard in May 2019. That schedule proved to be unworkable for a number of reasons, including the need to resolve the disputes that are the subject of these reasons for judgment. This led to my order of December 3, 2018 adjourning the certification hearing generally. It has yet to be rescheduled.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responded to the certification application on November 15, 2018. In its response, PLS has conceded that at least certain of the proposed common issues, particularly those based in contract, may appropriately be certified but otherwise the defendants generally oppose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that same day, the defendants also filed applications seeking to strike many of the plaintiff's claims under Rule 9-5 for failing to disclose a valid cause of action or, alternatively, seeking summary judgment under Rule 9-6 dismissing the impugned causes of action on the basis that they raise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opposes the defendants' applications but has not otherwise responded substantively. Instead, the plaintiff has asserted that the defendants' applications ought not to be heard until after the certification motion is resolved. In the event that the defendants' applications are ordered to be heard concurrently with the certification application, the plaintiff seeks leave to file amended responses to address the substantive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applications filed January 12, 2019 (in the case of PLS) and March 5, 2019 (in the case of UBC and PHCS) the defendants have also sought leave to cross-examine four of the plaintiff's affiants on their affidavits adduced in support of the certification application. The plaintiff opposes those applications as well. At issue is whether the proposed cross-examinations should be allowed to proceed and if so, on what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Applications for leave to Cross-Examine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test to be applied in considering whether to grant leave to cross-examine on affidavits adduced on a certification application was described by W.J. Harris J. in </w:t>
      </w:r>
      <w:r>
        <w:rPr>
          <w:rFonts w:ascii="arial" w:eastAsia="arial" w:hAnsi="arial" w:cs="arial"/>
          <w:i/>
          <w:color w:val="000000"/>
          <w:sz w:val="20"/>
          <w:lang w:val="en-US" w:eastAsia="en-US" w:bidi="ar-SA"/>
        </w:rPr>
        <w:t>Cantlie v. Canadian Heating Products Inc.</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2016 BCSC 660</w:t>
        </w:r>
      </w:hyperlink>
      <w:r>
        <w:rPr>
          <w:rFonts w:ascii="arial" w:eastAsia="arial" w:hAnsi="arial" w:cs="arial"/>
          <w:color w:val="000000"/>
          <w:sz w:val="20"/>
          <w:lang w:val="en-US" w:eastAsia="en-US" w:bidi="ar-SA"/>
        </w:rPr>
        <w:t>, at paras. 6-8,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Courts have discretion to order cross-examination prior to certification of a class action. The test applicable to granting leave to cross-examine in these circumstances was stated by Justice Myers in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2008 BCSC 1263</w:t>
        </w:r>
      </w:hyperlink>
      <w:r>
        <w:rPr>
          <w:rFonts w:ascii="arial" w:eastAsia="arial" w:hAnsi="arial" w:cs="arial"/>
          <w:color w:val="000000"/>
          <w:sz w:val="20"/>
          <w:lang w:val="en-US" w:eastAsia="en-US" w:bidi="ar-SA"/>
        </w:rPr>
        <w:t xml:space="preserve"> at para. 56. Cross-examination is permitted where it is first established that there is a conflict in evidence on a point germane to certification. If a conflict is found, discretion to allow cross-examination will be exercised depending on the factors of each case, including the importance of the issue, whether the cross-examination will unduly delay the certification application and whether the cross-examination is likely to elucidate the relevant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Leave to permit cross-examination is an order that courts are generally reluctant to make and is rarely granted prior to certification: </w:t>
      </w:r>
      <w:r>
        <w:rPr>
          <w:rFonts w:ascii="arial" w:eastAsia="arial" w:hAnsi="arial" w:cs="arial"/>
          <w:i/>
          <w:color w:val="000000"/>
          <w:sz w:val="20"/>
          <w:lang w:val="en-US" w:eastAsia="en-US" w:bidi="ar-SA"/>
        </w:rPr>
        <w:t>Collette v. Great Pacific Management et al.</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2001 BCSC 237</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Cantlie v. Canadian Heating Products Inc.</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2014 BCSC 1170</w:t>
        </w:r>
      </w:hyperlink>
      <w:r>
        <w:rPr>
          <w:rFonts w:ascii="arial" w:eastAsia="arial" w:hAnsi="arial" w:cs="arial"/>
          <w:color w:val="000000"/>
          <w:sz w:val="20"/>
          <w:lang w:val="en-US" w:eastAsia="en-US" w:bidi="ar-SA"/>
        </w:rPr>
        <w:t xml:space="preserve">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considering what is germane to certification, I note that a certification hearing does not assess the merits of a claim, but instead considers whether the plaintiff has demonstrated some basis in fact for the requirements in s. 4 of the CPA with the exception of the requirement that the pleadings disclose a cause of action: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submit that the correct test is as set out by Myers J. in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2008 BCSC 1263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Microsoft BCSC</w:t>
      </w:r>
      <w:r>
        <w:rPr>
          <w:rFonts w:ascii="arial" w:eastAsia="arial" w:hAnsi="arial" w:cs="arial"/>
          <w:color w:val="000000"/>
          <w:sz w:val="20"/>
          <w:lang w:val="en-US" w:eastAsia="en-US" w:bidi="ar-SA"/>
        </w:rPr>
        <w:t xml:space="preserve">") at para. 56 and that the rest of these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particularly the suggestion that such an order is "rare" and one that this Court is "generally reluctant to make" are no longer authoritative, citing </w:t>
      </w:r>
      <w:r>
        <w:rPr>
          <w:rFonts w:ascii="arial" w:eastAsia="arial" w:hAnsi="arial" w:cs="arial"/>
          <w:i/>
          <w:color w:val="000000"/>
          <w:sz w:val="20"/>
          <w:lang w:val="en-US" w:eastAsia="en-US" w:bidi="ar-SA"/>
        </w:rPr>
        <w:t>Dyer v. Weyerhaeuser Company Limited</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2013 BCSC 2569</w:t>
        </w:r>
      </w:hyperlink>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agree that the applicable test is essentially as set out by Myers J. in </w:t>
      </w:r>
      <w:r>
        <w:rPr>
          <w:rFonts w:ascii="arial" w:eastAsia="arial" w:hAnsi="arial" w:cs="arial"/>
          <w:i/>
          <w:color w:val="000000"/>
          <w:sz w:val="20"/>
          <w:lang w:val="en-US" w:eastAsia="en-US" w:bidi="ar-SA"/>
        </w:rPr>
        <w:t>Microsoft BCSC</w:t>
      </w:r>
      <w:r>
        <w:rPr>
          <w:rFonts w:ascii="arial" w:eastAsia="arial" w:hAnsi="arial" w:cs="arial"/>
          <w:color w:val="000000"/>
          <w:sz w:val="20"/>
          <w:lang w:val="en-US" w:eastAsia="en-US" w:bidi="ar-SA"/>
        </w:rPr>
        <w:t xml:space="preserve">, but I also accept that this Court should be cautious when considering whether to grant leave to cross-examine on affidavits prior to certification at least where, as here, the proposed cross-examination is anticipated to focus on the merits of the claim rather than on one or more of the elements of the certification test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While the defendants acknowledge that the certification hearing should generally not be focused on the merits of the claim, they say that the plaintiff must demonstrate that there is at least "some basis in fact" to support each of the elements of the certification test other than the requirement to show a valid cause of action on the pleadings. That includes a requirement to demonstrate the existence of a genuine issue for trial that could properly serve as a common issue. In support of that submission, they cite </w:t>
      </w:r>
      <w:r>
        <w:rPr>
          <w:rFonts w:ascii="arial" w:eastAsia="arial" w:hAnsi="arial" w:cs="arial"/>
          <w:i/>
          <w:color w:val="000000"/>
          <w:sz w:val="20"/>
          <w:lang w:val="en-US" w:eastAsia="en-US" w:bidi="ar-SA"/>
        </w:rPr>
        <w:t>Finkel v. Coast Capital Savings Credit Union</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2017 BCCA 361</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Broutzas v. Rouge Valley Health System</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2018 ONSC 6315</w:t>
        </w:r>
      </w:hyperlink>
      <w:r>
        <w:rPr>
          <w:rFonts w:ascii="arial" w:eastAsia="arial" w:hAnsi="arial" w:cs="arial"/>
          <w:color w:val="000000"/>
          <w:sz w:val="20"/>
          <w:lang w:val="en-US" w:eastAsia="en-US" w:bidi="ar-SA"/>
        </w:rPr>
        <w:t xml:space="preserve"> at para. 127-128 and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paras. 25-26. Those authorities suggest that a proposed common issue based on a claim that does not raise a triable issue of fact or law should not be certified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say that the plaintiff has failed in particular to plead sufficient facts or adduce sufficient evidence to support the pleaded torts of breach of privacy and intrusion upon seclusion or the pleaded claim for an award of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claim for breach of privacy is based on s. 1(1)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tort, actionable without proof of damage, for a person, </w:t>
      </w:r>
      <w:r>
        <w:rPr>
          <w:rFonts w:ascii="arial" w:eastAsia="arial" w:hAnsi="arial" w:cs="arial"/>
          <w:color w:val="000000"/>
          <w:sz w:val="20"/>
          <w:u w:val="single"/>
          <w:lang w:val="en-US" w:eastAsia="en-US" w:bidi="ar-SA"/>
        </w:rPr>
        <w:t>wilfully and without a claim of right</w:t>
      </w:r>
      <w:r>
        <w:rPr>
          <w:rFonts w:ascii="arial" w:eastAsia="arial" w:hAnsi="arial" w:cs="arial"/>
          <w:color w:val="000000"/>
          <w:sz w:val="20"/>
          <w:lang w:val="en-US" w:eastAsia="en-US" w:bidi="ar-SA"/>
        </w:rPr>
        <w:t>, to violate the privacy of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say that the plaintiff's pleaded cause of action under that provision cannot succeed because the failure to blind copy the recipients of the email was plainly inadvertent, not "wilful."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similar requirement arises in respect of the tort of intrusion upon seclusion. The elements of that tort were set out by Sharpe J.A., writing for the Court, in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at para. 71, where it was held that for that tort to be made out, "the defendant's conduct must be intentional, within which I would include reckless."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say that an award of aggravated damages is unavailable to the plaintiff because such an award can only be made to compensate the plaintiff "for aggravation of the injury by the defendant's highhanded conduct," as was held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2004 BCCA 273</w:t>
        </w:r>
      </w:hyperlink>
      <w:r>
        <w:rPr>
          <w:rFonts w:ascii="arial" w:eastAsia="arial" w:hAnsi="arial" w:cs="arial"/>
          <w:color w:val="000000"/>
          <w:sz w:val="20"/>
          <w:lang w:val="en-US" w:eastAsia="en-US" w:bidi="ar-SA"/>
        </w:rPr>
        <w:t>, at para. 44. Here, the defendants say, the plaintiff has not alleged or adduced evidence of any "highhanded conduct" but only an innocent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McLachlin C.J. and Abella J., writing for the Court, described the test applicable in awarding punitive damages as follows,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By their nature, contract breaches will sometimes give rise to censure. But to attract punitive damages, the impugned conduct must depart markedly from ordinary standards of decency --- the exceptional case that can be described as malicious, oppressive or high-handed and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196;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36. The misconduct must be of a nature as to take it beyond the usual opprobrium that surrounds breaking a contract. As stated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at para. 36, "punitive damages straddle the frontier between civil law (compensation) and criminal law (punishment)". Criminal law and quasi-criminal regulatory schemes are recognized as the primary vehicles for punishment. It is important that punitive damages be resorted to only in exceptional cases, and with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say that the conduct attributed to them in this case cannot fairly be characterised as "malicious, oppressive or high handed" so as to justify an award of punitive damages under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seeks to prove those claims requiring proof of intentional misconduct by showing, among other things, that the defendants acted recklessly. The defendants say that the only evidence of recklessness adduced consists of a few vague and misleading statements that could be shown, with the benefit of cross-examination, to be irrelevant, unreliable or otherwise inadmissible. If the defendants are successful in undermining that evidence through cross-examination, they say, then the plaintiff's case for certifying the proposed common issues pertaining to those claims will evaporate.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responds that the defendants' application is premised on the wrong question. They refer to the decision of Rothstein J. in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Microsoft SCC")</w:t>
      </w:r>
      <w:r>
        <w:rPr>
          <w:rFonts w:ascii="arial" w:eastAsia="arial" w:hAnsi="arial" w:cs="arial"/>
          <w:color w:val="000000"/>
          <w:sz w:val="20"/>
          <w:lang w:val="en-US" w:eastAsia="en-US" w:bidi="ar-SA"/>
        </w:rPr>
        <w:t xml:space="preserve"> at para. 110 for the proposition that in establishing commonality for the purpose of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[E]vidence that the acts alleged actually occurred is not required. Rather the factual evidence required at this stage goes only to establishing whether these questions are common to all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proper inquiry on a certification application was summarised by Rothstein J. at paras. 102-103, where he explained that the "some basis in fact" standard does not require proof on a balance of probabilities. The court should not be seeking to resolve conflicting evidence on the merits. In particular, he wrote that, "[t]he certification stage does not involve an assessment of the merits of the claim and is not intended to be a pronouncement on the viability or strength of the action" (at para.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says that it is not properly open to the defendants to test the strength of the plaintiff's case on the merits at the certification stage, which is all that will be accomplished by the proposed cross-examinations. For a certification judge to go down that path would, it is argued, amount to an error in principle: </w:t>
      </w:r>
      <w:r>
        <w:rPr>
          <w:rFonts w:ascii="arial" w:eastAsia="arial" w:hAnsi="arial" w:cs="arial"/>
          <w:i/>
          <w:color w:val="000000"/>
          <w:sz w:val="20"/>
          <w:lang w:val="en-US" w:eastAsia="en-US" w:bidi="ar-SA"/>
        </w:rPr>
        <w:t>Fehr v. Sun Life Assurance Company of Canada</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2018 ONCA 718</w:t>
        </w:r>
      </w:hyperlink>
      <w:r>
        <w:rPr>
          <w:rFonts w:ascii="arial" w:eastAsia="arial" w:hAnsi="arial" w:cs="arial"/>
          <w:color w:val="000000"/>
          <w:sz w:val="20"/>
          <w:lang w:val="en-US" w:eastAsia="en-US" w:bidi="ar-SA"/>
        </w:rPr>
        <w:t>, at paras. 83-87. In that case, Strathy C.J.O., writing for the Court, reiterated that the duty of the certification judge is to ask,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whether there is a basis in fact for the claim itself, but whether there is </w:t>
      </w:r>
      <w:r>
        <w:rPr>
          <w:rFonts w:ascii="arial" w:eastAsia="arial" w:hAnsi="arial" w:cs="arial"/>
          <w:i/>
          <w:color w:val="000000"/>
          <w:sz w:val="20"/>
          <w:lang w:val="en-US" w:eastAsia="en-US" w:bidi="ar-SA"/>
        </w:rPr>
        <w:t>some basis in fact which establishes each of the certification requirements</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Microsoft SCC</w:t>
      </w:r>
      <w:r>
        <w:rPr>
          <w:rFonts w:ascii="arial" w:eastAsia="arial" w:hAnsi="arial" w:cs="arial"/>
          <w:color w:val="000000"/>
          <w:sz w:val="20"/>
          <w:lang w:val="en-US" w:eastAsia="en-US" w:bidi="ar-SA"/>
        </w:rPr>
        <w:t xml:space="preserve"> at para. 100, emphasis added by Strathy C.J.O.].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the plaintiff says that there is other evidence in the record, apart from the evidence on which the defendants seek leave to cross-examine, that can serve as "some basis in fact" for the existence of the proposed common issues founded on an allegation of recklessness. The proposed cross-examinations would, it is argued, therefore be pointless for that reason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note that the NOCC expressly pleads, as part of the legal basis for the claim, that the defendants' conduct was reckless (at part 2, para. 7(b)). But the only pleaded fact that tends to support that particular allegation is found in para. 1 of Part 1 in the NOCC, where it is alleged that the disclosure of PLS' members' identities in the Incident, "... was preventable with the use of even the most rudimentary security planning and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apparently intended to support that allegation has been adduced in four of the plaintiff's affidavits supporting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of those affiants, P.W., describes himself as a member and former director of PLS. He was a volunteer who worked on the study that was the context for the email that is the subject of the claim. He deposes, among other things, that: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provided "numerous warnings" to PLS about its "poor data management practices" but was ignored (at para. 20);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surprised by the Incident because he "felt it was only a matter of time before [PLS]'s data management would cause a serious problem" (at para. 21);</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senior managers at PLS "had been careless with data prior to the [Incident] (at para. 21);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at PLS, he observed "staff and management systematically avoid accountability for any of their data recording and management" thereby creating "a substantial risk of a privacy breach" (at para. 22);</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problems he observed could have been eliminated with an upgraded IT system and better data management practices (at para. 22);</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Incident, he had identified "numerous problems" with PLS's IT department (at para. 23);</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advised PLS' director of Operations of possible IT improvements that could have prevented the Incident, including "contact management software that would ensure secure email communication" but his recommendations in that regard were, for no sound reason, not acted upon (at paras. 24-25);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PSL's board unreasonably refused to "hold itself accountable" for the Incident after it occurred (at paras.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PLS's affiants deny that any such warnings were given prior to the Incident. They say that the data management practices identified by P.W. had no bearing on how PLS communicated with its members and that the IT upgrades that P.W. was urging on PLS would not have prevented the Incident in any event. They deny P.W.'s account of how PLS reacted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second of the plaintiff's affiants offering evidence going to the issue of recklessness, S.T., was a member and employee of PLS at the time of the Incident. S.T. deposes that she has noticed that PLS "has become less meticulous regarding confidentiality" in recent years (at para. 11). She asserts that personal information from her file "has been shared with other people in the community" without her permission (at para. 11). She says that the email that is the subject of this action was sent to her at an email address that was no longer current and had not been properly updated (at para. 15). One of PLS's affiants presents evidence to contradict these allegations, including that S.T. never sought to update her email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third of the plaintiff's affiants offering evidence going to the issue of recklessness, T.H., was, at the time of the Incident, PLS's director of research. T.H. deposes that one of the reasons he left PLS after 14 years was that he was "disturbed by their careless approach to confidentiality and privacy, particularly with respect to their email communications with members" (at para. 9). He also deposes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"repeatedly warned [PLS] of the need to keep its members' private information confidential ..." but PLS's managers "frequently used lack of funds as an excuse for not using contact management software that would more effectively protect confidentiality" (at para. 27);</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"[PLS] ignored my warnings and proceeded to send emails in a way that very likely to cause a privacy breach" (at para. 27);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Incident occurred, PLS management again dismissed his concerns and insisted that an emailed apology was sufficient to address it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PLS's affiants directly contradict these assertions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the plaintiff has adduced the affidavit of Alejandra Brown, a "privacy and data compliance consultant" who has prepared an opinion based on her asserted expertise in "privacy operations compliance." The defendants challenge the admissibility of the report on various grounds. Among other things, they say that much of it is irrelevant or unhelpfully vague and that she improperly offers opinions without a proper factual foundation and outside her stated areas of expertise. Several of her conclusions are said to be in conflict with an opinion expressed by UBC's expert, Alexandra D'Arcy, to the effect that the use of "bcc" in sensitive email communications is "an extremely common institutional practice for protecting the identities of recipients."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that the plaintiff's evidence of recklessness is directly contradicted in all or at least most cases by one or more of the defendants' affiants. But I am not persuaded that the proposed cross-examinations offer any realistic prospect of resolving those conflicts, at least not definitively enough to eliminate all factual support for the plaintiff's pleaded allegation of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argue that the plaintiff's evidence of recklessness is either patently irrelevant or, at best, misleading because it is framed in vague and ambiguous language that is calculated to convey the false impression that the subject matter is relevant to the claim when in fact it is not. In the latter category are statements that speak to warnings that the defendants say were given only after the Incident occurred and not before, or recommending remedial action that was unrelated to the Incident and would not have prevented it even if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satisfied that is so. The plaintiff's evidence includes at least some unambiguous assertions that pertinent recommendations were made to PLS staff prior to the Incident which, had they been heeded, could have prevented it. While I agree with the defendants that there are also many assertions in the plaintiff's affidavits that appear to be less directly relevant to the Incident itself, even those could potentially serve as the basis for an argument that the Incident was the product of a broader pattern of conduct that in the aggregate amounted to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Given the state of the evidence before me, the resolution of the many conflicts in the affidavits is properly an exercise for trial, not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also not persuaded that the proposed cross-examination of Ms. Brown would be particularly helpful in addressing the issues that will be before me on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authority supporting their application for leave to cross-examine her, the defendants rely on the decision of Myers J. in </w:t>
      </w:r>
      <w:r>
        <w:rPr>
          <w:rFonts w:ascii="arial" w:eastAsia="arial" w:hAnsi="arial" w:cs="arial"/>
          <w:i/>
          <w:color w:val="000000"/>
          <w:sz w:val="20"/>
          <w:lang w:val="en-US" w:eastAsia="en-US" w:bidi="ar-SA"/>
        </w:rPr>
        <w:t>Microsoft BCSC</w:t>
      </w:r>
      <w:r>
        <w:rPr>
          <w:rFonts w:ascii="arial" w:eastAsia="arial" w:hAnsi="arial" w:cs="arial"/>
          <w:color w:val="000000"/>
          <w:sz w:val="20"/>
          <w:lang w:val="en-US" w:eastAsia="en-US" w:bidi="ar-SA"/>
        </w:rPr>
        <w:t xml:space="preserve"> and the decision of Mills J. in </w:t>
      </w:r>
      <w:r>
        <w:rPr>
          <w:rFonts w:ascii="arial" w:eastAsia="arial" w:hAnsi="arial" w:cs="arial"/>
          <w:i/>
          <w:color w:val="000000"/>
          <w:sz w:val="20"/>
          <w:lang w:val="en-US" w:eastAsia="en-US" w:bidi="ar-SA"/>
        </w:rPr>
        <w:t>Graham v. Hoffmann La Roche Limited</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2014 SKQB 304</w:t>
        </w:r>
      </w:hyperlink>
      <w:r>
        <w:rPr>
          <w:rFonts w:ascii="arial" w:eastAsia="arial" w:hAnsi="arial" w:cs="arial"/>
          <w:color w:val="000000"/>
          <w:sz w:val="20"/>
          <w:lang w:val="en-US" w:eastAsia="en-US" w:bidi="ar-SA"/>
        </w:rPr>
        <w:t xml:space="preserve"> at paras. 20-34, both granting leave to cross-examine experts on their affidavits adduced in support of a certification application. I note that in </w:t>
      </w:r>
      <w:r>
        <w:rPr>
          <w:rFonts w:ascii="arial" w:eastAsia="arial" w:hAnsi="arial" w:cs="arial"/>
          <w:i/>
          <w:color w:val="000000"/>
          <w:sz w:val="20"/>
          <w:lang w:val="en-US" w:eastAsia="en-US" w:bidi="ar-SA"/>
        </w:rPr>
        <w:t>Microsoft BCSC</w:t>
      </w:r>
      <w:r>
        <w:rPr>
          <w:rFonts w:ascii="arial" w:eastAsia="arial" w:hAnsi="arial" w:cs="arial"/>
          <w:color w:val="000000"/>
          <w:sz w:val="20"/>
          <w:lang w:val="en-US" w:eastAsia="en-US" w:bidi="ar-SA"/>
        </w:rPr>
        <w:t xml:space="preserve">, Myers J. relied in making that order partly on the judgment of Masuhara J. in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BCSC 575</w:t>
        </w:r>
      </w:hyperlink>
      <w:r>
        <w:rPr>
          <w:rFonts w:ascii="arial" w:eastAsia="arial" w:hAnsi="arial" w:cs="arial"/>
          <w:color w:val="000000"/>
          <w:sz w:val="20"/>
          <w:lang w:val="en-US" w:eastAsia="en-US" w:bidi="ar-SA"/>
        </w:rPr>
        <w:t xml:space="preserve">, but that decision was later overturned on appeal precisely because Masuhara J. was found, in refusing to certify that action, to have applied the wrong test by delving too deeply into the substance of the expert opinions before him (see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leave to appeal refused: </w:t>
      </w:r>
      <w:hyperlink r:id="rId487" w:history="1">
        <w:r>
          <w:rPr>
            <w:rFonts w:ascii="arial" w:eastAsia="arial" w:hAnsi="arial" w:cs="arial"/>
            <w:i/>
            <w:color w:val="0077CC"/>
            <w:sz w:val="20"/>
            <w:u w:val="single"/>
            <w:shd w:val="clear" w:color="auto" w:fill="FFFFFF"/>
            <w:lang w:val="en-US" w:eastAsia="en-US" w:bidi="ar-SA"/>
          </w:rPr>
          <w:t>[2010] S.C.C.A. No. 32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Mills J. restricted the defendant's cross-examination to the expert's qualifications and refused to allow the defendant to examine the expert on the substance of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appears to me that, in this case, the arguments that the defendants say they wish to make in challenging the admissibility of Ms. Brown's affidavit, particularly as to her qualifications and the degree to which the opinions she renders fall outside the bounds of her expertise, can readily be made without having to resort to cross-examination. In any event, this is not a case in which the plaintiff's case for certification depends to any significant degree upon an opinion in an expert report or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therefore concluded that the proposed cross-examinations would be unlikely to assist me materially in resolving the issues properly arising on the certification application. I agree with the plaintiff that the proposed cross-examinations would, instead, unduly complicate this litigation and would risk taking the certification hearing off track and into a distracting and unhelpful inquiry into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applications for leave to cross-examine are therefore refused.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Sequencing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has been held that the certification application is, as a general rule, supposed to be the first order of business in a proposed class action: </w:t>
      </w:r>
      <w:r>
        <w:rPr>
          <w:rFonts w:ascii="arial" w:eastAsia="arial" w:hAnsi="arial" w:cs="arial"/>
          <w:i/>
          <w:color w:val="000000"/>
          <w:sz w:val="20"/>
          <w:lang w:val="en-US" w:eastAsia="en-US" w:bidi="ar-SA"/>
        </w:rPr>
        <w:t>Kwicksutaineuk/Ah-Kwa-Mish First Nation v. British Columbia (Agriculture and Lands)</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2009 BCSC 1593</w:t>
        </w:r>
      </w:hyperlink>
      <w:r>
        <w:rPr>
          <w:rFonts w:ascii="arial" w:eastAsia="arial" w:hAnsi="arial" w:cs="arial"/>
          <w:color w:val="000000"/>
          <w:sz w:val="20"/>
          <w:lang w:val="en-US" w:eastAsia="en-US" w:bidi="ar-SA"/>
        </w:rPr>
        <w:t xml:space="preserve"> at para. 59; </w:t>
      </w:r>
      <w:r>
        <w:rPr>
          <w:rFonts w:ascii="arial" w:eastAsia="arial" w:hAnsi="arial" w:cs="arial"/>
          <w:i/>
          <w:color w:val="000000"/>
          <w:sz w:val="20"/>
          <w:lang w:val="en-US" w:eastAsia="en-US" w:bidi="ar-SA"/>
        </w:rPr>
        <w:t>Gill v. Yahoo! Canada Co.</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2018 BCSC 290</w:t>
        </w:r>
      </w:hyperlink>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Despite that general rule, the court retains a discretion to allow other applications to be heard in advance of or concurrently with the certification application. In resolving disputes about the sequencing of such interlocutory applications, the result that best advances the interests of efficiency, judicial economy and the timely and fair resolution of the issues should be favoured. The factors to be considered in the exercise of this discretion were set out by Bowden J. in </w:t>
      </w:r>
      <w:r>
        <w:rPr>
          <w:rFonts w:ascii="arial" w:eastAsia="arial" w:hAnsi="arial" w:cs="arial"/>
          <w:i/>
          <w:color w:val="000000"/>
          <w:sz w:val="20"/>
          <w:lang w:val="en-US" w:eastAsia="en-US" w:bidi="ar-SA"/>
        </w:rPr>
        <w:t>Li v. British Columbia</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2017 BCSC 1616</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Cannon v. Funds for Canada Foundation</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2010 ONSC 146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application dispose of the entire proceeding or substantially narrow the issues to be determined;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likelihood of delay and increased costs associated with the application;</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outcome promote settlement;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outcome give rise to interlocutory appeals and delays that will affect certification;</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economy and efficiency; and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will scheduling the application in advance of certification promote the fair and efficient determination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defendants cite the following authorities as support for the proposition that applications such as theirs, if not heard prior to the certification hearing, are generally ordered to be heard together with it: </w:t>
      </w:r>
      <w:r>
        <w:rPr>
          <w:rFonts w:ascii="arial" w:eastAsia="arial" w:hAnsi="arial" w:cs="arial"/>
          <w:i/>
          <w:color w:val="000000"/>
          <w:sz w:val="20"/>
          <w:lang w:val="en-US" w:eastAsia="en-US" w:bidi="ar-SA"/>
        </w:rPr>
        <w:t>Lui v. Transportation Investment Corp.</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2016 BCSC 827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Merlo v. Canada (Attorney General)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2013 BCSC 1136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Tucci v. Peoples Trust Company</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2015 BCSC 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2012 BCSC 146</w:t>
        </w:r>
      </w:hyperlink>
      <w:r>
        <w:rPr>
          <w:rFonts w:ascii="arial" w:eastAsia="arial" w:hAnsi="arial" w:cs="arial"/>
          <w:color w:val="000000"/>
          <w:sz w:val="20"/>
          <w:lang w:val="en-US" w:eastAsia="en-US" w:bidi="ar-SA"/>
        </w:rPr>
        <w:t>,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Merlo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Tucci</w:t>
      </w:r>
      <w:r>
        <w:rPr>
          <w:rFonts w:ascii="arial" w:eastAsia="arial" w:hAnsi="arial" w:cs="arial"/>
          <w:color w:val="000000"/>
          <w:sz w:val="20"/>
          <w:lang w:val="en-US" w:eastAsia="en-US" w:bidi="ar-SA"/>
        </w:rPr>
        <w:t xml:space="preserve"> involved applications under Rule 9-5, not 9-6. Although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involved an application under Rule 9-6 or alternatively Rule 9-7, the issue there was whether the defendant's application should be heard prior to the certification hearing, as the defendants had proposed. Williams J. rejected that proposal and ruled instead that the applications should be heard concurrently.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some cases, it is argued that the entire action may turn on the outcome of a discrete question that can be considered separately and in advance of the certification hearing. In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Facebook, Inc.</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2012 BCSC 2097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for example, that issue was said to be the court's jurisdiction over the dispute. In </w:t>
      </w:r>
      <w:r>
        <w:rPr>
          <w:rFonts w:ascii="arial" w:eastAsia="arial" w:hAnsi="arial" w:cs="arial"/>
          <w:i/>
          <w:color w:val="000000"/>
          <w:sz w:val="20"/>
          <w:lang w:val="en-US" w:eastAsia="en-US" w:bidi="ar-SA"/>
        </w:rPr>
        <w:t>Consumers' Association et al v. Coca-Cola Bottling Company et al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2005 BCSC 1042</w:t>
        </w:r>
      </w:hyperlink>
      <w:r>
        <w:rPr>
          <w:rFonts w:ascii="arial" w:eastAsia="arial" w:hAnsi="arial" w:cs="arial"/>
          <w:color w:val="000000"/>
          <w:sz w:val="20"/>
          <w:lang w:val="en-US" w:eastAsia="en-US" w:bidi="ar-SA"/>
        </w:rPr>
        <w:t>, the defendants sought to address a question of statutory interpretation that had the potential, if answered in their favour, to undermine the entire basis of the plaintiff's claim. This is not such a case,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not persuaded that the defendants' authorities support their submission that Rule 9-6 applications are, as a general rule, heard together with the certification application if they are not going to be heard before it. On the contrary, the default presumption is that the certification application will be heard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case, I have no difficulty in directing that the defendants' applications under Rule 9-5 should be heard together with the certification application, given that the first branch of the certification test covers essentially the same ground in any event. The more difficult question involves the appropriate sequencing of the defendants' applications under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important to bear the distinctions between the two applications in mind. Rule 9-6 states in relevant part as follows:</w:t>
      </w:r>
      <w:r>
        <w:rPr>
          <w:rFonts w:ascii="arial" w:eastAsia="arial" w:hAnsi="arial" w:cs="arial"/>
          <w:sz w:val="20"/>
          <w:lang w:val="en-US" w:eastAsia="en-US" w:bidi="ar-SA"/>
        </w:rPr>
        <w:cr/>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test to be applied on an application under Rule 9-6(4) was summarised by Saunders J.A., writing for the court, in </w:t>
      </w:r>
      <w:r>
        <w:rPr>
          <w:rFonts w:ascii="arial" w:eastAsia="arial" w:hAnsi="arial" w:cs="arial"/>
          <w:i/>
          <w:color w:val="000000"/>
          <w:sz w:val="20"/>
          <w:lang w:val="en-US" w:eastAsia="en-US" w:bidi="ar-SA"/>
        </w:rPr>
        <w:t>McLean v. Law Society of British Columbia</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2016 BCCA 368</w:t>
        </w:r>
      </w:hyperlink>
      <w:r>
        <w:rPr>
          <w:rFonts w:ascii="arial" w:eastAsia="arial" w:hAnsi="arial" w:cs="arial"/>
          <w:color w:val="000000"/>
          <w:sz w:val="20"/>
          <w:lang w:val="en-US" w:eastAsia="en-US" w:bidi="ar-SA"/>
        </w:rPr>
        <w:t>. One of the issues that arose on appeal in that case was whether the chambers judge had erred in assuming that a conflict in the evidence precluded an order dismissing the claim under this rule. The Court held that the chambers judge had indeed erred in that regard. Saunders J.A. explained the task of a chambers judge in disposing of a Rule 9-6 application as follows, at paras. 36-38: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In my respectful view, the judge erred in principle in saying the rule was not available when there are disputed facts in the pleadings and in declining to consider the evidence on the Rule 9-6 application. In [</w:t>
      </w:r>
      <w:r>
        <w:rPr>
          <w:rFonts w:ascii="arial" w:eastAsia="arial" w:hAnsi="arial" w:cs="arial"/>
          <w:i/>
          <w:color w:val="000000"/>
          <w:sz w:val="20"/>
          <w:lang w:val="en-US" w:eastAsia="en-US" w:bidi="ar-SA"/>
        </w:rPr>
        <w:t>Canada v. Lameman</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the Supreme Court of Canada explained the importance of the summary judgment rule. This Rule has advantages to the administration of justice that are different from those provided by a summary trial such as we have long had in British Columbia.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This appeal is from an application for summary judgment. 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 Conversely, it is essential to justice that claims disclosing real issues that may be successful proceed to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For this reason, the bar on a motion for summary judgment is high. The defendant who seeks summary dismissal bears the evidentiary burden of showing that there is "no genuine issue of material fact requiring trial":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27. The defendant must prove this; it cannot rely on mere allegations or the pleadings: </w:t>
      </w:r>
      <w:r>
        <w:rPr>
          <w:rFonts w:ascii="arial" w:eastAsia="arial" w:hAnsi="arial" w:cs="arial"/>
          <w:i/>
          <w:color w:val="000000"/>
          <w:sz w:val="20"/>
          <w:lang w:val="en-US" w:eastAsia="en-US" w:bidi="ar-SA"/>
        </w:rPr>
        <w:t>1061590 Ontario Ltd. v. Ontario Jockey Club</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(1995), 21 O.R. (3d) 547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Tucson Properties Ltd. v. Sentry Resources Ltd</w:t>
      </w:r>
      <w:r>
        <w:rPr>
          <w:rFonts w:ascii="arial" w:eastAsia="arial" w:hAnsi="arial" w:cs="arial"/>
          <w:color w:val="000000"/>
          <w:sz w:val="20"/>
          <w:lang w:val="en-US" w:eastAsia="en-US" w:bidi="ar-SA"/>
        </w:rPr>
        <w:t xml:space="preserve">. (1982), </w:t>
      </w:r>
      <w:hyperlink r:id="rId286" w:history="1">
        <w:r>
          <w:rPr>
            <w:rFonts w:ascii="arial" w:eastAsia="arial" w:hAnsi="arial" w:cs="arial"/>
            <w:i/>
            <w:color w:val="0077CC"/>
            <w:sz w:val="20"/>
            <w:u w:val="single"/>
            <w:shd w:val="clear" w:color="auto" w:fill="FFFFFF"/>
            <w:lang w:val="en-US" w:eastAsia="en-US" w:bidi="ar-SA"/>
          </w:rPr>
          <w:t>22 Alta. L.R. (2d) 44</w:t>
        </w:r>
      </w:hyperlink>
      <w:r>
        <w:rPr>
          <w:rFonts w:ascii="arial" w:eastAsia="arial" w:hAnsi="arial" w:cs="arial"/>
          <w:color w:val="000000"/>
          <w:sz w:val="20"/>
          <w:lang w:val="en-US" w:eastAsia="en-US" w:bidi="ar-SA"/>
        </w:rPr>
        <w:t xml:space="preserve"> (Q.B. (Master)), at pp. 46-47. If the defendant does prove this, the plaintiff must either refute or counter the defendant's evidence, or risk summary dismissal: </w:t>
      </w:r>
      <w:r>
        <w:rPr>
          <w:rFonts w:ascii="arial" w:eastAsia="arial" w:hAnsi="arial" w:cs="arial"/>
          <w:i/>
          <w:color w:val="000000"/>
          <w:sz w:val="20"/>
          <w:lang w:val="en-US" w:eastAsia="en-US" w:bidi="ar-SA"/>
        </w:rPr>
        <w:t>Murphy Oil Co. v. Predator Corp.</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(2004), 365 A.R. 326</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2004 ABQB 688</w:t>
        </w:r>
      </w:hyperlink>
      <w:r>
        <w:rPr>
          <w:rFonts w:ascii="arial" w:eastAsia="arial" w:hAnsi="arial" w:cs="arial"/>
          <w:color w:val="000000"/>
          <w:sz w:val="20"/>
          <w:lang w:val="en-US" w:eastAsia="en-US" w:bidi="ar-SA"/>
        </w:rPr>
        <w:t xml:space="preserve">, at p. 331, aff'd (2006), </w:t>
      </w:r>
      <w:hyperlink r:id="rId288" w:history="1">
        <w:r>
          <w:rPr>
            <w:rFonts w:ascii="arial" w:eastAsia="arial" w:hAnsi="arial" w:cs="arial"/>
            <w:i/>
            <w:color w:val="0077CC"/>
            <w:sz w:val="20"/>
            <w:u w:val="single"/>
            <w:shd w:val="clear" w:color="auto" w:fill="FFFFFF"/>
            <w:lang w:val="en-US" w:eastAsia="en-US" w:bidi="ar-SA"/>
          </w:rPr>
          <w:t>55 Alta. L.R. (4th) 1</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ABCA 69</w:t>
        </w:r>
      </w:hyperlink>
      <w:r>
        <w:rPr>
          <w:rFonts w:ascii="arial" w:eastAsia="arial" w:hAnsi="arial" w:cs="arial"/>
          <w:color w:val="000000"/>
          <w:sz w:val="20"/>
          <w:lang w:val="en-US" w:eastAsia="en-US" w:bidi="ar-SA"/>
        </w:rPr>
        <w:t xml:space="preserve">. Each side must 'put its best foot forward' with respect to the existence or non-existence of material issues to be tried: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(Gen. Div.), at p. 434; </w:t>
      </w:r>
      <w:r>
        <w:rPr>
          <w:rFonts w:ascii="arial" w:eastAsia="arial" w:hAnsi="arial" w:cs="arial"/>
          <w:i/>
          <w:color w:val="000000"/>
          <w:sz w:val="20"/>
          <w:lang w:val="en-US" w:eastAsia="en-US" w:bidi="ar-SA"/>
        </w:rPr>
        <w:t>Goudie v. Ottawa (City)</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1 S.C.R. 141</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SCC 14</w:t>
        </w:r>
      </w:hyperlink>
      <w:r>
        <w:rPr>
          <w:rFonts w:ascii="arial" w:eastAsia="arial" w:hAnsi="arial" w:cs="arial"/>
          <w:color w:val="000000"/>
          <w:sz w:val="20"/>
          <w:lang w:val="en-US" w:eastAsia="en-US" w:bidi="ar-SA"/>
        </w:rPr>
        <w:t xml:space="preserve">, at para. 32. The chambers judge may make inferences of fact based on the undisputed facts before the court, as long as the inferences are strongly supported by the facts: </w:t>
      </w:r>
      <w:r>
        <w:rPr>
          <w:rFonts w:ascii="arial" w:eastAsia="arial" w:hAnsi="arial" w:cs="arial"/>
          <w:i/>
          <w:color w:val="000000"/>
          <w:sz w:val="20"/>
          <w:lang w:val="en-US" w:eastAsia="en-US" w:bidi="ar-SA"/>
        </w:rPr>
        <w:t>Guarantee Co. of North America</w:t>
      </w:r>
      <w:r>
        <w:rPr>
          <w:rFonts w:ascii="arial" w:eastAsia="arial" w:hAnsi="arial" w:cs="arial"/>
          <w:color w:val="000000"/>
          <w:sz w:val="20"/>
          <w:lang w:val="en-US" w:eastAsia="en-US" w:bidi="ar-SA"/>
        </w:rPr>
        <w:t>,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we said concerning the differences between Rule 9-5 and 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Century Services sought summary judgment pursuant to Rule 9-6, ... In making this submission it relies upon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Investments Ltd. v. Metro Motors Ltd.</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I do not consider, as a general approach, that it is helpful to conflate the various rules. Rule 9-6 is a rule distinct from Rule 9-5; a challenge to pleadings is effected by Rule 9-5, whereas Rule 9-6 allows for the summary determination of a claim in a procedure that engages evidence but does not assume the character of a summary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different character of the rules for summary judgment and striking pleadings was described well by Mr. Justice Low in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[9] Rules 9-5 and 9-6 are quite different. The former is an attack on the pleadings on the basis that the action or the defence, as pleaded, cannot succeed as a matter of law. It raises a matter of law only. The latter is an assertion that the claim or the defence is factually without merit. It raises an issue of fact only or, at most, an issue of mixed fact and law, unless under subrule (5)(c) the court determines that "the only genuine issue is an issue of law", in which case it "may determine the question [of law] and pronounce judgment accordingly."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Rule 9-5 is concerned only with the sufficiency of pleadings. ... An order striking a pleading could not be the basis for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defence in subsequent proceedings.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Rule 9-6 permits an application for summary judgment, either allowing a claim in whole or in part or dismissing a claim in whole or in part. It is clear that the result sought by the application would support a future pleading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With these passages in mind, I conclude that the judge applied the wrong test in her paragraphs 36, 55 and 71 in speaking of Rule 9-6. She did not ask whether Mr. McLean, in the words of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and consistent with Rule 9-6, "put [his] best foot forward" with respect to the existence of material facts. It is clear from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that he cannot rely upon mere allegations in his notice of civil claim to answer the evidence of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requirement that each side "put its best foot forward" on a summary judgment application under Rule 9-6 may not always blend well with the more limited kind of inquiry that is mandated by the authorities on a certification application. As previously discussed, the plaintiff's obligation on certification is merely to establish that there is "some basis in fact" supporting the elements of the certification test other than the requirement to show a viable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There are therefore two competing principles in play in these circumstances. On the one hand, the certification hearing is generally not the proper forum for an extraneous debate about the merits of the claim. On the other hand, it would not serve the interests of fairness, efficiency or judicial economy to allow a claim to proceed through certification with no realistic chance of success on the merits. It is therefore not surprising that, in applying the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factors here, the analysis leads to mixed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I agree with the plaintiff that the defendants' applications cannot resolve the entire action, regardless of their outcome. But I do accept that the issues to be litigated in the action could be narrowed significantly if they are successful, even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Second, although the plaintiff says that the certification application is urgent because the proposed class members are chronically ill and suffer from a life shortening illness, I agree with the defendants that the alleged urgency must be considered in the context of the delay that occurred from the date of the Incident until this action was commenced (just under one year later) and from then until the certification application was filed (another year after that). While I am not persuaded that hearing the applications together will cause significant further delay, I do accept that doing so will be likely to increase the complexity and cost of the certification hearing, insofar as it could devolve into what it is not supposed to be: that is, a debate about "the viability or strength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Third, I agree with the defendants that an early resolution of the issues they raise could assist the parties in arriving at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Fourth, I agree with the plaintiff that there is a possibility of additional appeals or cross-appeals being launched if the applications are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Having considered the factors enumerated under the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test, I turn finally to my conclusions on the sequencing issue and the basis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concluded that the defendants' applications to strike parts of the plaintiff's claim under Rule 9-5 should be heard concurrently with the certification application. The questions raised on those applications are subsumed within the first branch of the certification test anyway, and it would make no sense to hold two separate hearings covering what is essentially the same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the defendants' applications under Rule 9-6, however, I have concluded that only UBC and PHCS should be allowed to apply at the certification hearing for summary judgment. That is because virtually all of the plaintiff's evidence of recklessness is referable exclusively to PLS. There is little if any evidence adduced to support a finding of recklessness on the part of UBC or PHCS. Their application for summary judgment is therefore likely to be much simpler and, if successful, has the potential to reduce significantly the number of issues to be tried in the action and the extent of their continued involvement in it. On the other hand, PLS' application for summary judgment cannot be decided without resolving the many conflicts in the evidence identified earlier in these reasons. I have already concluded, in dismissing the defendants' related applications for leave to cross-examine, that attempting to do that at the certification stage would not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applications under Rule 22-1 seeking leave to cross examine the plaintiff's affiants are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applications to strike parts of the plaintiff's claim under Rule 9-5 and the application of UBC and PHCS for summary judgment under Rule 9-6 are to be heard concurrently with the certification application. The hearing of PLS' application for summary judgment under Rule 9-6 must await the resolution of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has leave to file amended responses to the defendants'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W.B. MILMAN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Joy v. Atkinson, [2008] B.C.J. No. 1127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3,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3,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M043125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1127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776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168 A.C.W.S. (3d) 971</w:t>
      </w:r>
    </w:p>
    <w:p>
      <w:pPr>
        <w:spacing w:before="120" w:line="260" w:lineRule="atLeast"/>
        <w:rPr>
          <w:lang w:val="en-US" w:eastAsia="en-US" w:bidi="ar-SA"/>
        </w:rPr>
      </w:pPr>
      <w:r>
        <w:rPr>
          <w:rFonts w:ascii="arial" w:eastAsia="arial" w:hAnsi="arial" w:cs="arial"/>
          <w:color w:val="000000"/>
          <w:sz w:val="20"/>
          <w:lang w:val="en-US" w:eastAsia="en-US" w:bidi="ar-SA"/>
        </w:rPr>
        <w:t>Between Eugenis Joy aka Geno Joy, Plaintiff, and Burton Atkinson and Robert Atkinson,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 paras.)</w:t>
      </w:r>
    </w:p>
    <w:p>
      <w:pPr>
        <w:jc w:val="both"/>
        <w:rPr>
          <w:lang w:val="en-US" w:eastAsia="en-US" w:bidi="ar-SA"/>
        </w:rPr>
      </w:pPr>
      <w:bookmarkStart w:id="83" w:name="Counsel_22"/>
      <w:bookmarkEnd w:id="8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5" style="position:absolute;z-index:2516869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M.P. Maryn and Y.S. Wong.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L.G. Harris.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 Gill.</w:t>
      </w:r>
      <w:r>
        <w:rPr>
          <w:lang w:val="en-US" w:eastAsia="en-US" w:bidi="ar-SA"/>
        </w:rPr>
        <w:cr/>
      </w:r>
    </w:p>
    <w:p>
      <w:pPr>
        <w:spacing w:after="240"/>
        <w:rPr>
          <w:lang w:val="en-US" w:eastAsia="en-US" w:bidi="ar-SA"/>
        </w:rPr>
      </w:pPr>
      <w:bookmarkStart w:id="84" w:name="Judgment_22"/>
      <w:bookmarkEnd w:id="84"/>
      <w:r>
        <w:pict>
          <v:line id="_x0000_s1106" style="position:absolute;z-index:25173811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5" w:name="F.W. COLE J. (orally)"/>
            <w:bookmarkEnd w:id="85"/>
            <w:r>
              <w:rPr>
                <w:rFonts w:ascii="arial" w:eastAsia="arial" w:hAnsi="arial" w:cs="arial"/>
                <w:b/>
                <w:color w:val="000000"/>
                <w:sz w:val="30"/>
                <w:lang w:val="en-US" w:eastAsia="en-US" w:bidi="ar-SA"/>
              </w:rPr>
              <w:t>F.W. COLE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for a mistrial.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admitted. The opening comments of plaintiff's counsel to the jury referred to the defendant as breaking the rules of the road and how the defendant must pay for breaching the rules of the road. He referred to the defendant as falling asleep at the wheel of his car, causing the accident. The general theme of the plaintiff's opening comments was such as to create an atmosphere of sympathy for the plaintiff. The defendant takes the position that under these circumstances no warning would be adequate.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am very reluctant to order a mistrial, but I am satisfied that the plaintiff's counsel did go over the line in his opening. The damage that has been caused to the jury may be significant, but no one can ever tell. I am satisfied that a warning would not be appropriate. I feel that the only fair thing to do is to err on the side of caution. I am reluctant to declare a mistrial, but in these circumstances it appears to me to be the only fair thing to do.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F.W. COLE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J.R.T. Nurseries Inc. v. 0843374 B.C. Ltd., [2016] B.C.J. No. 578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 and 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S-S-143752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501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J.R.T. Nurseries Inc., Jagjit Aujla, Jaspal Aujla, J.R.T. Nurseries (US) Inc., and Dezwaan Nurseries Ltd., Plaintiffs, and 0843374 B.C.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jc w:val="both"/>
        <w:rPr>
          <w:rFonts w:ascii="arial" w:eastAsia="arial" w:hAnsi="arial" w:cs="arial"/>
          <w:sz w:val="20"/>
          <w:lang w:val="en-US" w:eastAsia="en-US" w:bidi="ar-SA"/>
        </w:rPr>
      </w:pPr>
      <w:bookmarkStart w:id="86" w:name="Counsel_23"/>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Scott Stanley, Stephen E. Gibson, Joseph M. Prodor.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Timothy C. Hinkson, Jordan A. Bank.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23"/>
      <w:bookmarkEnd w:id="87"/>
      <w:r>
        <w:pict>
          <v:line id="_x0000_s1109" style="position:absolute;z-index:2517391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 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J.C. GRAUER J."/>
            <w:bookmarkEnd w:id="88"/>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growers and wholesalers of seedling blueberry plants and ornamental Japanese Maple trees. In the years 2007 and 2008, they applied a new brand of fertilizer to their plants, called Multicote, which they obtained from the defendant, a wholesale supplier of horticulture products then called Terralink Horticulture Inc. and now called 0843374 B.C. Ltd. In these Reasons, I will refer to the defendant as Terralink.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result was a disaster. The application of Multicote killed the plants, or stunted their growth. It seems that while the fertilizer would have worked satisfactorily in the field, it was not suitable for the plaintiffs' purpose of fertilizing seedlings in containers. As a result, the plaintiffs lost a good deal of money. So they sued, commencing two actions in Oregon and this one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actions commenced in Oregon were consolidated, tried and completed. Terralink was not a defendant in those proceedings. The principal defendants were the designers and manufacturers of the fertilizer, Wilbur-Ellis Company and Sun-Gro Horticulture (the latter was also the packager and distributor of the fertilizer). Sun-Gro supplied the Multicote fertilizer to Terralink, who sold it to the plaintiffs, and the plaintiffs alleged that in all their dealings, Terralink had acted as the agent of Sun-Gro.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accordance with Oregon law, the plaintiffs set out their estimated damages in their complaint, specifying the sum of $40,150,000. In the result, a jury awarded damages of $39,000,000, subsequently reduced to just over $31,000,000 to deduct prejudgment interest. The jury had found contributory fault on the part of the plaintiffs to the extent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sides appealed, but the appeals were abandoned upon the parties reaching a settlement that saw the plaintiffs collect approximately $27,000,000.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action in this court remained in abeyance while the plaintiffs proceeded in Oregon. The plaintiffs now seek to pursue their claim here against Terralink for losses they say they suffered in excess of the damages they recovered in Oregon, including prejudgment interest that I am told was unavailable under Oregon law for the type of damages awarded. They rely on the same facts and on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The trial is scheduled for 25 days commencing May 30,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these circumstances, Terralink applies for an order dismissing the action on the ground that it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by either cause of action estoppel or issue estoppel, or in the alternative, that it constitutes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question raised is whether these principles operate to bar this claim in the unusual circumstances presented here, where a plaintiff who successfully pursued a claim for losses arising out of a set of events seeks to pursue a second action against a different defendant for a different quantification of those same losses arising out of the same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For the reasons that follow, I have concluded that the claim is barred on the basis of cause of action estoppel, a branch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doctrine was explained in </w:t>
      </w:r>
      <w:r>
        <w:rPr>
          <w:rFonts w:ascii="arial" w:eastAsia="arial" w:hAnsi="arial" w:cs="arial"/>
          <w:i/>
          <w:color w:val="000000"/>
          <w:sz w:val="20"/>
          <w:lang w:val="en-US" w:eastAsia="en-US" w:bidi="ar-SA"/>
        </w:rPr>
        <w:t>Innes v Bui</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2010 BCCA 322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Fournogerakis v. Barlow</w:t>
            </w:r>
            <w:r>
              <w:rPr>
                <w:rFonts w:ascii="arial" w:eastAsia="arial" w:hAnsi="arial" w:cs="arial"/>
                <w:color w:val="000000"/>
                <w:sz w:val="18"/>
                <w:lang w:val="en-US" w:eastAsia="en-US" w:bidi="ar-SA"/>
              </w:rPr>
              <w:t xml:space="preserve">, </w:t>
            </w:r>
            <w:hyperlink r:id="rId515" w:history="1">
              <w:r>
                <w:rPr>
                  <w:rFonts w:ascii="arial" w:eastAsia="arial" w:hAnsi="arial" w:cs="arial"/>
                  <w:i/>
                  <w:color w:val="0077CC"/>
                  <w:sz w:val="18"/>
                  <w:u w:val="single"/>
                  <w:shd w:val="clear" w:color="auto" w:fill="FFFFFF"/>
                  <w:lang w:val="en-US" w:eastAsia="en-US" w:bidi="ar-SA"/>
                </w:rPr>
                <w:t>2008 BCCA 223</w:t>
              </w:r>
            </w:hyperlink>
            <w:r>
              <w:rPr>
                <w:rFonts w:ascii="arial" w:eastAsia="arial" w:hAnsi="arial" w:cs="arial"/>
                <w:color w:val="000000"/>
                <w:sz w:val="18"/>
                <w:lang w:val="en-US" w:eastAsia="en-US" w:bidi="ar-SA"/>
              </w:rPr>
              <w:t xml:space="preserve">, </w:t>
            </w:r>
            <w:hyperlink r:id="rId515" w:history="1">
              <w:r>
                <w:rPr>
                  <w:rFonts w:ascii="arial" w:eastAsia="arial" w:hAnsi="arial" w:cs="arial"/>
                  <w:i/>
                  <w:color w:val="0077CC"/>
                  <w:sz w:val="18"/>
                  <w:u w:val="single"/>
                  <w:shd w:val="clear" w:color="auto" w:fill="FFFFFF"/>
                  <w:lang w:val="en-US" w:eastAsia="en-US" w:bidi="ar-SA"/>
                </w:rPr>
                <w:t>(2008) 80 B.C.L.R. (4th) 290</w:t>
              </w:r>
            </w:hyperlink>
            <w:r>
              <w:rPr>
                <w:rFonts w:ascii="arial" w:eastAsia="arial" w:hAnsi="arial" w:cs="arial"/>
                <w:color w:val="000000"/>
                <w:sz w:val="18"/>
                <w:lang w:val="en-US" w:eastAsia="en-US" w:bidi="ar-SA"/>
              </w:rPr>
              <w:t xml:space="preserve">, Lowry J.A. stated this broad definition of the defence of </w:t>
            </w:r>
            <w:r>
              <w:rPr>
                <w:rFonts w:ascii="arial" w:eastAsia="arial" w:hAnsi="arial" w:cs="arial"/>
                <w:i/>
                <w:color w:val="000000"/>
                <w:sz w:val="18"/>
                <w:lang w:val="en-US" w:eastAsia="en-US" w:bidi="ar-SA"/>
              </w:rPr>
              <w:t>res judicata</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Where it applies,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serves as an equitable estoppel. Its purpose is to ensure justice is done, prevent abuse of process, and fulfill the societal interest of finalizing litigation. The court retains a discretion to refuse to apply the principle where in special circumstances a rigid application would frustrate its purpose: </w:t>
      </w:r>
      <w:r>
        <w:rPr>
          <w:rFonts w:ascii="arial" w:eastAsia="arial" w:hAnsi="arial" w:cs="arial"/>
          <w:i/>
          <w:color w:val="000000"/>
          <w:sz w:val="20"/>
          <w:lang w:val="en-US" w:eastAsia="en-US" w:bidi="ar-SA"/>
        </w:rPr>
        <w:t>Arnold v. National Westminster Bank Plc.</w:t>
      </w:r>
      <w:r>
        <w:rPr>
          <w:rFonts w:ascii="arial" w:eastAsia="arial" w:hAnsi="arial" w:cs="arial"/>
          <w:color w:val="000000"/>
          <w:sz w:val="20"/>
          <w:lang w:val="en-US" w:eastAsia="en-US" w:bidi="ar-SA"/>
        </w:rPr>
        <w:t>, [1991] 2 A.C. 93 (H.L.) at 109-111.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There are two forms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cause of action estoppel and issue estoppel. Both operate where the court has adjudicated a cause of action between two or more parties and one of them seeks to re-litigate on the same facts. Where the cause of action is the same, cause of action estoppel operates to prevent re-litigation of any matter that was raised or should have been raised in the prior proceeding. Where the cause of action in the two proceedings is different, issue estoppel operates to prevent re-litigation of any issue determined in the prior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pre-conditions to making out issue estoppel are stated in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254: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Lord Guest in </w:t>
      </w:r>
      <w:r>
        <w:rPr>
          <w:rFonts w:ascii="arial" w:eastAsia="arial" w:hAnsi="arial" w:cs="arial"/>
          <w:i/>
          <w:color w:val="000000"/>
          <w:sz w:val="20"/>
          <w:lang w:val="en-US" w:eastAsia="en-US" w:bidi="ar-SA"/>
        </w:rPr>
        <w:t>Carl Zeiss Stiftung v. Rayner &amp; Keeler Ltd. (No. 2)</w:t>
      </w:r>
      <w:r>
        <w:rPr>
          <w:rFonts w:ascii="arial" w:eastAsia="arial" w:hAnsi="arial" w:cs="arial"/>
          <w:color w:val="000000"/>
          <w:sz w:val="20"/>
          <w:lang w:val="en-US" w:eastAsia="en-US" w:bidi="ar-SA"/>
        </w:rPr>
        <w:t>, at p. 935, defined the requirements of issue estoppel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(1) that the same question has been decided; (2) that the judicial decision which is said to create the estoppel was final; and, (3) that the parties to the judicial decision or their privies were the same persons as the parties to the proceedings in which the estoppel is raised or their privies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pre-conditions for cause of action estoppel were described this way in </w:t>
      </w: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Although grounded in the same basic considerations, each form involves, or has traditionally involved, criteria that have been expressed in slightly different terms. The traditional criteria for cause of action estoppel, confirmed in Canada in </w:t>
      </w:r>
      <w:r>
        <w:rPr>
          <w:rFonts w:ascii="arial" w:eastAsia="arial" w:hAnsi="arial" w:cs="arial"/>
          <w:i/>
          <w:color w:val="000000"/>
          <w:sz w:val="20"/>
          <w:lang w:val="en-US" w:eastAsia="en-US" w:bidi="ar-SA"/>
        </w:rPr>
        <w:t>Angle, supra</w:t>
      </w:r>
      <w:r>
        <w:rPr>
          <w:rFonts w:ascii="arial" w:eastAsia="arial" w:hAnsi="arial" w:cs="arial"/>
          <w:color w:val="000000"/>
          <w:sz w:val="20"/>
          <w:lang w:val="en-US" w:eastAsia="en-US" w:bidi="ar-SA"/>
        </w:rPr>
        <w:t xml:space="preserve">, were summarized by Chief Justice Hewak in </w:t>
      </w:r>
      <w:r>
        <w:rPr>
          <w:rFonts w:ascii="arial" w:eastAsia="arial" w:hAnsi="arial" w:cs="arial"/>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at 34,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(1987) 45 D.L.R. (4th) 766</w:t>
        </w:r>
      </w:hyperlink>
      <w:r>
        <w:rPr>
          <w:rFonts w:ascii="arial" w:eastAsia="arial" w:hAnsi="arial" w:cs="arial"/>
          <w:color w:val="000000"/>
          <w:sz w:val="20"/>
          <w:lang w:val="en-US" w:eastAsia="en-US" w:bidi="ar-SA"/>
        </w:rPr>
        <w:t xml:space="preserve"> (Man. C.A.), as taken from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a </w:t>
      </w:r>
      <w:r>
        <w:rPr>
          <w:rFonts w:ascii="arial" w:eastAsia="arial" w:hAnsi="arial" w:cs="arial"/>
          <w:color w:val="000000"/>
          <w:sz w:val="20"/>
          <w:u w:val="single"/>
          <w:lang w:val="en-US" w:eastAsia="en-US" w:bidi="ar-SA"/>
        </w:rPr>
        <w:t>final decision</w:t>
      </w:r>
      <w:r>
        <w:rPr>
          <w:rFonts w:ascii="arial" w:eastAsia="arial" w:hAnsi="arial" w:cs="arial"/>
          <w:color w:val="000000"/>
          <w:sz w:val="20"/>
          <w:lang w:val="en-US" w:eastAsia="en-US" w:bidi="ar-SA"/>
        </w:rPr>
        <w:t xml:space="preserve"> of a court of competent jurisdiction in the prior action [the requirement of "finality"];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[the requirement of "mutuality"];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and the prior action must not be separate and distinct;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basis</w:t>
      </w:r>
      <w:r>
        <w:rPr>
          <w:rFonts w:ascii="arial" w:eastAsia="arial" w:hAnsi="arial" w:cs="arial"/>
          <w:color w:val="000000"/>
          <w:sz w:val="20"/>
          <w:lang w:val="en-US" w:eastAsia="en-US" w:bidi="ar-SA"/>
        </w:rPr>
        <w:t xml:space="preserve"> of the cause of action and the subsequent action was argued or </w:t>
      </w:r>
      <w:r>
        <w:rPr>
          <w:rFonts w:ascii="arial" w:eastAsia="arial" w:hAnsi="arial" w:cs="arial"/>
          <w:color w:val="000000"/>
          <w:sz w:val="20"/>
          <w:u w:val="single"/>
          <w:lang w:val="en-US" w:eastAsia="en-US" w:bidi="ar-SA"/>
        </w:rPr>
        <w:t>could have been argued in the prior action if the parties had exercised reasonable diligence</w:t>
      </w:r>
      <w:r>
        <w:rPr>
          <w:rFonts w:ascii="arial" w:eastAsia="arial" w:hAnsi="arial" w:cs="arial"/>
          <w:color w:val="000000"/>
          <w:sz w:val="20"/>
          <w:lang w:val="en-US" w:eastAsia="en-US" w:bidi="ar-SA"/>
        </w:rPr>
        <w:t>. [At para. 6;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perhaps unnecessary to state that the doctrine contemplates two "causes" -- the first having ended in a final judgment that bars a "second claim for the same cause": see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paras. 23-4. In this context, "cause of action" does not refer to the name or classification given to the wrong or remedy, but to a factual situation which entitles one to a remedy: see also Lange at 147; </w:t>
      </w:r>
      <w:r>
        <w:rPr>
          <w:rFonts w:ascii="arial" w:eastAsia="arial" w:hAnsi="arial" w:cs="arial"/>
          <w:i/>
          <w:color w:val="000000"/>
          <w:sz w:val="20"/>
          <w:lang w:val="en-US" w:eastAsia="en-US" w:bidi="ar-SA"/>
        </w:rPr>
        <w:t>Comeau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Breau</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(1994) 145 N.B.R. (2d) 329</w:t>
        </w:r>
      </w:hyperlink>
      <w:r>
        <w:rPr>
          <w:rFonts w:ascii="arial" w:eastAsia="arial" w:hAnsi="arial" w:cs="arial"/>
          <w:color w:val="000000"/>
          <w:sz w:val="20"/>
          <w:lang w:val="en-US" w:eastAsia="en-US" w:bidi="ar-SA"/>
        </w:rPr>
        <w:t xml:space="preserve"> (C.A.) at para. 18; and </w:t>
      </w:r>
      <w:r>
        <w:rPr>
          <w:rFonts w:ascii="arial" w:eastAsia="arial" w:hAnsi="arial" w:cs="arial"/>
          <w:i/>
          <w:color w:val="000000"/>
          <w:sz w:val="20"/>
          <w:lang w:val="en-US" w:eastAsia="en-US" w:bidi="ar-SA"/>
        </w:rPr>
        <w:t>Letang v. Cooper</w:t>
      </w:r>
      <w:r>
        <w:rPr>
          <w:rFonts w:ascii="arial" w:eastAsia="arial" w:hAnsi="arial" w:cs="arial"/>
          <w:color w:val="000000"/>
          <w:sz w:val="20"/>
          <w:lang w:val="en-US" w:eastAsia="en-US" w:bidi="ar-SA"/>
        </w:rPr>
        <w:t xml:space="preserve"> [1965] 1 Q.B. 222 (C.A.) at 242-43.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and bracketed comments added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Are the criteria for cause of action estoppel met in this case? The onus is on the defendant to show that they are. In my view, the defendant has done so. I will consider each criterion, and then turn to the question of whether the application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would be unjust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2.1 </w:t>
      </w:r>
      <w:r>
        <w:rPr>
          <w:rFonts w:ascii="arial" w:eastAsia="arial" w:hAnsi="arial" w:cs="arial"/>
          <w:b/>
          <w:color w:val="000000"/>
          <w:sz w:val="20"/>
          <w:u w:val="single"/>
          <w:lang w:val="en-US" w:eastAsia="en-US" w:bidi="ar-SA"/>
        </w:rPr>
        <w:t>There was a final decision in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Oregon proceedings culminated in a General Judgment in favour of the plaintiffs against Sun-Gro and Wilbur Ellis. The plaintiffs' damages were assessed as follows (all amounts were assessed in Canadian dollars):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JRT Nurseries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1359"/>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 economic losses: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$6,327,000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indirect/consequential economic losses: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$11,275,000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82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prejudgment interest: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$2,510,000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JRT Nurseries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1359"/>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 economic losses: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$5,579,000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indirect/consequential economic losses: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$11,275,000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464"/>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prejudgment interest: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DeZwaan Nurseries: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1150"/>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 economic losses: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$241,060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 subsequent ruling, the court struck the jury's award of prejudgment interest. An Amended General Judgment was accordingly entered for the damages as assessed, excluding prejudgment interest. After taking into account contributory fault in relation to the claim of the JRT plaintiffs, the total judgment came to $31,251,460 plus costs and disbursements, and post-judgment interest at the rate of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sides appealed, but the appeals were abandoned when the parties settled for a compromise amount. In the result, certificates were filed in the trial court indicating that the "money award and judgment and costs" entered against the defendants had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argue that a judgment is not final if it is appealed, and because this one was appealed, and the appeal was settled, there was in effect no final judgment. They rely on the judgment of O'Sullivan J.A. in </w:t>
      </w:r>
      <w:r>
        <w:rPr>
          <w:rFonts w:ascii="arial" w:eastAsia="arial" w:hAnsi="arial" w:cs="arial"/>
          <w:i/>
          <w:color w:val="000000"/>
          <w:sz w:val="20"/>
          <w:lang w:val="en-US" w:eastAsia="en-US" w:bidi="ar-SA"/>
        </w:rPr>
        <w:t>Solomon v Smith</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(1987), 45 DLR (4th) 266</w:t>
        </w:r>
      </w:hyperlink>
      <w:r>
        <w:rPr>
          <w:rFonts w:ascii="arial" w:eastAsia="arial" w:hAnsi="arial" w:cs="arial"/>
          <w:color w:val="000000"/>
          <w:sz w:val="20"/>
          <w:lang w:val="en-US" w:eastAsia="en-US" w:bidi="ar-SA"/>
        </w:rPr>
        <w:t xml:space="preserve"> at 269 (Man CA), where he stated in connection with the criteria necessary to establish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I do not regard the Alberta judgment as a final one because it was appealed and settled. What the basis of the settlement was, we cannot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is a case which should be allowed to proceed in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Justice O'Sullivan was, however, delivering a dissenting judgment. The majority barred the action as an abuse of process, finding that issue estoppel was not available because of lack of mutuality. The criterion of the finality of the judicial decision did not trouble them. In these circumstances, I do not consider O'Sullivan J.A.'s statement to be authority for the proposition that the plaintiffs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accept that a trial judgment cannot be considered final for the purposes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if it is under appeal; see, for instance, </w:t>
      </w:r>
      <w:r>
        <w:rPr>
          <w:rFonts w:ascii="arial" w:eastAsia="arial" w:hAnsi="arial" w:cs="arial"/>
          <w:i/>
          <w:color w:val="000000"/>
          <w:sz w:val="20"/>
          <w:lang w:val="en-US" w:eastAsia="en-US" w:bidi="ar-SA"/>
        </w:rPr>
        <w:t>Grant McLeod Contracting Ltd v Forestech Industries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2008 BCSC 756</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But where the appeal is abandoned, the judgment is no longer under appeal and becomes final, whatever the parties may choose to do by way of compromise of the award. This is because all available reviews have been exhausted or abandoned - see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46; and D.J.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4th ed. (Markham: LexisNexis Canada Inc., 2015) at 169-171.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2.2 </w:t>
      </w:r>
      <w:r>
        <w:rPr>
          <w:rFonts w:ascii="arial" w:eastAsia="arial" w:hAnsi="arial" w:cs="arial"/>
          <w:b/>
          <w:color w:val="000000"/>
          <w:sz w:val="20"/>
          <w:u w:val="single"/>
          <w:lang w:val="en-US" w:eastAsia="en-US" w:bidi="ar-SA"/>
        </w:rPr>
        <w:t>There is mutuality of parties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of course, are the same in each case. Terralink, however, was not a party to the Oregon proceedings, and so the question is whether it was "in privy with" the Oregon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Terralink submits that it was a privy, in that it was the plaintiffs' position in the Oregon litigation that Terralink had acted as Sun-Gro's agent, so that Sun-Gro was responsible as principal for any representations made by Terralink. The jury agreed. Moreover, Terralink asserts, it was a necessary link in the chain of liability between the plaintiffs and the Oregon defendants, it was obliged (over its objections) through Letters Rogatory to provide documents and deposition evidence in the Oregon proceedings, and its employees were compelled as witnesses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argue that the criterion of mutuality is not met in this case for two reasons. First, they say, there is no mutuality, or community, of interest between Terralink and the Oregon defendants because the decision concerning Sun-Gro's liability neither protected Terralink from, nor exposed it to, liability. They point out that in fact their interests diverged, since Sun-Gro denied it was Terralink's principal, and denied responsibility for Terralink's representations. Second, they argue that the Oregon court had no jurisdiction over Terralink, a British Columbia company, which, they argue, strongly suggests an absence of mutuality.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I see it, the plaintiffs' position takes too narrow a view of the degree of mutuality required to establish this second criterion. As Justice Binnie observed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concept of "privity" of course is somewhat elastic. The learned editors of J. Sopinka, S.N. Lederman and A.W. Bryant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(2nd ed. 1999), at p. 1088 say, somewhat pessimistically, that "[i]t is impossible to be categorical about the degree of interest which will create privity" and that determination must be made on a case-by-case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accept the submission of the plaintiffs that a relationship such as principal and agent, by itself, does not establish privity. But it is a factor to be taken into account; see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at paras 22-23, </w:t>
      </w:r>
      <w:hyperlink r:id="rId527" w:history="1">
        <w:r>
          <w:rPr>
            <w:rFonts w:ascii="arial" w:eastAsia="arial" w:hAnsi="arial" w:cs="arial"/>
            <w:i/>
            <w:color w:val="0077CC"/>
            <w:sz w:val="20"/>
            <w:u w:val="single"/>
            <w:shd w:val="clear" w:color="auto" w:fill="FFFFFF"/>
            <w:lang w:val="en-US" w:eastAsia="en-US" w:bidi="ar-SA"/>
          </w:rPr>
          <w:t>194 DLR (4th) 648</w:t>
        </w:r>
      </w:hyperlink>
      <w:r>
        <w:rPr>
          <w:rFonts w:ascii="arial" w:eastAsia="arial" w:hAnsi="arial" w:cs="arial"/>
          <w:color w:val="000000"/>
          <w:sz w:val="20"/>
          <w:lang w:val="en-US" w:eastAsia="en-US" w:bidi="ar-SA"/>
        </w:rPr>
        <w:t xml:space="preserve"> (CA), rev'd on other grounds </w:t>
      </w:r>
      <w:hyperlink r:id="rId528"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Foreman v Niven</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2009 BCSC 1476</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context is important. The Oregon claim against the Sun-Gro defendants arose out of a transaction in which the plaintiffs had dealt with Terralink, and in which the plaintiffs alleged that Terralink acted as Sun-Gro's agent. That same transaction is at issue in the B.C. action. The plaintiffs claimed in Oregon that Sun-Gro was bound as principal by actions of its agent Terralink. The findings of the jury indicate that the jury must have accepted that proposition. The relationship between them, in short, was a fundamental aspect of the litigation. Terralink's actions were thus at issue in the Oregon proceedings and were part of the claim against Sun-Gro. Terralink was obliged to provide evidence. The allegations made against Sun-Gro were entirely congruent with allegations made in this action against Terralink, at least until the plaintiffs abandoned many of those allegations and claims in the context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these circumstances, I conclude that while Terralink was not a party to the Oregon proceedings, it cannot be said to have been a stranger to them, unaffected or unprotected by estoppel doctrines. There was sufficient community of interest between Terralink and the Oregon defendants in relation to the plaintiffs' claim to satisfy the requirement of mutuality, bearing in mind that the claim as litigated in Oregon arose from allegedly unfit fertilizer sold to the plaintiffs by Terralink, and from representations Terralink made to the plaintiff at the point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Suppose the Oregon court had concluded that the claim of misrepresentation against Sun-Gro as Terralink's principal failed because Terralink had made no representations. In such circumstances, I apprehend that the plaintiff would be estopped from alleging such representations against Terralink in this case, notwithstanding that Terralink had not been a party in Oregon. The mutuality is clear. It does not change because of the nature of the findings. It is the nature of the claim itself and the subject matter of the litigation that establishes it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What about the question of the Oregon court's jurisdiction over Terralink? The authorities are inconclusive on the issue of whether an absence of jurisdiction over the non-party indicates an absence of privity. In </w:t>
      </w:r>
      <w:r>
        <w:rPr>
          <w:rFonts w:ascii="arial" w:eastAsia="arial" w:hAnsi="arial" w:cs="arial"/>
          <w:i/>
          <w:color w:val="000000"/>
          <w:sz w:val="20"/>
          <w:lang w:val="en-US" w:eastAsia="en-US" w:bidi="ar-SA"/>
        </w:rPr>
        <w:t>Wilson v Medicine Hat (City of)</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2000 ABCA 247</w:t>
        </w:r>
      </w:hyperlink>
      <w:r>
        <w:rPr>
          <w:rFonts w:ascii="arial" w:eastAsia="arial" w:hAnsi="arial" w:cs="arial"/>
          <w:color w:val="000000"/>
          <w:sz w:val="20"/>
          <w:lang w:val="en-US" w:eastAsia="en-US" w:bidi="ar-SA"/>
        </w:rPr>
        <w:t xml:space="preserve">, the Alberta Court of Appeal suggested as much, but did so in the context of prior proceedings before the Workers' Compensation Board. In </w:t>
      </w:r>
      <w:r>
        <w:rPr>
          <w:rFonts w:ascii="arial" w:eastAsia="arial" w:hAnsi="arial" w:cs="arial"/>
          <w:i/>
          <w:color w:val="000000"/>
          <w:sz w:val="20"/>
          <w:lang w:val="en-US" w:eastAsia="en-US" w:bidi="ar-SA"/>
        </w:rPr>
        <w:t>Machin v Tomlinson</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(2000), 51 OR (3d) 566</w:t>
        </w:r>
      </w:hyperlink>
      <w:r>
        <w:rPr>
          <w:rFonts w:ascii="arial" w:eastAsia="arial" w:hAnsi="arial" w:cs="arial"/>
          <w:color w:val="000000"/>
          <w:sz w:val="20"/>
          <w:lang w:val="en-US" w:eastAsia="en-US" w:bidi="ar-SA"/>
        </w:rPr>
        <w:t xml:space="preserve"> (CA), on the other hand, the Ontario Court of Appeal indicated at para 17 that while a lack of jurisdiction may be important, it may not overcome a sufficient degree of identity between the parties. There, the prior proceedings were arbitration between an injured plaintiff and his insurer. Neither case involved a court-to-court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Here, the prior proceedings involved a superior court of similar jurisdiction to that of this court. Terralink was a participant even though not a party, in that its evidence was before the Oregon court, and its actions were directly in issue.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Machin</w:t>
      </w:r>
      <w:r>
        <w:rPr>
          <w:rFonts w:ascii="arial" w:eastAsia="arial" w:hAnsi="arial" w:cs="arial"/>
          <w:color w:val="000000"/>
          <w:sz w:val="20"/>
          <w:lang w:val="en-US" w:eastAsia="en-US" w:bidi="ar-SA"/>
        </w:rPr>
        <w:t>, it would not have been possible to add the alleged privy to the prior proceedings or to consider that party's actions; here, the plaintiffs could have applied to add Terralink to the Oregon litigation, but did not; so the issue of jurisdiction was never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these circumstances, I am not persuaded that any question of jurisdiction can overcome the identity of interest I have found. But if I am wrong in that, I find that the Oregon court could have, and probably would have, exercised specific jurisdiction over Terralink if the plaintiffs had sought to add Terralink to the litigation against Sun-Gro and Wilbur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parties adduced expert opinion evidence from Oregon attorneys on the question of jurisdiction. An additional affidavit from the plaintiffs' Oregon counsel explains his tactical reasons for commencing proceedings in Oregon, but does not constitute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two expert reports, I prefer the opinion of the attorney retained by the defendant, Graham Sweitzer, because it provides a more complete and focused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complain that Mr. Sweitzer relies on hearsay evidence not otherwise before me arising from his research into Terralink's status in Oregon, where it is was licensed to, and did, sell fertilizer. In my view, this is much the same as a medical expert (for instance) relying on a consultation report not otherwise in evidence. In both cases, the expert is relying on hearsay evidence that would customarily be reviewed by a professional retained to consider the question. This may affect the weight to be given the opinion, but not its admissibility, and indeed the plaintiffs did not argue that the report was inadmissible. I find it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expert maintains her opinion that the Oregon court would not take jurisdiction even assuming the facts relied upon by Mr. Sweitzer. She does not, however, address the question of jurisdiction in the context of the circumstances that were before the Oregon court in this case - that is, where the court is determining a claim against parties properly before it who designed, manufactured and distributed fertilizer to the plaintiff through an agent resident in British Columbia but licensed in Oregon, and which parties, it is alleged, are bound by representations made by that agent. I am therefore unable to give the plaintiffs' opinion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to the extent that jurisdiction is a factor, I accept Mr. Sweitzer's opinion. It follows, given the community of interest discussed above, that the defendant has established the element of mutuality.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2.3 </w:t>
      </w:r>
      <w:r>
        <w:rPr>
          <w:rFonts w:ascii="arial" w:eastAsia="arial" w:hAnsi="arial" w:cs="arial"/>
          <w:b/>
          <w:color w:val="000000"/>
          <w:sz w:val="20"/>
          <w:u w:val="single"/>
          <w:lang w:val="en-US" w:eastAsia="en-US" w:bidi="ar-SA"/>
        </w:rPr>
        <w:t>The cause of action and the prior action are not separate and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originally pleaded, the allegations in this case paralleled those alleged in the Oregon litigation. During the course of the hearing of this application, however, the plaintiffs abandoned all claims against Terralink except a claim under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that the fertilizer was not fit for the purpose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point out that the whole purpose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is to relieve consumers from the need to go into other jurisdictions to sue manufacturers and distributors (as the plaintiffs did in this case), because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imposes virtually strict liability on the supplier in this jurisdiction. The plaintiffs need only establish that the supplier sold the product to the consumer, that the supplier was aware of the consumer's intended use, and that the product was not fit for that purpose. Beyond that, representations, warranties, reliance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proved. This, the plaintiffs assert, is not a cause of action that was or could have been litigated in Oregon even if there was jurisdiction. Consequently, they argue, the cause of action in this case is separate and distinct from the Oregon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disagree. As the Court of Appeal noted in the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case, as quoted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context, "cause of action" does not refer to the name or classification given to the wrong or remedy, but to a factual situation which entitles one to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Similarly, in </w:t>
      </w:r>
      <w:r>
        <w:rPr>
          <w:rFonts w:ascii="arial" w:eastAsia="arial" w:hAnsi="arial" w:cs="arial"/>
          <w:i/>
          <w:color w:val="000000"/>
          <w:sz w:val="20"/>
          <w:lang w:val="en-US" w:eastAsia="en-US" w:bidi="ar-SA"/>
        </w:rPr>
        <w:t>CPU Options, Inc v Milton</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(2006), 79 OR (3d) 365</w:t>
        </w:r>
      </w:hyperlink>
      <w:r>
        <w:rPr>
          <w:rFonts w:ascii="arial" w:eastAsia="arial" w:hAnsi="arial" w:cs="arial"/>
          <w:color w:val="000000"/>
          <w:sz w:val="20"/>
          <w:lang w:val="en-US" w:eastAsia="en-US" w:bidi="ar-SA"/>
        </w:rPr>
        <w:t xml:space="preserve"> (Sup Ct) at para 17, Justice Pitt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preventing fragmented litigation, cause of action estoppel prevents a party from attempting to relitigate the case by advancing a new legal theory in support of a claim based on essentially the same facts or combination of facts: </w:t>
      </w:r>
      <w:r>
        <w:rPr>
          <w:rFonts w:ascii="arial" w:eastAsia="arial" w:hAnsi="arial" w:cs="arial"/>
          <w:i/>
          <w:color w:val="000000"/>
          <w:sz w:val="20"/>
          <w:lang w:val="en-US" w:eastAsia="en-US" w:bidi="ar-SA"/>
        </w:rPr>
        <w:t>Las Vegas Strip Ltd. v. Toronto (City)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(1996), 30 O.R. (3d) 286</w:t>
        </w:r>
      </w:hyperlink>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[1996] O.J. No. 3210</w:t>
        </w:r>
      </w:hyperlink>
      <w:r>
        <w:rPr>
          <w:rFonts w:ascii="arial" w:eastAsia="arial" w:hAnsi="arial" w:cs="arial"/>
          <w:color w:val="000000"/>
          <w:sz w:val="20"/>
          <w:lang w:val="en-US" w:eastAsia="en-US" w:bidi="ar-SA"/>
        </w:rPr>
        <w:t xml:space="preserve"> (Gen. Div.), aff'd </w:t>
      </w:r>
      <w:hyperlink r:id="rId535" w:history="1">
        <w:r>
          <w:rPr>
            <w:rFonts w:ascii="arial" w:eastAsia="arial" w:hAnsi="arial" w:cs="arial"/>
            <w:i/>
            <w:color w:val="0077CC"/>
            <w:sz w:val="20"/>
            <w:u w:val="single"/>
            <w:shd w:val="clear" w:color="auto" w:fill="FFFFFF"/>
            <w:lang w:val="en-US" w:eastAsia="en-US" w:bidi="ar-SA"/>
          </w:rPr>
          <w:t>(1997), 32 O.R. (3d) 651</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[1997] O.J. No. 1033</w:t>
        </w:r>
      </w:hyperlink>
      <w:r>
        <w:rPr>
          <w:rFonts w:ascii="arial" w:eastAsia="arial" w:hAnsi="arial" w:cs="arial"/>
          <w:color w:val="000000"/>
          <w:sz w:val="20"/>
          <w:lang w:val="en-US" w:eastAsia="en-US" w:bidi="ar-SA"/>
        </w:rPr>
        <w:t xml:space="preserve"> (C.A.). In other words, a party cannot recast the claim arising out of the same facts using a different legal description without bumping up against the doctrine of 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Here, the factual situation giving rise to a remedy in this case is the same as the factual situation that gave rise to the remedy claimed and obtained by the plaintiffs in the Oregon proceedings. Significantly, the plaintiffs' success in some of their claims in Oregon was based upon the jury's acceptance of the propositions that Terralink was Sun-Gro's agent, that Terralink made representations that the fertilizer was fit for the plaintiffs' purpose (that it was as good as the product the plaintiffs previously used) and that the fertilizer did not meet the description given by Terralink and printed by Sun-Gro on its bags (see sections 17 and 18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these circumstances, it cannot be said that the cause of action in this case, even when limited to the claim under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is separate and distinct from the prior action. The basis of the claim is the same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2.4 </w:t>
      </w:r>
      <w:r>
        <w:rPr>
          <w:rFonts w:ascii="arial" w:eastAsia="arial" w:hAnsi="arial" w:cs="arial"/>
          <w:b/>
          <w:color w:val="000000"/>
          <w:sz w:val="20"/>
          <w:u w:val="single"/>
          <w:lang w:val="en-US" w:eastAsia="en-US" w:bidi="ar-SA"/>
        </w:rPr>
        <w:t>The basis of the cause of action and the subsequent action was argued or could have been argued in the prior action if the parties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just discussed, the claim in each case is founded upon the same facts, events and consequences. The concern about whether matters are raised in this action that ought to have been raised in the prior action does not arise in the manner normally considered in the cases. The existence of and the role played by Terralink was clearly known to the plaintiffs throughout the Oregon proceedings, and was indeed addressed in those proceedings.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was not addressed, but it did not have to be in order to establish the plaintiffs' entitlement to the damages they sought. Similar issues of representations, use and fitness for the intended purpose were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observe that they do not seek inconsistent findings, or to impeach a judicial conclusion through relitigation. Rather, based on consistent findings, they seek to recover damages in excess to what they obtained in Oregon. I will discuss this further in the next section, but for present purposes, I do not see the additional damages and interest claimed in British Columbia as something that prevents this criterion from being satisfied. The difference does not arise out of the basis of the cause of action, but rather is simply an attempt to improve on what was accomplished on Oregon on the same facts. It follows that the defendant has established this final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2.5 </w:t>
      </w:r>
      <w:r>
        <w:rPr>
          <w:rFonts w:ascii="arial" w:eastAsia="arial" w:hAnsi="arial" w:cs="arial"/>
          <w:b/>
          <w:color w:val="000000"/>
          <w:sz w:val="20"/>
          <w:u w:val="single"/>
          <w:lang w:val="en-US" w:eastAsia="en-US" w:bidi="ar-SA"/>
        </w:rPr>
        <w:t xml:space="preserve">Application of the doctrine of </w:t>
      </w:r>
      <w:r>
        <w:rPr>
          <w:rFonts w:ascii="arial" w:eastAsia="arial" w:hAnsi="arial" w:cs="arial"/>
          <w:b/>
          <w:i/>
          <w:color w:val="000000"/>
          <w:sz w:val="20"/>
          <w:u w:val="single"/>
          <w:lang w:val="en-US" w:eastAsia="en-US" w:bidi="ar-SA"/>
        </w:rPr>
        <w:t>res judicata</w:t>
      </w:r>
      <w:r>
        <w:rPr>
          <w:rFonts w:ascii="arial" w:eastAsia="arial" w:hAnsi="arial" w:cs="arial"/>
          <w:b/>
          <w:color w:val="000000"/>
          <w:sz w:val="20"/>
          <w:u w:val="single"/>
          <w:lang w:val="en-US" w:eastAsia="en-US" w:bidi="ar-SA"/>
        </w:rPr>
        <w:t xml:space="preserve"> would not be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court's discretion in the application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was considered in </w:t>
      </w:r>
      <w:r>
        <w:rPr>
          <w:rFonts w:ascii="arial" w:eastAsia="arial" w:hAnsi="arial" w:cs="arial"/>
          <w:i/>
          <w:color w:val="000000"/>
          <w:sz w:val="20"/>
          <w:lang w:val="en-US" w:eastAsia="en-US" w:bidi="ar-SA"/>
        </w:rPr>
        <w:t>British Columbia v Tekavec</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2014 BCCA 444</w:t>
        </w:r>
      </w:hyperlink>
      <w:r>
        <w:rPr>
          <w:rFonts w:ascii="arial" w:eastAsia="arial" w:hAnsi="arial" w:cs="arial"/>
          <w:color w:val="000000"/>
          <w:sz w:val="20"/>
          <w:lang w:val="en-US" w:eastAsia="en-US" w:bidi="ar-SA"/>
        </w:rPr>
        <w:t xml:space="preserve">, leave to appeal to SCC refused </w:t>
      </w:r>
      <w:hyperlink r:id="rId538" w:history="1">
        <w:r>
          <w:rPr>
            <w:rFonts w:ascii="arial" w:eastAsia="arial" w:hAnsi="arial" w:cs="arial"/>
            <w:i/>
            <w:color w:val="0077CC"/>
            <w:sz w:val="20"/>
            <w:u w:val="single"/>
            <w:shd w:val="clear" w:color="auto" w:fill="FFFFFF"/>
            <w:lang w:val="en-US" w:eastAsia="en-US" w:bidi="ar-SA"/>
          </w:rPr>
          <w:t>[2015] S.C.C.A. No. 23</w:t>
        </w:r>
      </w:hyperlink>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2015 CanLII 23006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Where the requisite elements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have been established, the court retains a limited discretion not to apply the doctrine in special circumstances such as fraud or new evidence, or where necessary to prevent unfairness or injustice. This discretion is rarely exercised, however, in a court-to-court context, as opposed to a tribunal-to-court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argue that the two central policy grounds upon which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based: finality (it is in the interest of the public that an end be put to litigation); and fairness (no one should be twice vexed by the same cause), must be balanced by the court's reluctance to deprive a litigant of the opportunity for adjudication of its claims on their merits: see the discussion in Lange at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case, the plaintiffs assert, a declaration that this action is barred would be a windfall for Terralink: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will thereby avoid the consequences of their independent and direct role in negligently promoting a defective product that caused the Plaintiffs disastrous financial consequences for which they have not been fully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this vein, the plaintiffs note that the "rule against double recovery" applies only where a claimant has actually received payment of "full damages" and that it is not an abuse of process to bring a subsequent action against Terralink for the shortfall the plaintiffs received in compensation from the Oregon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argument highlights what I conceive to be the essential problem for the plaintiffs in this case. In the Oregon proceedings, the plaintiffs claimed all of their losses flowing from the effect of the defective fertilizer, and those losses were assessed by the jury. The award was just over $31,000,000.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now say that they did not obtain full compensation because, in the fullness of time, their losses proved to be greater than had been anticipated at the time of the Oregon proceedings, and in any event they compromised that award when they settled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support of this proposition, the plaintiffs rely on </w:t>
      </w:r>
      <w:r>
        <w:rPr>
          <w:rFonts w:ascii="arial" w:eastAsia="arial" w:hAnsi="arial" w:cs="arial"/>
          <w:i/>
          <w:color w:val="000000"/>
          <w:sz w:val="20"/>
          <w:lang w:val="en-US" w:eastAsia="en-US" w:bidi="ar-SA"/>
        </w:rPr>
        <w:t>Sherwood Steel Ltd v Odyssey Construction Inc</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2014 ABCA 320</w:t>
        </w:r>
      </w:hyperlink>
      <w:r>
        <w:rPr>
          <w:rFonts w:ascii="arial" w:eastAsia="arial" w:hAnsi="arial" w:cs="arial"/>
          <w:color w:val="000000"/>
          <w:sz w:val="20"/>
          <w:lang w:val="en-US" w:eastAsia="en-US" w:bidi="ar-SA"/>
        </w:rPr>
        <w:t>. There, the Alberta Court of Appeal said this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 law that parties are precluded from obtaining two separate judgments for the same loss. For example, the general rule is that there is no bar to a creditor bringing separate actions against both the debtor and guarantors [citations omitted]. This is a particularly apt analogy here, given Edmonton Concrete's financial difficulties which left Sherwood Steel looking to file a builder's lien against title to the project lands. Just as it is no abuse of process for a creditor to obtain judgment on the debt and then sue on the guarantee, it is no abuse of process for Sherwood Steel to obtain judgment against Edmonton Concrete and then, not having received satisfaction, sue Odyssey on its alleged promise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read that case, the context is so different as to render it wholly distinguishable, dealing as it does principally with issues around judgment debtors who are unable to satisfy judgments. Thus it notes at paras 31-32 the availability of concurrent claims for the same loss against debtors and guarantors, against the operators and owners of motor vehicles, and against contractors, architects and engineers on their respective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That is not the problem that arises here. In this case, the plaintiffs claimed their entire loss in the Oregon proceedings. Consequently, this is not like </w:t>
      </w:r>
      <w:r>
        <w:rPr>
          <w:rFonts w:ascii="arial" w:eastAsia="arial" w:hAnsi="arial" w:cs="arial"/>
          <w:i/>
          <w:color w:val="000000"/>
          <w:sz w:val="20"/>
          <w:lang w:val="en-US" w:eastAsia="en-US" w:bidi="ar-SA"/>
        </w:rPr>
        <w:t>Cuttell v Bentz</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(1985), 65 BCLR 273</w:t>
        </w:r>
      </w:hyperlink>
      <w:r>
        <w:rPr>
          <w:rFonts w:ascii="arial" w:eastAsia="arial" w:hAnsi="arial" w:cs="arial"/>
          <w:color w:val="000000"/>
          <w:sz w:val="20"/>
          <w:lang w:val="en-US" w:eastAsia="en-US" w:bidi="ar-SA"/>
        </w:rPr>
        <w:t xml:space="preserve"> (CA) where the loss claimed in the first proceeding was not the full loss suffered by the plaintiffs (see p 289). Here, the claim was for all of the damages the plaintiff suffered from the conduct of the defendants, including Terralink as agent of Sun-Gro. That claim was adjudicated, and the judgment was satisfied. There was no shortfall within the proper meaning of that term, whether arising from a rethinking of the claim, the denial of prejudgment interest, or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 party is not entitled to a further assessment of damages just because circumstances after the litigation appear to be different from those contemplated in the litigation; a person awarded damages for future care costs, for instance, cannot return to court to say that his expenses threaten to be greater than expected, or his life expectancy longer. This would violate the policy of finality, and would, to quote the United States Supreme Court in a different but related context, reflect "the aura of the gaming table": </w:t>
      </w:r>
      <w:r>
        <w:rPr>
          <w:rFonts w:ascii="arial" w:eastAsia="arial" w:hAnsi="arial" w:cs="arial"/>
          <w:i/>
          <w:color w:val="000000"/>
          <w:sz w:val="20"/>
          <w:lang w:val="en-US" w:eastAsia="en-US" w:bidi="ar-SA"/>
        </w:rPr>
        <w:t>Blonder-Tongue Laboratories Inc v University of Illinois Foundation</w:t>
      </w:r>
      <w:r>
        <w:rPr>
          <w:rFonts w:ascii="arial" w:eastAsia="arial" w:hAnsi="arial" w:cs="arial"/>
          <w:color w:val="000000"/>
          <w:sz w:val="20"/>
          <w:lang w:val="en-US" w:eastAsia="en-US" w:bidi="ar-SA"/>
        </w:rPr>
        <w:t>, 404 US 313 at 329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Similarly, the plaintiffs' claim for prejudgment interest was denied, as far as I can determine, on the basis of the law of the jurisdiction the plaintiffs chose for their litigation. That it may be available in this jurisdiction is not a reason for departing from the principle of finality. To hold otherwise it would be simply to encourage forum shopping issue by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Compromise, too, does not give rise to unfairness. The plaintiffs availed themselves of the opportunity to claim the entirety of their losses flowing from the supply of defective fertilizer. That should be the end of it in circumstances where the plaintiffs' ultimate recovery of less than the amount awarded was not because of any difference between the bases of the claims or the type of damages claimed, or because of the defendants' inability to satisfy the judgment, but rather arose from the plaintiffs' strategic decision to settle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it is, the plaintiffs' claim was adjudicated, damages were assessed, judgment was entered, and certificates of satisfaction were filed. To bar the plaintiff from proceeding with further litigation over those same losses cannot, in my view, be considered unjust. They have had their day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conclude that this action is barred by application of cause of action estoppel. In these circumstances, I do not need to consider separately whether issue estoppel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Abuse of process is inherent in the finding of cause of action estoppel and need be considered separately only where not all the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criteria are met. Here, I have found that the criteria are met. But for the reasons discussed in the previous section, it is my view that even if this were not the case, this proceeding would still constitute an abuse of process. It follows that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seeks special costs, while the plaintiffs ask that the issue of costs be argued after this decision has been handed down. The parties are at liberty to speak to costs if they cannot agree. But in case it may assist them in deciding whether it is necessary to do so, I offer my tentative view that this is not an appropriate case for an award of special costs. While the plaintiffs have lost the application, and their action has been dismissed, it does not presently appear to me that they have acted reprehensibly. They advanced an arguable, if unsuccessful, position, and their conduct of the proceedings has been transparent throughout. Subject to further argument, and any additional facts of which I am presently unaware, I would award the defendant its ordinary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Lansdowne v. United Church of Canada, [2001] I.L.R. para. G-1403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Scarth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November 2,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G-1403</w:t>
      </w:r>
    </w:p>
    <w:p>
      <w:pPr>
        <w:spacing w:before="120" w:line="260" w:lineRule="atLeast"/>
        <w:rPr>
          <w:lang w:val="en-US" w:eastAsia="en-US" w:bidi="ar-SA"/>
        </w:rPr>
      </w:pPr>
      <w:r>
        <w:rPr>
          <w:rFonts w:ascii="arial" w:eastAsia="arial" w:hAnsi="arial" w:cs="arial"/>
          <w:color w:val="000000"/>
          <w:sz w:val="20"/>
          <w:lang w:val="en-US" w:eastAsia="en-US" w:bidi="ar-SA"/>
        </w:rPr>
        <w:t>Lansdowne v. United Church of Canada</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1"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9" w:name="Keywords_4"/>
      <w:bookmarkEnd w:id="89"/>
      <w:r>
        <w:rPr>
          <w:rFonts w:ascii="arial" w:eastAsia="arial" w:hAnsi="arial" w:cs="arial"/>
          <w:b/>
          <w:color w:val="000000"/>
          <w:sz w:val="20"/>
          <w:lang w:val="en-US" w:eastAsia="en-US" w:bidi="ar-SA"/>
        </w:rPr>
        <w:t xml:space="preserve">Occupier's liability — Fall on stairs — No evidence of cause of fall — Action dismissed — Occupiers Liability Act, </w:t>
      </w:r>
      <w:hyperlink r:id="rId549"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0" w:name="Case Summary_4"/>
            <w:bookmarkEnd w:id="9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for summary dismissal of the plaintiff's action. The plaintiff fell down a flight of stairs at the defendant Church. After her fall she noticed loose threads about five inches long in the carpet on the bottom step. She claimed that these loose threads caused her fall, and the defendant had failed to ensure her safety. </w:t>
            </w:r>
            <w:r>
              <w:rPr>
                <w:lang w:val="en-US" w:eastAsia="en-US" w:bidi="ar-SA"/>
              </w:rPr>
              <w:cr/>
            </w:r>
          </w:p>
          <w:p>
            <w:pPr>
              <w:spacing w:before="120" w:line="260" w:lineRule="atLeast"/>
              <w:ind w:left="240"/>
              <w:jc w:val="both"/>
              <w:rPr>
                <w:lang w:val="en-US" w:eastAsia="en-US" w:bidi="ar-SA"/>
              </w:rPr>
            </w:pPr>
            <w:bookmarkStart w:id="91" w:name="Holdings of Court_4"/>
            <w:bookmarkEnd w:id="91"/>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did not know why she fell. There was no evidence indicating what caused her fall or showing that the carpet posed a risk. The Court could not presume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nor could it speculate as to the cause of the fall.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40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Lapointe v. John Doe, [2016] B.C.J. No. 223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49512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Isobel Lapointe, Plaintiff, and John Doe, Jane Doe,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jc w:val="both"/>
        <w:rPr>
          <w:rFonts w:ascii="arial" w:eastAsia="arial" w:hAnsi="arial" w:cs="arial"/>
          <w:sz w:val="20"/>
          <w:lang w:val="en-US" w:eastAsia="en-US" w:bidi="ar-SA"/>
        </w:rPr>
      </w:pPr>
      <w:bookmarkStart w:id="92" w:name="Counsel_24"/>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Kelsey V. O'Bray.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ICBC: Ryan W. Parsons.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24"/>
      <w:bookmarkEnd w:id="93"/>
      <w:r>
        <w:pict>
          <v:line id="_x0000_s1114" style="position:absolute;z-index:2517411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E.M. MYERS J."/>
            <w:bookmarkEnd w:id="94"/>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 Master's summary judgment decision: 2015 BCSC 4. The appeal is based on a Court of Appeal decision handed down one day prior to the Master's decision: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The procedural point decided by the Court of Appeal was not argued in front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is brought against ICBC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which deals with accidents caused by unidentified vehicles. (The section is set out at the end of these reasons.) This allows an action to be brought against ICBC where the owner and, depending on the circumstances, the driver of another vehicle alleged to have caused the accident are unknown. A plaintiff must, of course, prove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unknown driver. Section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that the court be satisfied that a plaintiff made reasonable efforts to ascertain the driver or owner and that their identities are not ascertainable. ICBC pleaded that these requirements were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applied for summary judgment under Rule 9-6. In his initial decision, the Master allowed the application with respect to what I will refer to as the s. 24(5)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 find that the plaintiff has complied with s. 24(5). There is no genuine issue for trial with respect to the defence of failure to make all reasonable efforts. There is no evidence to be weighed on this issue. The plaintiff has, in the circumstances of this case, made all reasonable efforts. I order that Part 3, paragraph 2 of the response to civil claim filed by ICBC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refused the application with respect to whether the plaintiff established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Before the order was entered, ICBC applied to the Master for reconsideration of his decision based on the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xml:space="preserve"> case. The Master declined to reconsider his decision, primarily because ICBC had already filed this appeal: </w:t>
      </w:r>
      <w:hyperlink r:id="rId557" w:history="1">
        <w:r>
          <w:rPr>
            <w:rFonts w:ascii="arial" w:eastAsia="arial" w:hAnsi="arial" w:cs="arial"/>
            <w:i/>
            <w:color w:val="0077CC"/>
            <w:sz w:val="20"/>
            <w:u w:val="single"/>
            <w:shd w:val="clear" w:color="auto" w:fill="FFFFFF"/>
            <w:lang w:val="en-US" w:eastAsia="en-US" w:bidi="ar-SA"/>
          </w:rPr>
          <w:t>2015 BCSC 1742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xml:space="preserve"> involved a foreclosure action. The defendant raised fraudulent misrepresentation as a defence. The plaintiff applied to have that defence dismissed under Rule 9-6 on the basis that there was no triable issue. The chambers judge disagreed. The plaintiff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Court of Appeal held that Rule 9-6 could not be used to make a decision on a defence when the decision would not result in a judgment on the case as a whole or a discrete portion of the claim.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We have been referred to no case in which the summary judgment rule, which has long existed, has been used to effectively strike out a portion of a defendant's pleading without at the same time giving judgment on a portion of the plaintiff's claim, in contrast, for example, to cases in which a defence has addressed only part of a plaintiff's claim, such as </w:t>
      </w:r>
      <w:r>
        <w:rPr>
          <w:rFonts w:ascii="arial" w:eastAsia="arial" w:hAnsi="arial" w:cs="arial"/>
          <w:i/>
          <w:color w:val="000000"/>
          <w:sz w:val="20"/>
          <w:lang w:val="en-US" w:eastAsia="en-US" w:bidi="ar-SA"/>
        </w:rPr>
        <w:t>Canadian Imperial Bank of Commerce v. Lisowick</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(1984), 57 B.C.L.R. 77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Royal Bank of Canada v. Timely Auto Sales Inc.</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[1983] B.C.J. No. 2416</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To use Rule 9-6 in the fashion advanced is effectively to use it to decide "an issue", without those words appearing in the rule. It is to be remembered that the innovation in 1983 of the summary trial rule, Rule 18A, now Rule 9-7, expressly allows for the final determination of "an issue". Yet, despite revision to the Rules, the summary judgment rule does not include that felicitous phrase, and keeps to the traditional language of judgment on "all or part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consider that Rule 9-6 is not intended to provide an avenue for a plaintiff to obtain a decision on only one defence in circumstances in which other defences are asserted that may provide an answer to the whole of the claim; the simple dismissal of this defence, as sought, is not available under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ICBC argues that this principle is applicable here; what the Master decided was an issue and not a claim. The plaintiff says the present case stands on a different footing because the Master's judgment was determinative of ICBC's liability to pay a future judgment which might be rendered against the unidentified driver or owner. The decision was, therefore, determinative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issue in this appeal is purely a legal one. The standard of review is therefore correctness: </w:t>
      </w:r>
      <w:r>
        <w:rPr>
          <w:rFonts w:ascii="arial" w:eastAsia="arial" w:hAnsi="arial" w:cs="arial"/>
          <w:i/>
          <w:color w:val="000000"/>
          <w:sz w:val="20"/>
          <w:lang w:val="en-US" w:eastAsia="en-US" w:bidi="ar-SA"/>
        </w:rPr>
        <w:t>Ralph's Auto Supply (B.C.) Ltd. v. Ken Ransford Holding Ltd</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2011 BCSC 999</w:t>
        </w:r>
      </w:hyperlink>
      <w:r>
        <w:rPr>
          <w:rFonts w:ascii="arial" w:eastAsia="arial" w:hAnsi="arial" w:cs="arial"/>
          <w:color w:val="000000"/>
          <w:sz w:val="20"/>
          <w:lang w:val="en-US" w:eastAsia="en-US" w:bidi="ar-SA"/>
        </w:rPr>
        <w:t>,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do not agree with the plaintiff's argument which artificially separates the cause of action against the unknown driver or owner from the claim against ICBC. Although it is common practice to name John Does as substitutes for the driver and owner, the section does not require that; an action may be brought against ICBC only. It is obvious that there is no John Doe to serve and no default judgment can be taken against the unknown driver or owner. ICBC is fully in control of the defence until the time of judgment or the driver or owner is found. I do not think there is a separate claim against under ICBC under s. 24 as the plaintiff maintains.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Therefore, a decision on s. 24(5) alone is not determinative of a claim and cannot result in a judgment; it is only a decision on an issue. On the basis of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it is therefore not amenable to a Rule 9-6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That is sufficient to allow the appeal but there is a further related point (not argued by ICBC) which reinforces this conclusion. The obligation to attempt to locate the driver or owner is a continuing one in this sense: if facts come to light that make the identity ascertainable, the plaintiff is no doubt obligated to follow up on that information. And, if the identities become known, section 24(6) provides that the driver or owner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to be substituted for ICBC in spite of any limitation period. The wording of section 24(5) is that "</w:t>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judgment against the corporation must not be given unless the court is satisfied that...". This contemplates a single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therefore do not think that a separate decision on section 24(5) can be made in advance of a decision on liability as a whole. Put another way, the time at which the court must be satisfied as to the factors in s. 24(5) is the time of the determination of liability for the accident. The opposite interpretation would allow for a scenario where s. 24(5) is determined in favour of a plaintiff, and the driver becomes known before the trial on liability. It would then make the substitution for ICBC impossible as the matter would be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therefore allow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S.24 OF THE </w:t>
      </w:r>
      <w:r>
        <w:rPr>
          <w:rFonts w:ascii="arial" w:eastAsia="arial" w:hAnsi="arial" w:cs="arial"/>
          <w:b/>
          <w:i/>
          <w:color w:val="000000"/>
          <w:sz w:val="20"/>
          <w:lang w:val="en-US" w:eastAsia="en-US" w:bidi="ar-SA"/>
        </w:rPr>
        <w:t>INSURANCE (VEHICLE)</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231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Remedy for damage in hit and run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(1) If bodily injury to or the death of a person or damage to property arises out of the use or operation of a vehicle on a highway in British Columbia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any person who has a cause of action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vehicle are not known or ascertainable, recovery for property damage is limited to the amount by which the damages exceed the prescribed amount.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vehicle, but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the corporation may deny generally the allegations in respect of the unidentified vehicle and its owner and driver, and need not set out the facts on which it relies.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identity of the unknown owner or driver is ascertained before judgment is granted in an action against the insurer as nominal defendant, then, despite the limitation period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that owner or driver must be added as a defendant in the action in substitution for the corporation, subject to the conditions the court may specify.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at any stage, compromise and settle the claim of a person entitled to commence an action under this section.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judgment against the corporation as nominal defendant under this section and expiration of the time limited for appeal, or on the compromise and settlement of a claim under this section, the corporation must pay toward satisfaction of the judgment or claim an amount that the corporation is authorized to pay under this Act and the terms, conditions and limits of the plan.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under this section, a judgment has been obtained against the corporation as nominal defendant or the corporation has settled a claim, the corporation may apply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court where the judgment has been obtained, or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claim has been settled, to the court that would have had jurisdiction to entertain an action for the recovery of damages to the amount of the settlement for an order certifying that a person was, at the time of the accident, the owner or driver of the vehicle that caused the bodily injury, death or property damage in respect of which the judgment was obtained or settlement made.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hearing an application under subsection (9) is satisfied on the evidence that the person named in the application was at the time of the accident the owner, driver or both of the vehicle involved in that accident, it may make the order applied for, unless it is satisfied that the person would not have been liable for damages if he or she had appeared and defended the action or, in the case of a claim settled before action, in an action that might have been brought to enforce the claim, or it may direct the trial of an issue.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making of an order under subsection (10) or on judgment of the trial of an issue directed under that subsection, the person certified, whether or not the driver of the vehicle is named in an unexpired driver's certificate and whether or not the vehicle is specified in an unexpired owner's certificate, is liable to pay the corporation as a debt due and owing all amounts paid by it pursuant to any judgment or settlement under this section, and section 20 (12), (13) and (15) applies.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paid by the corporation to a claimant who ordinarily resides outside British Columbia is limited to the lesser of</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limited by this Act,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that a resident of British Columbia could recover under the same circumstances from a similar fund in the jurisdiction in which the claimant ordinarily resides.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section, </w:t>
      </w:r>
      <w:r>
        <w:rPr>
          <w:rFonts w:ascii="arial" w:eastAsia="arial" w:hAnsi="arial" w:cs="arial"/>
          <w:b/>
          <w:color w:val="000000"/>
          <w:sz w:val="20"/>
          <w:lang w:val="en-US" w:eastAsia="en-US" w:bidi="ar-SA"/>
        </w:rPr>
        <w:t>"owner"</w:t>
      </w:r>
      <w:r>
        <w:rPr>
          <w:rFonts w:ascii="arial" w:eastAsia="arial" w:hAnsi="arial" w:cs="arial"/>
          <w:color w:val="000000"/>
          <w:sz w:val="20"/>
          <w:lang w:val="en-US" w:eastAsia="en-US" w:bidi="ar-SA"/>
        </w:rPr>
        <w:t>, in relation to a motor vehicle, includes a lessee.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Laurier Charters Ltd. v. Eggleton, [2020] B.C.J. No. 342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S102304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Laurier Charters Ltd. and Martin Chambers, Plaintiffs, and Stuart Eggleton, 708804 Alberta Ltd., Dorothy Eggleton, 714574 Alberta Ltd., Barry Mann, Wayne Bazen, and Bighorn Ranch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jc w:val="both"/>
        <w:rPr>
          <w:rFonts w:ascii="arial" w:eastAsia="arial" w:hAnsi="arial" w:cs="arial"/>
          <w:sz w:val="20"/>
          <w:lang w:val="en-US" w:eastAsia="en-US" w:bidi="ar-SA"/>
        </w:rPr>
      </w:pPr>
      <w:bookmarkStart w:id="95" w:name="Counsel_25"/>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Stuart Eggleton, 708804 Albert Ltd., Dorthy Eggleton and 714574 Albert Ltd. : R.D. McConchie.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25"/>
      <w:bookmarkEnd w:id="96"/>
      <w:r>
        <w:pict>
          <v:line id="_x0000_s1117"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F.V. MARZARI J."/>
            <w:bookmarkEnd w:id="97"/>
            <w:r>
              <w:rPr>
                <w:rFonts w:ascii="arial" w:eastAsia="arial" w:hAnsi="arial" w:cs="arial"/>
                <w:b/>
                <w:color w:val="000000"/>
                <w:sz w:val="30"/>
                <w:lang w:val="en-US" w:eastAsia="en-US" w:bidi="ar-SA"/>
              </w:rPr>
              <w:t>F.V. MARZARI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Stuart Eggleton, 708804 Alberta Ltd., Dorothy Eggleton, and 714574 Alberta Ltd. (collectively the "Eggleton defendants") seek dismissal of this action against them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is brought by the plaintiff, Martin Chambers, and his closely held company Laurier Charters Ltd. ("Laurier"). The claim relates to a collection of properties and a water lot lease that Mr. Chambers, directly or through Laurier, acquired in Winter Harbour on the North-West Coast of Vancouver Island in the mid-90's. Between 1999 and 2000, the Eggleton defendants were persuaded by Mr. Chambers to pay off Laurier's mortgage on the properties in the amount of $263,000, and in or about June 2000 the title to the upland properties (though not the water lot lease) was transferred to one of the Eggleton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 about 2002 or 2003, Mr. Chambers was found guilty of money laundering in the United States, and was incarcerated in the United States between 2002 and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November 2002, Laurier through its director Mr. Barry Mann, assigned the water lot lease to the Eggleton defendants. The Eggleton defendants say that they paid another $100,000 towards the taxes and operating costs of the properties until October 2004 when they sold the Winter Harbour properties, water lease, and marina operation for $350,000 to the defendants Wayne Bazen and Bighorn Ranch Ltd. ("Bighorn").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Chambers and Laurier allege that the Eggleton defendants' sale of the upland properties to Mr. Bazen and Bighorn in 2004 was a breach of contract and trust. The plaintiffs say that the Eggleton defendants were not the beneficial owners of the lands, and they were being held by the Eggleton defendants as part of a joint venture with the plaintiffs, for the equal benefit of the plaintiffs. The joint venture agreement is alleged to have been an oral agreement formed with the Eggleton defendants in or around 1999 when they invested in the properties. The trust is alleged to have been formed orally in or about 2000 as part of the transfer of the properties to the Eggleton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Chambers and Laurier allege that the transfer of the water lease by Laurier to the Eggleton defendants in 2004 was accomplished by the Eggleton defendants through a conspiracy to defraud Laurier, bribery of Mr. Mann, and fraudulent assignment to Bighorn.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Chambers says that all of this occurred while he was incarcerated, and the Eggleton defendants took advantage of his absence to sell the properties and retain the value of the lands for themselves. He says that to the extent that the Eggleton defendants might have had a claim for return of their investment, this had already been accomplished through the settlement of another dispute with a business associate of Mr. Chambers in or about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Eggleton defendants deny the existence of either a joint venture or trust, and say that they were entitled to recoup their losses and cease contributing to operating costs in 2004 when they sold the properties. They firmly deny being involved in any fraud, bribery or conspiracy with Mr. Mann. They are now 79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Bazen and Bighorn did not take part in this application, though they have filed their own similar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Mann died in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commenced this action against the Eggleton defendants in May 2010. On December 8, 2010, the plaintiffs filed (after application) their amended notice of civil claim adding the fraud, conspiracy and bribery allegations and naming the defendants Mr. Mann, Mr. Bazen and Bighorn.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claim was actively pursued and responded to in 2011. In June 2011, the plaintiffs filed an application seeking judgment against Mr. Mann, and Mr. Mann and the Eggleton defendants filed application responses opposing that relief. The Eggleton defendants also filed an application for security for costs. Neither of these applications was ever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Unbeknownst to the other defendants, Mr. Mann entered into a consent order that judgment be taken against him in December 2011. Although this was a consent order, it appears to have been filed without notice or the signatures of the other parties. Indeed, it was not until the end of the hearing of this application that either counsel before me was aware of this consent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January 2012, there were no further court filings or other steps taken in this proceeding until September 14, 2017 when the plaintiffs changed lawyers and filed a notice of intention to proceed. Mr. Chambers says the notice of intention to proceed followed his efforts in 2015 and 2016 to engage Mr. Eggleton in settlement discussions by visiting his house on a number of occasions. He says that Mr. Eggleton told him he should wait to receive an offer from him in 2016 that was never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after the filing of the notice of intention to proceed in 2017 there was again no steps taken by the plaintiffs to pursue in this action until April 16, 2019, when Mr. Bazen and Bighorn filed a notice of application to dismiss the action against them for want of prosecution. The Eggleton defendants followed suit with their own application in September 2019. I understand that there was some difficulty getting both applications heard, and ultimately the application of the Eggleton defendants came before me in December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Since June 2019, the evidence indicates that the plaintiffs have sought to proceed with their action by retaining new counsel and making demands for discovery. The defendants have resisted all discovery attempts until their applications for dismissal for want of prosecution have been heard. No notice of trial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the history of these proceedings, the plaintiffs say that Mr. Chambers' pursuit of other proceedings after he was released from jail in 2015 are also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They point to an action filed in June 2015 by Mr. Chambers against his common-law wife in relation to his shares in companies (other than Laurier) entrusted with her during his incarceration. That claim alleges that she withdrew approximately $3.2 million from these companies during his incarceration, and seeks rectification of the share registries and return of the shares in various companies. Mr. Chambers also alleges in that claim that he "made all major management, financial, tenancy and legal decisions" through to July 2009 with respect to at least two of these companies. That claim was filed (and amended in July 2015) with the assistance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Mr. Chambers brought a small claims proceeding in March 2016 for repayment of a $17,000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Chambers says that neither of these proceedings required significant funds or attention from him as they were settled without the need for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Rule 22-7(7)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the court may dismiss a proceeding for want of prosecution. The factors that a chambers judge charged with hearing an application to dismiss an action for want of prosecution were stated by the Court of Appeal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as follows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These cases suggest to me that a chambers judge charged with the hearing of an application for dismissal of an action for want of prosecution is bound to consider the following:</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 v. British Columbia</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2013 BCSC 1102</w:t>
        </w:r>
      </w:hyperlink>
      <w:r>
        <w:rPr>
          <w:rFonts w:ascii="arial" w:eastAsia="arial" w:hAnsi="arial" w:cs="arial"/>
          <w:color w:val="000000"/>
          <w:sz w:val="20"/>
          <w:lang w:val="en-US" w:eastAsia="en-US" w:bidi="ar-SA"/>
        </w:rPr>
        <w:t xml:space="preserve"> at para. 47, Mr. Justice Abrioux (as he then was) set out the four questions above and went on to summarize additional principles applicable to applications to dismiss a claim for want of prosecution,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bears the initial burden of demonstrating inordinate or inexcusable delay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at 162);</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particular onus on a plaintiff to pursue a case which involves serious allegations against the character of the defendant: </w:t>
      </w:r>
      <w:r>
        <w:rPr>
          <w:rFonts w:ascii="arial" w:eastAsia="arial" w:hAnsi="arial" w:cs="arial"/>
          <w:i/>
          <w:color w:val="000000"/>
          <w:sz w:val="20"/>
          <w:lang w:val="en-US" w:eastAsia="en-US" w:bidi="ar-SA"/>
        </w:rPr>
        <w:t>Vic Van Isle Construction Ltd. v. Lomenda</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1999 CanLII 3661</w:t>
        </w:r>
      </w:hyperlink>
      <w:r>
        <w:rPr>
          <w:rFonts w:ascii="arial" w:eastAsia="arial" w:hAnsi="arial" w:cs="arial"/>
          <w:color w:val="000000"/>
          <w:sz w:val="20"/>
          <w:lang w:val="en-US" w:eastAsia="en-US" w:bidi="ar-SA"/>
        </w:rPr>
        <w:t xml:space="preserve"> at para. 19 (B.C.S.C.);</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 defendant shows a delay is inordinate or inexcusable, a rebuttable presumption of prejudice exists. The plaintiff must establish on a balance of probabilities that the defendant has not suffered prejudice: </w:t>
      </w:r>
      <w:r>
        <w:rPr>
          <w:rFonts w:ascii="arial" w:eastAsia="arial" w:hAnsi="arial" w:cs="arial"/>
          <w:i/>
          <w:color w:val="000000"/>
          <w:sz w:val="20"/>
          <w:lang w:val="en-US" w:eastAsia="en-US" w:bidi="ar-SA"/>
        </w:rPr>
        <w:t>Busse v. Chertkow</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will more easily dismiss a questionable claim than a strong one: </w:t>
      </w:r>
      <w:r>
        <w:rPr>
          <w:rFonts w:ascii="arial" w:eastAsia="arial" w:hAnsi="arial" w:cs="arial"/>
          <w:i/>
          <w:color w:val="000000"/>
          <w:sz w:val="20"/>
          <w:lang w:val="en-US" w:eastAsia="en-US" w:bidi="ar-SA"/>
        </w:rPr>
        <w:t>Nice</w:t>
      </w:r>
      <w:r>
        <w:rPr>
          <w:rFonts w:ascii="arial" w:eastAsia="arial" w:hAnsi="arial" w:cs="arial"/>
          <w:color w:val="000000"/>
          <w:sz w:val="20"/>
          <w:lang w:val="en-US" w:eastAsia="en-US" w:bidi="ar-SA"/>
        </w:rPr>
        <w:t xml:space="preserve"> at para. 64;</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inordinate or inexcusable delay and serious prejudice are demonstrated, the court must still consider whether justice demands that the action be dismissed under all the circumstances. The overriding principle is that essential justice must be done: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at 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consider each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length of delay inordinate given the seriousness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concede the delay of 9 years has been inordinate.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 Bulley Ventures Ltd. v. The Pantry Hospitality Corporation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 xml:space="preserve"> at para. 38, the Court of Appeal emphasized that the determination of whether a delay has been inordinate "should not be considered piecemeal. The proper approach is to consider it holistically; that is, whether the overall delay in prosecuting an action is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Eggleton defendants point to the commencement of the claim in 2010 as indicating a near nine-year delay in the prosecution of this claim. No steps to move the litigation forward were taken in the proceeding for over seven years between the end of 2011 and Summer of 2019, and only after the defendant purchasers filed their application to strike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To compound this, the Eggleton defendants point to the fact that the claim, even when filed, was already dated. The pleadings rely on alleged oral agreements in 1999 and 2000, that are alleged to have been breached in 2002 and 2004, and that were discovered by Mr. Chambers no later than December 2004. At the time the claim was filed in 2010,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provided for a 6 year limitation on most of the claims pled. As it was, in late 2010 the plaintiffs filed an affidavit stating that the amended allegations of breach were not discovered by Mr. Chambers until December 7, 2004 to obtain an the order allowing the amended claim to be filed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filing of a notice of intention in 2017 without more was not a "step in the proceeding" for the purposes of this application; it did not move the claim forward. Nor are informal attempts at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Furthermore, the allegations of fraud are very serious and require diligence on the part of the plaintiffs in their pursuit of them: See </w:t>
      </w:r>
      <w:r>
        <w:rPr>
          <w:rFonts w:ascii="arial" w:eastAsia="arial" w:hAnsi="arial" w:cs="arial"/>
          <w:i/>
          <w:color w:val="000000"/>
          <w:sz w:val="20"/>
          <w:lang w:val="en-US" w:eastAsia="en-US" w:bidi="ar-SA"/>
        </w:rPr>
        <w:t>Thore v. Sliva</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2001 BCSC 899</w:t>
        </w:r>
      </w:hyperlink>
      <w:r>
        <w:rPr>
          <w:rFonts w:ascii="arial" w:eastAsia="arial" w:hAnsi="arial" w:cs="arial"/>
          <w:color w:val="000000"/>
          <w:sz w:val="20"/>
          <w:lang w:val="en-US" w:eastAsia="en-US" w:bidi="ar-SA"/>
        </w:rPr>
        <w:t xml:space="preserve"> at paras. 11-15; </w:t>
      </w:r>
      <w:r>
        <w:rPr>
          <w:rFonts w:ascii="arial" w:eastAsia="arial" w:hAnsi="arial" w:cs="arial"/>
          <w:i/>
          <w:color w:val="000000"/>
          <w:sz w:val="20"/>
          <w:lang w:val="en-US" w:eastAsia="en-US" w:bidi="ar-SA"/>
        </w:rPr>
        <w:t>Vic Van Isle Construction Ltd. v. Lomenda</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[1999] B.C.J. No. 3032</w:t>
        </w:r>
      </w:hyperlink>
      <w:r>
        <w:rPr>
          <w:rFonts w:ascii="arial" w:eastAsia="arial" w:hAnsi="arial" w:cs="arial"/>
          <w:color w:val="000000"/>
          <w:sz w:val="20"/>
          <w:lang w:val="en-US" w:eastAsia="en-US" w:bidi="ar-SA"/>
        </w:rPr>
        <w:t xml:space="preserve"> (S.C.) at para. 19; </w:t>
      </w:r>
      <w:r>
        <w:rPr>
          <w:rFonts w:ascii="arial" w:eastAsia="arial" w:hAnsi="arial" w:cs="arial"/>
          <w:i/>
          <w:color w:val="000000"/>
          <w:sz w:val="20"/>
          <w:lang w:val="en-US" w:eastAsia="en-US" w:bidi="ar-SA"/>
        </w:rPr>
        <w:t>SeaQuest (1993) Adventurecraft Inc. v. Gray Line of Victoria Ltd.</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2008 BCSC 873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very earliest a trial could proceed is mid-2021, if the parties could agree to the trial dates and times. However, at this point, no discoveries have occurred, and in my estimation the setting of a trial date is likely further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Delay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argue that the delay, although inordinate in this case, is excusable for three reasons: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 until early 2015, Mr. Chambers was incarcerated in the United States without regular access to email and phones for some of those years;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returned to Canada in early 2015, he had not been able to earn money for many years, and did not have the financial or psychological means to pursue this claim;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2016, he pursued Mr. Eggleton at his home a number of times, and at one point, Mr. Eggleton said that he would make him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respect to impecuniosity, the plaintiffs rely on the courts comments in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[1998] B.C.J. No. 660</w:t>
        </w:r>
      </w:hyperlink>
      <w:r>
        <w:rPr>
          <w:rFonts w:ascii="arial" w:eastAsia="arial" w:hAnsi="arial" w:cs="arial"/>
          <w:color w:val="000000"/>
          <w:sz w:val="20"/>
          <w:lang w:val="en-US" w:eastAsia="en-US" w:bidi="ar-SA"/>
        </w:rPr>
        <w:t xml:space="preserve"> (B.C.S.C.)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authorities appear to be mixed as to whether impecuniosity can be an excuse for delay which the courts will accept but I believe that I should be guided by the comments of Hollinrake J.A. in </w:t>
      </w:r>
      <w:r>
        <w:rPr>
          <w:rFonts w:ascii="arial" w:eastAsia="arial" w:hAnsi="arial" w:cs="arial"/>
          <w:i/>
          <w:color w:val="000000"/>
          <w:sz w:val="20"/>
          <w:lang w:val="en-US" w:eastAsia="en-US" w:bidi="ar-SA"/>
        </w:rPr>
        <w:t>Star-Ten Contracting Ltd. v. Laurentian Pacific and Zurich Insurance Company.7</w:t>
      </w:r>
      <w:r>
        <w:rPr>
          <w:rFonts w:ascii="arial" w:eastAsia="arial" w:hAnsi="arial" w:cs="arial"/>
          <w:color w:val="000000"/>
          <w:sz w:val="20"/>
          <w:lang w:val="en-US" w:eastAsia="en-US" w:bidi="ar-SA"/>
        </w:rPr>
        <w:t xml:space="preserve"> In that case, Hollinrake J.A. rested his decision on the balance that must be struck between the interests of justice between the parties. However, he stated that if it were necessary to do so, he would have held that the chambers judge had erred in finding that delay caused by impecuniosity was inexcusable. He stated that the type of delay in the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case (i.e., waiting as a tactical manoeuvre in the hope that the law would change) was not to be compared to a delay forced on a plaintiff by negligent solicitors, impecuniosity or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Although impecuniosity can be an excuse for delay, I do not believe that it should always be accepted as an excuse. Other factors must also be considered. For instance, the length of the delay should be taken into account. Impecuniosity should not be accepted as an excuse irrespective of the length of the delay because, otherwise, an action could be delayed indefinitely. Other factors would include the matters I mentioned when discussing whether the Plaintiffs' delay was inordinate (i.e., the length of time which elapsed after the cause of action arose and before the action is commenced, and the fact that the Plaintiffs are alleging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rely on two cases from Alberta for the position that informal settlement discussions can excuse delay: </w:t>
      </w:r>
      <w:r>
        <w:rPr>
          <w:rFonts w:ascii="arial" w:eastAsia="arial" w:hAnsi="arial" w:cs="arial"/>
          <w:i/>
          <w:color w:val="000000"/>
          <w:sz w:val="20"/>
          <w:lang w:val="en-US" w:eastAsia="en-US" w:bidi="ar-SA"/>
        </w:rPr>
        <w:t>Guccione v. Bell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2004 ABQB 729</w:t>
        </w:r>
      </w:hyperlink>
      <w:r>
        <w:rPr>
          <w:rFonts w:ascii="arial" w:eastAsia="arial" w:hAnsi="arial" w:cs="arial"/>
          <w:color w:val="000000"/>
          <w:sz w:val="20"/>
          <w:lang w:val="en-US" w:eastAsia="en-US" w:bidi="ar-SA"/>
        </w:rPr>
        <w:t xml:space="preserve"> at para. 11 referring to </w:t>
      </w:r>
      <w:r>
        <w:rPr>
          <w:rFonts w:ascii="arial" w:eastAsia="arial" w:hAnsi="arial" w:cs="arial"/>
          <w:i/>
          <w:color w:val="000000"/>
          <w:sz w:val="20"/>
          <w:lang w:val="en-US" w:eastAsia="en-US" w:bidi="ar-SA"/>
        </w:rPr>
        <w:t>Kuziw v Kucheran Estate</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2000 ABCA 226</w:t>
        </w:r>
      </w:hyperlink>
      <w:r>
        <w:rPr>
          <w:rFonts w:ascii="arial" w:eastAsia="arial" w:hAnsi="arial" w:cs="arial"/>
          <w:color w:val="000000"/>
          <w:sz w:val="20"/>
          <w:lang w:val="en-US" w:eastAsia="en-US" w:bidi="ar-SA"/>
        </w:rPr>
        <w:t>. Although the Alberta Rules in relation to want of prosecution differ from those in British Columbia, legitimate settlement discussions may also constitute an excuse for delay in British Columbia, depending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Eggleton defendants accept that Mr. Chambers' incarceration provides some explanation for the delay through to 2015, although it is clear that Mr. Chambers was able to still instruct counsel during this period, and Laurier remained a going concern. They say that there is no excuse for the plaintiffs' delay since early 2015 when Mr. Chambers was released and had returned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Eggleton defendants say that while impecuniosity may be an excuse for delay in some circumstances, the evidence filed by Mr. Chambers (which amounts to a bare assertion that he did not have the financial resources to pursue the litigation) is not sufficient. The evidence establishes that Mr. Chambers was engaged in real estate development prior to his incarceration in 2002, and in 2015 he had the resources to sue his wife and related companies for substantial amounts of money, and to file a small claims proceeding as well. Mr. Chamber's pleading in the 2015 litigation allege that he continued to own shares in companies in which he was the sole shareholder, and that were valued in the millions of dollars during his incarceration. Mr. Chambers neither disclosed these shares, nor his legal actions with respect to them, in his sworn assertions of impecuniosity. Nor did he provide any evidence of his actual assets or liabilities held directly, or through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the extent that Mr. Chambers says that filing those other legal actions did not require substantial resources because they resulted in settlement, the Eggleton defendants say then that he would have had the resources after settlement to pursue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the Eggleton defendants say that, while they have not filed any materials to contest Mr. Chambers' evidence of informal settlement discussions, Mr. Chambers' own evidence does not amount to anything that would constitute an excuse on his part not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 delay is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2010 and throughout that year and through 2011, Mr. Chambers was able to direct the course of this litigation from his place of incarceration and did so, filing a notice of civil claim and two amended claims, multiple applications, affidavits, defending the security for costs application of the Eggleton defendants, and securing a consent judgment from Mr.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2015, Mr. Chambers was no longer physically restrained, and was able to retain counsel and instruct them in the filing of a claim and an amended claim against his common law wife. Had this action been a priority for him, he could have also filed at least a notice of intention to proceed or sought document disclosure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Legitimate settlement discussions may constitute an excuse for delay in British Columbia, depending on the circumstances. This is in keeping with the general policy of the courts to promote settlement. However, given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courts must also guard against inordinate and inexcusable delay that prejudices defendants to civil actions. As Master Elwood stated in </w:t>
      </w:r>
      <w:r>
        <w:rPr>
          <w:rFonts w:ascii="arial" w:eastAsia="arial" w:hAnsi="arial" w:cs="arial"/>
          <w:i/>
          <w:color w:val="000000"/>
          <w:sz w:val="20"/>
          <w:lang w:val="en-US" w:eastAsia="en-US" w:bidi="ar-SA"/>
        </w:rPr>
        <w:t>Parkerdean Plumbing and Mechanical Inc. v. Best Builders Ltd.</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2019 BCSC 1969</w:t>
        </w:r>
      </w:hyperlink>
      <w:r>
        <w:rPr>
          <w:rFonts w:ascii="arial" w:eastAsia="arial" w:hAnsi="arial" w:cs="arial"/>
          <w:color w:val="000000"/>
          <w:sz w:val="20"/>
          <w:lang w:val="en-US" w:eastAsia="en-US" w:bidi="ar-SA"/>
        </w:rPr>
        <w:t>,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efforts at reaching a negotiated resolution are to be encouraged, they are not a substitute for prosecuting a claim in the absence of productive engagement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Mr. Chambers' attempts in 2016 to locate and converse with Mr. Eggleton at Mr. Eggleton's home does not amount to "legitimate settlement discussions" and, in any event, does not explain the extent of the delay. There is no evidence of any meaningful settlement exchanges in that year, or afterwards. Even in cases where there are formal and documented attempts to settle, courts are reluctant to accept settlement offers and negotiations as an excuse unless there is a reasonable belief that the matter will resolve out of court, and this belief is diligently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also agree that Mr. Chambers' bare assertion of lack of financial means as a result of his incarceration does not establish impecuniosity, particularly in light of his legal pleadings filed in 2015 alleging that he continued to have the benefit of shares in various closely held companies valued in the millions, and that these companies also had the benefit of professional management services while he was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I have no evidence at all as to the resources of the corporate plaintiff, Laurier, which Mr. Chambers asserts continued to be an active company throughout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Overall, I find that the plaintiffs' delay was both inordinate and inexcusable.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Prejudice to the defendants is presumed given the inordinate and inexcusable delay and the nature and seriousness of allegations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our Court of Appeal has cautioned that, although the plaintiff bears the onus of establishing a lack of prejudice, this must not always be achieved by specific evidence, but can be established by the circumstances as a whole. For example, in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2002 BCCA 14</w:t>
        </w:r>
      </w:hyperlink>
      <w:r>
        <w:rPr>
          <w:rFonts w:ascii="arial" w:eastAsia="arial" w:hAnsi="arial" w:cs="arial"/>
          <w:color w:val="000000"/>
          <w:sz w:val="20"/>
          <w:lang w:val="en-US" w:eastAsia="en-US" w:bidi="ar-SA"/>
        </w:rPr>
        <w:t>, Esson J.A.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 also regard it as error in principle to dispose of the issue of prejudice by asking whether the plaintiffs had rebutted 'the presumption of prejudice that arises in the circumstances' and by going on to answer that question in the negative. The "presumption of prejudice" is not a presumption of law. It can be termed a presumption of fact but only in the sense, as it is put in Sopinka and Lederman "</w:t>
      </w:r>
      <w:r>
        <w:rPr>
          <w:rFonts w:ascii="arial" w:eastAsia="arial" w:hAnsi="arial" w:cs="arial"/>
          <w:i/>
          <w:color w:val="000000"/>
          <w:sz w:val="20"/>
          <w:lang w:val="en-US" w:eastAsia="en-US" w:bidi="ar-SA"/>
        </w:rPr>
        <w:t>The Law of Evidence in Civil Cases</w:t>
      </w:r>
      <w:r>
        <w:rPr>
          <w:rFonts w:ascii="arial" w:eastAsia="arial" w:hAnsi="arial" w:cs="arial"/>
          <w:color w:val="000000"/>
          <w:sz w:val="20"/>
          <w:lang w:val="en-US" w:eastAsia="en-US" w:bidi="ar-SA"/>
        </w:rPr>
        <w:t>", 1974 at p. 378: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"presumption of fact" is used in many instances in which it is desired merely to shift the secondary burden to a particular party. When used in this sense, it means that the facts are such that a certain inference should, but need not, be logically 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It is in that sense that the word "presumption" is employed in </w:t>
      </w:r>
      <w:r>
        <w:rPr>
          <w:rFonts w:ascii="arial" w:eastAsia="arial" w:hAnsi="arial" w:cs="arial"/>
          <w:i/>
          <w:color w:val="000000"/>
          <w:sz w:val="20"/>
          <w:lang w:val="en-US" w:eastAsia="en-US" w:bidi="ar-SA"/>
        </w:rPr>
        <w:t>Busse v. Robinson Morelli Chertkow, supra</w:t>
      </w:r>
      <w:r>
        <w:rPr>
          <w:rFonts w:ascii="arial" w:eastAsia="arial" w:hAnsi="arial" w:cs="arial"/>
          <w:color w:val="000000"/>
          <w:sz w:val="20"/>
          <w:lang w:val="en-US" w:eastAsia="en-US" w:bidi="ar-SA"/>
        </w:rPr>
        <w:t xml:space="preserve">. In considering whether the presumption of prejudice has any application in a particular case, the question properly to be asked, as stated by Goldie J.A. in para. 27 of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Eggleton defendants rely on the presumption of prejudice, and in particular on the fact that it has now been 15-20 years since the incidents alleged to have given rise to the various oral agreements, trusts and breaches alleged by the plaintiffs. They rely on the cases that state that it is presumed to be prejudicial to allow allegations of fraud and dishonesty to go undetermined. They rely on their advanced years. Finally they rely on the death of Mr. Mann in 2013, a key player and witness in the plaintiff's allegations of conspiracy and fraud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say that the delay is not prejudicial because the Eggleton defendants have always been meticulous record keepers. Mr. Chambers believes they would still have records of the transactions and discussions that formed the alleged partnership or joint venture in 1998-1999, and the transfer of the properties on alleged trust terms in 2000, as well as documentation relating to the alleged fraud in arranging for the transfer by the corporate plaintiff to themselves of the water lot lease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I accept that it is difficult for Mr. Chambers to rebut a presumption of prejudice when the presumed prejudice is not his, in this case I find that the circumstances as a whole establish that the delay of the plaintiffs to proceed has caused substantial and specific prejudice to the Eggleton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nature of the allegations, including allegations of fraud and breach of trust are serious ones. Moreover, the allegations of breach relate to oral transactions and not written ones where memory and the retention of relevant materials cannot be dependably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has now been more than 15 years since the initial alleged breaches of trust occurred and Mr. Chambers alleges he discovered them. That is more than twice the original limitation period for the alleged breaches (and many times the limitation period of these claims under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and beyond the ultimate limitation date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More importantly, I find that the death of Mr. Mann in 2013, when the incidents giving rise to the claim were over 10 years old, and the claim itself was 2-3 years old, creates a risk of substantial unfairness to the Eggleton defendants. The plaintiffs have filed affidavits describing admissions and conversations with Mr. Mann before his death as the foundation of their claims in fraud, conspiracy and breach of duty. None of this hearsay is testable in court. Without Mr. Mann's participation and discovery, at this point I do not consider that the Eggleton defendants can have a fair trial of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note that the consent order signed by Mr. Mann was not signed by the other defendants, which would ordinarily be required for the entry of a consent order. I accept Mr. McConchie's statement as an officer of the court that he was wholly unaware of this order. The plaintiffs' current counsel was also unaware of it until I raised it with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Furthermore, the evidence before me establishes that Mr. Mann was the sole director of the corporate plaintiff in 2002 when the corporate plaintiff assigned the water lot lease to the Eggleton companies. Although Mr. Chambers' states in his affidavit that Mr. Mann had resigned this role, the Eggleton defendants attach corporate searches performed both before and after the transfer by the corporate plaintiff showing Mr. Mann as the sole director before the controversial transaction, and not being replaced until months afterward. Prior to his death and settlement, Mr. Mann also filed a response to the claim pleading that he was responsible, at least in part, for the operations of the properties at issue, and that he was unable to get any resources from Laurier or Mr. Chapman to pay the taxes and other expenses of the property. In addition, I have no sworn evidence as to the terms and amount that Mr. Mann settled the plaintiffs' claim against him prior to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light of all of this, the claims by the both Laurier and Mr. Chambers are utterly compromised by Mr. Mann's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Ultimately, I am satisfied that the Eggleton defendants would be unfairly prejudiced if this trial were to proceed. I consider that the prejudice is such that there is a substantial risk that a fair trial is not possible any longer on any aspect of the amended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argue that none of the above three factors matter if I find it is in the interests of justice for this matter to proceed. They point out that the Eggleton defendants have not responded to the merits of the action, or the evidence that Mr. Chambers has adduced in support of his underlying claims in this application. For example, the Eggleton defendants have not filed any responsive evidence in relation to Mr. Chambers' allegations that they received some compensation for their investment through their settlement with his business associate in 2002. They have sworn that there was no joint venture or trust, but they have not provided any alternative explanation as to why they originally invested more than 1/4 million dollars in the Winter Harbour properties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merits of the plaintiffs' action are not before me. Without deciding anything on its merits, I observe that Mr. Chambers' affidavit evidence discloses a foundation for his allegations that he had entered into a form of joint venture with the Eggleton defendants in 1999, and that the transfer of legal title to the Eggleton defendants in 2000 was not intended to be compensation for their investment, but a transfer of legal title only. Whether the plaintiffs would be able to substantiate these claims with documentary evidence after discovery sufficient to meet their burden of proof is not possible to determine at this stage. At this point, all that can be said is that the claim is arguable.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Generally, this Court is and should be reluctant to strike an arguable claim.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our Court of Appeal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Rule 2(7) [now Rule 22-7(7)] raises the possibility of dismissal of an action other than on its merits. Therefore, it should be applied with considerable caution. Lengthy delay by a plaintiff in bringing a claim to trial must be carefully considered in the context of evidence presented by both sides as to actual prejudice to the defendant in presenting its case at trial. Any prejudice will only be material to the extent that it was caused by the plaintiff's inordinate delay, not by other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the other hand, Rule 22-7 is a distinct rule from the rule for striking a claim on the basis that it discloses no reasonable cause of action, and that is not the test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the plaintiffs' claims disclose an arguable cause of action, I find that that is not enough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note that the Eggleton defendants were not the only persons to whom Mr. Chambers has alleged he entrusted substantial amounts of undocumented assets prior to his incarceration. He had the means and ability to pursue at least some of those persons after his period of incarceration in 2015. He also had the means and ability to pursue the Eggleton defendants through instructions to his counsel and his agents and corporate directors during his incarceration, including successfully filing these claims, pursuing an application, and obtaining an order for judgment from Mr. Mann before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did not pursue these claims against the Eggleton defendants for approximately 4 years after Mr. Chambers' release. Furthermore, these claims relate to alleged oral agreements that are now almost 20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Ultimately, I find that the questions of whether Mr. Chambers entrusted his interest and investment in the Winter Harbour properties to the Eggleton defendants, on what terms, whether those terms were breached, and if so, why, are questions that the plaintiffs' inordinate delay in proceeding and the death of a key witness no longer allow a court to fairly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therefore dismiss the plaintiffs' claim pursuant to Rule 22-7 for want of prosecution. The Eggleton defendants are entitled to their costs of the action as ordinary tariff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Letchumanapillai v. Insurance Corp. of British Columbia, [2011] B.C.J. No. 187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M042735 and M054924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1207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Sridharan Letchumanapillai also known as Sri Letchumanapillai, Plaintiff, and Insurance Corporation of British Columbia and John Doe, Defendants And between Sridharan Letchumanapillai also known as Sri Letchumanapillai, Plaintiff, and Sugu Pillai, Clark McLauchlan, John Doe and Greater Vancouver Transportation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jc w:val="both"/>
        <w:rPr>
          <w:rFonts w:ascii="arial" w:eastAsia="arial" w:hAnsi="arial" w:cs="arial"/>
          <w:sz w:val="20"/>
          <w:lang w:val="en-US" w:eastAsia="en-US" w:bidi="ar-SA"/>
        </w:rPr>
      </w:pPr>
      <w:bookmarkStart w:id="98" w:name="Counsel_26"/>
      <w:bookmarkEnd w:id="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Sridharan Letchumanapillai: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Fernanda Batista.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Sugu Pillai, Clark McLauchlan, John Doe and Greater Vancouver Transportation Authority: Carmen Tham.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9" w:name="Judgment_26"/>
      <w:bookmarkEnd w:id="99"/>
      <w:r>
        <w:pict>
          <v:line id="_x0000_s1120" style="position:absolute;z-index:2517432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0" w:name="P.G. VOITH J."/>
            <w:bookmarkEnd w:id="100"/>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Letchumanapillai, has commenced two separate actions which are alleged by him to pertain to two separate accidents that occurred moments apart on the afternoon of Friday, November 7, 2003. The first such action bears action No. M042735 and is brought by him against the Insurance Company of British Columbia and John Doe (the First Action). The second action bears action No. M054924 and was, in the first instance, brought against the various named defendants including the Greater Vancouver Transportation Authority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virtue of an order made December 31, 2007 it was determined that the two actions should be heard together. By virtue of a further order dated September 17, 2010, it was determined that the question of liability should be dealt with first. Finally, as a result of a Notice of Discontinuance filed September 21, 2009, the proceedings against Mr. Clark McLauchlan, in the Second Action, were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only issue raised by the two actions is whether Mr. Letchumanapillai is able to establish that one or more of the defendants in either of the two actions is liable to him for the injuries and loss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Letchumanapillai, who was self-represented, is a 50-year-old gentleman who was born in Sri Lanka and who came to Canada as a refugee in the early 1990s. Mr. Letchumanapillai was originally trained as a marine engineer, but his qualifications for such employment were not accepted in Canada. He has held various forms of employment over time. In November 2003, he was working as a casual employee for Canada Post. That employment required him to work different shifts on different days. On November 6, 2003, he had worked the 4:00 p.m. to midnight shift. On November 7, 2003, he was not scheduled to go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Letchumanapillai, who at the time resided at the Yale Hotel on Granville Street in Vancouver, testified that on November 7, 2003, he awoke at approximately 9:30 in the morning. He accepts that the evening before, after he finished work, he had gone to the pub in the Yale Hotel and that he had perhaps gone elsewhere as well. He accepts that he likely drank a mickey of vodka which was perhaps 150 to 200 ml in size. He accepts that he may also have had a few beers, but was unsure of this. He had no memory of having had anything to eat. He likely went to bed at about 3:00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he awoke that morning he made a phone call and then went for coffee at Starbucks. Between 11:30 a.m. and about 2:30 p.m., Mr. Letchumanapillai ran various errands and spoke to various neighbours and friends. He accepts that he likely had three pints of Guinness during this time at different locations. The admissions he made on discovery suggest that he may have had as many as five beers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Letchumanapillai left the Yale Hotel at approximately 2:30 p.m. and was on his way to meet a friend for a meal. He intended to take a bus to get there. He said that he approached and crossed the intersection of Granville and Helmcken Streets. Helmcken Street runs in an east/west direction. Granville Street runs in a north/south direction. Mr. Letchumanapillai realized he had forgotten his cell phone and his bus pass. He turned back and then he proceeded to cross Granville Street, going west on Helmcken Street. He says he crossed when the crosswalk sign indicated he could proceed. When he was a step or two away from having fully crossed Granville Street, he says he was struck from behind. He says he was "nailed by a motor vehicle" though he concedes he never saw what struck him. He described the contact as a "high velocity impact". It is this first contact that underlies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Letchumanapillai said that after he was struck, he did not fall immediately, but rather, that he stumbled forward. In order to avoid falling forward into the storefront on the southwest corner of Granville and Helmcken Streets, he veered sideways. He had still not fully recovered his balance. At some point further along Granville Street, he tripped on the curb and struck his knee. He was lying partly on the sidewalk and partly on the street. He said that his legs were on the street and that he was lying face up. He further said that he had fallen a short distance behind a parked bus on Granville Street, though he is uncertain about how far that bus was from the bus stop. He said that as the bus began to pull away from the bus stop, it first rolled backwards and in doing so it "crushed" his right leg, fracturing his tibia. Thereafter, he says he was unconscious. It is this latter set of events that give rise to the Second Action. Mr. Letchumanapillai confirmed he was neither able to identify the number of the bus that he says rolled backwards nor was he able to provide any information about the driver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do not accept Mr. Letchumanapillai's evidence as it relates to the circumstances which give rise to the First Action. This is so for several reasons. In the main, however, the evidence he gave at trial is inconsistent, in multiple respects, with both an earlier statement he provided and with the evidence he gave at his examinations for discovery. It is also completely at odds with the evidence of a witness, Mr. Lazell.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29, 2004, Mr. Letchumanapillai signed a statement ("the Statement") which he accepts was prepared by his then lawyer. The Statement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name is Sridharan Letchumanapillai, of #28 - 1300 Granville Street, in Vancouver, British Columbia and I was involved in a motor vehicle accident on November 7, 2003, at approximately 2:00 p.m. at or near the intersection of Helmcken &amp; Granville Street, in Vancouver,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I was at the south corner of Helmcken and Granville Street waiting to cross the Street (the same corner as the Chateau Granville hotel). The "walk" sign indicated that I could cross, and I proceeded westbound across the crosswalk. When I was about half way across the crosswalk I felt a type of pressure or a feeling of being hit by something. The next thing I remember is waking up in the hospital after having surgery on my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Based on the Statement, Mr. Letchumanapillai was first struck when he was only half way across Granville Street. Importantly, he asserted he had no memory or knowledge of what took place thereafter. Mr. Letchumanapillai was also examined for discovery in each of the two actions. At the first discovery, conducted on June 30, 2006, Mr. Letchumanapillai confirmed he had no memory of anything that happened after he was first struck. He did not, at that time, assert that any aspect of the Statement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Mr. Letchumanapillai claimed that it was after his first discovery that his memory was "reactivated". Nevertheless, at his second discovery, conducted on September 10, 2009, though Mr. Letchumanapillai made reference to ending up behind a bus, he continued to assert that he had no knowledge of how he had ended up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continuing with the difficulties associated with the evidence given by the plaintiff at trial, I turn to a related issue. I have mentioned that Mr. Letchumanapillai concedes he drank both vodka and beer in the early hours of Friday, November 7, 2003. He also concedes that he had approximately three to five beers between approximately 11:30 a.m. and 2:30 p.m. on that date. He maintains, however, that he was not intoxicated. This is not consistent with the preponderance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Polson, an experienced paramedic, attended to the plaintiff on the afternoon of November 7, 2003. Mr. Polson had no memory of the events of that afternoon. Nevertheless, he confirmed a number of facts from the report he prepared on that date. Mr. Polson confirmed that Mr. Letchumanapillai was conscious at the time he was attended to, that Mr. Letchumanapillai had been too intoxicated to communicate how he had been injured and that Mr. Letchumanapillai had said that he had been drinking heavily all day. As it relates to this last assertion, Mr. Polson confirmed that the form in which this was expressed in his report established that the statement had come directly from Mr. Letchumanapillai. Finally, Mr. Polson's report indicates that he arrived at the scene of the accident at "14:58"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Donna Smith is an orthopedic surgeon who works at St. Paul's Hospital and treated the plaintiff on the afternoon of November 7, 2003. Dr. Smith also confirmed, based in part on her memory and in part on the notes she made on that date that Mr. Letchumanapillai was severely intoxicated. Her evidence was that Mr. Letchumanapillai was intoxicated when she examined him and that Mr. Letchumanapillai had told her that he had had a mickey of vodka and a case of beer that day. She further said that because of the degree or state of Mr. Letchumanapillai's intoxication, she could not rely on or seek Mr. Letchumanapillai's consent for the surgery which he required and had later that day. Instead, she had to revert to a protocol which required the signature of a colleague on the necessary documents. Quite simply, she was concerned that Mr. Letchumanapillai, who was conscious, was unable by virtue of his intoxicated state, to understand the benefits or hazards of the surgery being discussed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and importantly, the evidence of Mr. Lazell is relevant both with respect to how the plaintiff was injured and to his state prior to his being injured. Mr. Lazell was called by the defendants in the Second Action. Mr. Lazell, who works near Granville and Helmcken Streets, was on a work break and on his way to buy some cigarettes on the afternoon of November 7, 2003. As he walked down Helmcken Street going east, he saw the plaintiff on the far side of the street. He noticed that the plaintiff was unsteady on his feet, that he was staggering a bit and that he was leaning on a garbage can. Mr. Lazell then continued with his errand. When he exited a small tobacco shop a few minutes later he again saw the plaintiff. Mr. Letchumanapillai was now on the west side of Granville Street heading south. He was on the sidewalk. He was perhaps 200 feet away from Mr. Lazell and was again staggering. He looked as though he were trying to catch a bus. He then appeared to stumble when we was perhaps two feet from the curb. He appeared to try to grab a tree as he fell to his left. At that point a bus, which was slowing down, was pulling into the bus stop adjacent to where Mr. Letchumanapillai was. The bus was perhaps eight to ten inches from the curb. The bus appeared to stop just as Mr. Letchumanapillai fell. Mr. Lazell said that the front right corner of the bus struck Mr. Letchumanapillai on the left side of his torso as he was falling. When Mr. Lazell arrived at the scene of the accident a few moments later, Mr. Letchumanapillai lay partly on the road and partly on the sidewalk. Mr. Lazell was able to see the bone in Mr. Letchumanapillai's right leg through his pant leg. Mr. Lazell thereafter provided a statement to the police who arrived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the evidence given by each of Mr. Polson, Dr. Smith and Mr. Lazell. None of these witnesses was cross-examined in any meaningful way by the plaintiff. There are certain aspects of Mr. Lazell's evidence, however, to which I will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continuing with a review and analysis of events relating to the Second Action I make the following specific findings: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Letchumanapillai was significantly intoxicated on the afternoon of November 7, 2003. This finding is consistent with the evidence of each of Mr. Polson, Dr. Smith and with the observations of Mr. Lazell. It is also generally consistent with the evidence given by the plaintiff in relation to his alcohol consumption that day.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 find that the evidence of the plaintiff, as it related to the First Action, is unreliable. I am not satisfied, on the balance of probabilities, that Mr. Letchumanapillai was struck by an unidentified motorist while crossing Granville Street. The plaintiff's evidence is so inconsistent, both internally and with the evidence of third parties, that I have not placed any weight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latter conclusion is based on multiple considerations. The plaintiff's evidence at trial was that it was the "high velocity" impact in the First Action that caused the subsequent sequence of events which led to his injuries. The plaintiff's Statement of January 29, 2004, only two and one-half months after the incident, indicates otherwise. The Statement describes the plaintiff as being halfway across the crosswalk when he was struck, not a mere foot or so away from the curb, as he recounted during the trial. Furthermore, the force of impact is described in the Statement as a "type of pressure or a feeling of being hit by something". This is very different from the "high velocity" impact now described by the plaintiff. As important is his description of "something" in the Statement. There is no indication in the Statement that he was struck by a vehicle. Instead, the plaintiff conceded in cross-examination that he did not see any vehicles in or near the intersection at the time of his crossing, other than a bus which was waiting at the light across Helmcken Street and which was going southbound. Furthermore, the evidence arising from his examination for discovery of June 30, 2006, was consistent with his lacking any knowledge of what had struck him. Instead, he surmised it was a vehicle that struck him, simply because he was struck in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plaintiff claimed in cross-examination that he recalled everything that happened on that day and had always recalled the events in question, his initial evidence during his direct evidence was that his mind had been "reactivated" by his first discovery and it was that reactivation that had caused him that evening to remember the second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both his Statement and his first Discovery, the plaintiff had indicated that he lost consciousness after being struck in the middle of the intersection. In his direct evidence, he said that he had not lost consciousness until his leg was later rolled over by the bus. This latter evidence was inconsistent with the evidence of Mr Polson. Furthermore, both Mr. Polson and Dr. Smith said the plaintiff was unable at the time they dealt with him to recount what had happened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the plaintiff's evidence was that he never reached the curb on the southwest corner of the intersection, but rather manoeuvred himself to the left along the street and tried to maintain his balance until he fell several yards later on the curb. This evidence is inconsistent with the evidence of Mr. Lazell. Mr. Lazell testified that the plaintiff had made his way southbound on the sidewalk for some 200 feet, under his own power, before losing his balance and then falling into the street. The plaintiff's assertion that he fell behind a bus which then rolled backwards is completely at odds with the evidence of Mr. Lazell.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one witnessed the specific events or the impact alleged by the plaintiff in the First Action. No aspect of the plaintiff's case, as it relates to the First Action, is corroborated in anyway by any independent or objective evidence. Indeed it is inconsistent with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Accordingly, the plaintiff's claim in the First Action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circumstances relating to the Second Action are only marginally clearer. Mr. Lazell did see Mr. Letchumanapillai stumble, fall and get struck by a bus. He gave no evidence relating to the number of the bus that struck Mr. Letchumanapillai. He also gave no evidence relating to the identity of the bus driver. The defendant Transportation Authority called relevant evidence from several further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such witness was Mr. Sugu Pillai who is a bus driver and who confirmed that he was driving the Route #10 bus on November 7, 2003. That bus travels down Granville Street. Mr. Pillai could not recall what specific time in the afternoon of November 7, 2003 his bus had passed by the Granville and Helmcken Street bus stop going south. Mr. Pillai did confirm that on the afternoon of November 7, 2003 he was advised by an internal control unit of the Transportation Authority, known as T. Comm, that someone had seen his bus strike a person. There was no evidence at trial from the T. Comm person who had spoken to Mr. Pillai. There was no production of any of the internal T. Comm records that one would expect would be generated or produced following such an incident. There was no evidence from the witness who had reported these events to the Transportation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Pillai said that he was unaware if his bus struck anyone. He did not "witness or see anything". He could not recall anything unusual happening at the Granville and Helmcken Street bus stop that afternoon. After being told that his bus might have struck someone, he had walked around the bus and saw no objective evidence or indication on the bus that this was so. Mr. Pillai's evidence was consistent with the brief written report that he filed with the Transportation Authority after being contacted by T. Comm. Mr. Pillai was not cross-examined on this evidence and I accept that Mr. Pillai did not "witness or see anything" unusual that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report filed by Mr. Pillai does contain two salient pieces of information. First, it indicates that the bus he drove was bus #2859. Second, the report he prepared indicates that Mr. Pillai was contacted by T. Comm at "about 1600 hrs." or within approximately one hour of Mr. Letchumanapillai's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second witness was Mr. Clark McLauchlan, who is also a bus driver, and who was also driving south on Granville Street on the afternoon of November 7, 2003. Mr. McLauchlan gave evidence which was largely consistent with the brief report he filed after he too was contacted by T. Comm. That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approx. 1610 hrs. I received a call from T. Com, asking me if I saw an incident at Granville and Helmcken S/B, at approximately 1452 hrs. I said yes and explained what I saw. At approx. 1452 hrs. I was pulling into the stop at Granville and Helmcken as bus 2859 it was pulling out. As I was stopping there was a man just crawling on the sidewalk from the road. I stopped in front of him and asked if he was alright but I got no response. ... As I pulled out of the stop and got to the lights at Granville and Davie Street S/B an ambulance arrived on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foregoing report is relevant in several respects. First, when asked by T. Comm whether he had seen an "incident", Mr. MacLauchlan responded that he had. Thus, although Mr. MacLauchlan in his direct evidence said the plaintiff did not appear injured, his report suggests that he recognized at the time that something was amiss. This conclusion is also consistent with Mr. MacLauchlan enquiring of Mr. Letchumanapillai whether he was injured. Second, the report indicates that these events took place at "1452 hrs.". This aligns with the report of Mr. Polson and the time at which he arrived at the scene of the accident. Third, the report identifies and confirms that the bus which was pulling out as Mr. MacLauchlan arrived at the bus stop was bus #2859 -- the bus which was driven by Mr. Pillai.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Notwithstanding the foregoing facts, I am not satisfied on the balance of probabilities, that it was the bus being driven by Mr. Pillai that struck the plaintiff. "Causation is established where the plaintiff proves to the civil standard on a balance of probabilities that the defendant caused or contributed to the injury": Mr. Justice Major, for the court,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459, citing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of Mr. Lazell was that it was the front right corner of the bus in question which, as it was pulling into the bus stop, struck the plaintiff. I cannot imagine that in such circumstances Mr. Pillai would be unaware of what had happened. It would be that very corner of the bus that Mr. Pillai would be focusing on as he pulled into a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a further aspect of Mr. Lazell's evidence which is troublesome. Mr. Lazell indicated that he had been aware of two buses passing by him, in tandem, as he was in the crosswalk. The evidence of Mr. Lazell, though it was not quite clear, suggested that it was the second bus which later struck the plaintiff. Unless there was still a further unidentified bus in front of the bus being driven by Mr. Pillai, the evidence of Mr. Lazell would suggest that it was the bus driven by Mr. MacLauchlan which struck the plaintiff. This, however, is completely inconsistent with the evidence of Mr. MacLauchlan who was quite clear that he had seen the plaintiff crawling as he pulled his bus into the stop, and that he, in fact, stopped adjacent to the plaintiff to speak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Thus while it seems clear, and I find, that one of the defendant Transportation Authority's buses struck the plaintiff, I am unable, on the balance of probabilities, to determine who the driver of that bus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fact that a bus struck the plaintiff is not enough sufficient, in and of itself, to impose liability on the defendant Transportation Authority in the Second Action. Instead, it is also necessary for Mr. Letchumanapillai to establish that the defendant Transportation Authority was negligent. In particular, it is necessary for Mr. Letchumanapillai to establish that the defendant fell short of the standard of care expected of it and its drivers. As set out by Chief Justice McLachlin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breach of a duty of care arising from a reasonably foreseeable risk of harm to one person, created by the act or omission of another: </w:t>
      </w:r>
      <w:r>
        <w:rPr>
          <w:rFonts w:ascii="arial" w:eastAsia="arial" w:hAnsi="arial" w:cs="arial"/>
          <w:i/>
          <w:color w:val="000000"/>
          <w:sz w:val="20"/>
          <w:lang w:val="en-US" w:eastAsia="en-US" w:bidi="ar-SA"/>
        </w:rPr>
        <w:t>Jordan House Ltd. v. Menow</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xml:space="preserve">, at p. 247,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Laskin J. (as he then was). By enforcing reasonable standards of conduct, so as to prevent the creation of reasonably foreseeable risks of harm, tort law serves as a disincentive to risk-creating behaviour: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at para. 50, per Major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not satisfied on the whole of the evidence that the defendant Transportation Authority failed to satisfy the standard of care or conduct expected or required of it. Indeed, there is almost no relevant evidence on the record which addresses this issue. The plaintiff provided me with no evidence upon which I could rely. His version of how he was injured in the Second Action is, for the reasons I have given, unreliable and I do not accept it. There is similarly no evidence from the driver of whatever bus hit the plaintiff of the events that took place in the moments prior to Mr. Letchumanapillai being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only relevant evidence comes from Mr. Lazell. He saw, as I said, a bus strike the plaintiff. He indicated that this occurred as the bus had slowed down and was about to stop. There was no suggestion from him that the bus was being driven quickly or unsafely. There is also no evidence to suggest that the driver in question did not maintain an adequate lookout. I say this because there is some question about how and where the actual impact between the bus in question and the plaintiff occurred. It should be recalled that Mr. Lazell estimated that he was perhaps 200 feet away from the accident when it occurred -- not an insignificant distance. He also testified that the front right corner of the bus struck the left side of Mr. Letchumanapillai's torso. This seems quite unlikely. There was no evidence that the upper part of Mr. Letchumanapillai's body suffered any injury. Still further, the fact that no bus driver was aware that he had struck the plaintiff brings into question whether it was, in fact, the front right corner of the bus which caused the plaintiff's injuries. As I have said, if a bus were pulling into a bus stop and the front right corner of that bus struck an individual, one would expect the driver to be aware of this. It is the very spot where one would expect the bus driver's attention to be focused.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Such considerations raise the question of whether perhaps Mr. Letchumanapillai fell or stumbled into the side of a bus. It would be hard to determine this clearly from 200 feet away. If Mr. Letchumanapillai fell into the side of a passing bus, there is very little a bus driver could do. I recognize that such considerations are largely speculative. At the end, I return to where I started. There is very little cogent evidence which relates to the details of the accident. There is no evidence to suggest that the bus which struck Mr. Letchumanapillai was being driven unsafely.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I turn to the central part of what Mr. Lazell did see. He did see the plaintiff stumbling down Granville Street. He did see the plaintiff trip and fall into or in front of the bus just as it was about to stop and when it was no more than eight to ten inches from the curb. Based on the evidence available to me there is no basis to conclude that there was any failure on the part of the Transportation Authority to meet the standard of care required of it or its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action against the various defendants in the Second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in both the First Action and the Second Action are, if they seek them, to have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Leung v. Hui, [2001] I.L.R. para. M-1285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Drossos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21,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M-1285</w:t>
      </w:r>
    </w:p>
    <w:p>
      <w:pPr>
        <w:spacing w:before="120" w:line="260" w:lineRule="atLeast"/>
        <w:rPr>
          <w:lang w:val="en-US" w:eastAsia="en-US" w:bidi="ar-SA"/>
        </w:rPr>
      </w:pPr>
      <w:r>
        <w:rPr>
          <w:rFonts w:ascii="arial" w:eastAsia="arial" w:hAnsi="arial" w:cs="arial"/>
          <w:color w:val="000000"/>
          <w:sz w:val="20"/>
          <w:lang w:val="en-US" w:eastAsia="en-US" w:bidi="ar-SA"/>
        </w:rPr>
        <w:t>Leung v. Hui</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2"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1" w:name="Keywords_5"/>
      <w:bookmarkEnd w:id="101"/>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Third-party driver caused damage to plaintiff's car — Third party liable for plaintiff's loss of premium discount for automobile insurance.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2" w:name="Case Summary_5"/>
            <w:bookmarkEnd w:id="10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arising from a motor vehicle accident. The plaintiff had been out drinking with friends, and when they left the restaurant, the defendant insisted on driving the plaintiff's car. His excessive speed when making a turn caused him to lose control of the car and crash. The plaintiff's car was a write-off. She claimed as damages the loss of her road sense discount from her yearly motor vehicle insurance premiums. Her annual discount for a similar vehicle would be $1,661, and her discount loss would decrease by 10 per cent annually until the discount was fully restored. </w:t>
            </w:r>
            <w:r>
              <w:rPr>
                <w:lang w:val="en-US" w:eastAsia="en-US" w:bidi="ar-SA"/>
              </w:rPr>
              <w:cr/>
            </w:r>
          </w:p>
          <w:p>
            <w:pPr>
              <w:spacing w:before="120" w:line="260" w:lineRule="atLeast"/>
              <w:ind w:left="240"/>
              <w:jc w:val="both"/>
              <w:rPr>
                <w:lang w:val="en-US" w:eastAsia="en-US" w:bidi="ar-SA"/>
              </w:rPr>
            </w:pPr>
            <w:bookmarkStart w:id="103" w:name="Holdings of Court_5"/>
            <w:bookmarkEnd w:id="103"/>
            <w:r>
              <w:rPr>
                <w:rFonts w:ascii="arial" w:eastAsia="arial" w:hAnsi="arial" w:cs="arial"/>
                <w:color w:val="000000"/>
                <w:sz w:val="20"/>
                <w:lang w:val="en-US" w:eastAsia="en-US" w:bidi="ar-SA"/>
              </w:rPr>
              <w:t>HELD: The plaintiff was successful in her claim for the loss of the discount.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Although she had not yet purchased a replacement vehicle, it was found that she had a real intention to do so. The loss of this discount was a reasonably foreseeable consequence of the defendant's negligent driving of the car, and he should be liable for the loss. The Court estimated the loss at $4,500.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44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Level One Construction Ltd. v. Burnham, [2017] B.C.J. No. 2732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S147988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2732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2470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85 C.L.R. (4th)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3727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Level One Construction Ltd. and Randy Kautzman, Plaintiffs, and Marla Burnham, Canadian Broadcasting Corporation, Eric Rankin, Jenni Sheppard, Wayne Williams, Chris Foe, Chris Poe, Kim Yoe, Chris Sloe, Kim Loe, John Doe and Richard 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jc w:val="both"/>
        <w:rPr>
          <w:rFonts w:ascii="arial" w:eastAsia="arial" w:hAnsi="arial" w:cs="arial"/>
          <w:sz w:val="20"/>
          <w:lang w:val="en-US" w:eastAsia="en-US" w:bidi="ar-SA"/>
        </w:rPr>
      </w:pPr>
      <w:bookmarkStart w:id="104" w:name="Counsel_27"/>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R.A.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Marla Burnham: C.V. Morcom, J.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CBC, Eric Rankin, Jenni Sheppard, and Wayne Williams: D.T. McKnight, T. Hoogstraten.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5" w:name="Judgment_27"/>
      <w:bookmarkEnd w:id="105"/>
      <w:r>
        <w:pict>
          <v:line id="_x0000_s1125" style="position:absolute;z-index:2517452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Ruling on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Admissibility of the Report of John Miller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dated November 2, 2016</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6" w:name="N. SHARMA J. (orally)"/>
            <w:bookmarkEnd w:id="106"/>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are my reasons on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that was conducted yesterday about the admissibility of the expert report of John Miller dated November 2, 2016, which the plaintiffs intend to introduce during the trial. The defendants, Canadian Broadcasting Corporation, Eric Rankin, Jenni Sheppard and Wayne Williams (the "CBC defendants") object to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To put these reasons into context, the plaintiffs in this case sue the defendants for defamation. The plaintiff Level One Construction Ltd. (Level One), is a construction company, and the plaintiff Randy Kautzman is its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Level One had a contract with the defendant Marla Burnham. A dispute arose between them about that contract, specifically whether Ms. Burnham was entitled to a refund of any portion of a $5,000 deposit she paid. Ms. Burnham filed an action in Small Claims Court on January 2, 2014, seeking a return of the whole deposit. On February 12, 2014, Level One filed a reply to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20, 2014, Ms. Burnham contacted the CBC about her dispute with Level One at an email address for the network's investigative and enterprise unit. Her email was forwarded to Mr. Rankin on February 11,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Rankin works for the CBC. He is a reporter and producer for a feature called </w:t>
      </w:r>
      <w:r>
        <w:rPr>
          <w:rFonts w:ascii="arial" w:eastAsia="arial" w:hAnsi="arial" w:cs="arial"/>
          <w:i/>
          <w:color w:val="000000"/>
          <w:sz w:val="20"/>
          <w:lang w:val="en-US" w:eastAsia="en-US" w:bidi="ar-SA"/>
        </w:rPr>
        <w:t>CBC Investigates</w:t>
      </w:r>
      <w:r>
        <w:rPr>
          <w:rFonts w:ascii="arial" w:eastAsia="arial" w:hAnsi="arial" w:cs="arial"/>
          <w:color w:val="000000"/>
          <w:sz w:val="20"/>
          <w:lang w:val="en-US" w:eastAsia="en-US" w:bidi="ar-SA"/>
        </w:rPr>
        <w:t>. In that capacity he contacted Ms. Burnham by phone on February 12 and interviewed her at her home later the same day. The plaintiffs allege that during that interview Ms. Burnham made defamatory statements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Two days later, on February 14, the CBC broadcast on TV a report about Ms. Burnham's dispute with Level One. On the same day, it also posted on its website a summary of that report and a link to the video broadcast. The plaintiffs allege those publications constitute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amended notice of civil claim was filed December 1, 2016, and it sets out the particulars of the alleged publications and defamatory statements. The defendants filed responses to the original notice of civil claim in November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Among the defences raised by the CBC defendants to this claim is the defence of responsible communication. The test for that defence was formulated by the Supreme Court of Canada in </w:t>
      </w:r>
      <w:r>
        <w:rPr>
          <w:rFonts w:ascii="arial" w:eastAsia="arial" w:hAnsi="arial" w:cs="arial"/>
          <w:i/>
          <w:color w:val="000000"/>
          <w:sz w:val="20"/>
          <w:lang w:val="en-US" w:eastAsia="en-US" w:bidi="ar-SA"/>
        </w:rPr>
        <w:t>Grant v. Torstar</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Distilled to its basics, the test requires a defendant to establish that the publication was about a matter of public interest. This is conceded in this case. The defendant must also establish that the publication was responsible in that the publisher was diligent in trying to verify allegations having regard to the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assess whether the publisher was diligent in verifying allegations, the Supreme Court of Canada identified some relevant factors to consider: the seriousness of the allegations; the importance to the public of the matter being the subject to the allegedly defamatory publication; the urgency of the need to publish; the status and liability of the source; whether the plaintiffs' side of the story was sought and accurately reported; whether inclusion of the defamatory statement was justifiable; and whether the public interest in the matter was the fact that it was made rather than its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Supreme Court of Canada stated that the list of factors is not exhaustive and not all factors are necessarily weighed equally. Also, other factors can be considered, and a few examples are given by the Court, such as the tone of the article and whether it can convey more than one meaning, and if so, whether the defendants' intended meaning was relevant. The plaintiffs' position is that the CBC defendants cannot meet the test for responsible communication and in support of that position, they rely on Mr. Miller's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Miller is a former award-winning reporter, former newsroom editor, and former senior professor at Ryerson University School of Journalism. He was a member of the Ontario Press Council. He has judged competitions for journalistic excellence and wrote a book about the practice of newspaper journalism.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addition to reviewing the material provided to him by counsel, Mr. Miller refers to the CBC Journalistic Standards and Practices, the Canadian Press' Editorial Values as published on its website, the Canadian Association of Journalists Ethics Guidelines, the </w:t>
      </w:r>
      <w:r>
        <w:rPr>
          <w:rFonts w:ascii="arial" w:eastAsia="arial" w:hAnsi="arial" w:cs="arial"/>
          <w:i/>
          <w:color w:val="000000"/>
          <w:sz w:val="20"/>
          <w:lang w:val="en-US" w:eastAsia="en-US" w:bidi="ar-SA"/>
        </w:rPr>
        <w:t>Toronto Star</w:t>
      </w:r>
      <w:r>
        <w:rPr>
          <w:rFonts w:ascii="arial" w:eastAsia="arial" w:hAnsi="arial" w:cs="arial"/>
          <w:color w:val="000000"/>
          <w:sz w:val="20"/>
          <w:lang w:val="en-US" w:eastAsia="en-US" w:bidi="ar-SA"/>
        </w:rPr>
        <w:t xml:space="preserve"> Newsroom Policy and Journalistic Standards Guide, a textbook about the core values of journalism, and the UNESCO training manual for investigative journalism.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letter of instruction, Mr. Miller was asked to opine on four issues: (i) whether the alleged defamatory publications were on a matter of public interest, and as I have noted, my understanding is that the plaintiffs concede this point; (ii) what are the recognized established practices of a competent professional journalist in the circumstances of this case; (iii) whether the CBC defendants complied with those practices, and (iv) whether the CBC defendants responded appropriately when the plaintiffs raised concerns about the fairness and accuracy of the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say Mr. Miller's expert report is inadmissible for a number of reasons. They say the expert opinion is unnecessary. They say Mr. Miller opines on areas both outside of his expertise and within the exclusive purview of the trial judge: the ultimate issue and issues of credibility. They submit it was improper to give Mr. Miller the examination for discovery transcripts. They submit the report lapses into advocacy for the plaintiffs, demonstrated in part by portions of the opinion which constitute legal argument rather than evidence. And lastly, they submit the report is based on speculation and/or misstated or incomplete facts and therefore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parties do not dispute that the legal test to determine admissibility of expert opinion is set out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which stipulated four mandatory criteria that must be met to admit otherwise inadmissible opinion evidence at trial:</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legally relevant;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necessary in assisting the trier of fact;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exclusionary rule otherwise prohibiting the admission of the evidence;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the opinion of a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bears repeating that "legally relevant" has a very specific meaning. In </w:t>
      </w:r>
      <w:r>
        <w:rPr>
          <w:rFonts w:ascii="arial" w:eastAsia="arial" w:hAnsi="arial" w:cs="arial"/>
          <w:i/>
          <w:color w:val="000000"/>
          <w:sz w:val="20"/>
          <w:lang w:val="en-US" w:eastAsia="en-US" w:bidi="ar-SA"/>
        </w:rPr>
        <w:t>Sopinka on Evidence</w:t>
      </w:r>
      <w:r>
        <w:rPr>
          <w:rFonts w:ascii="arial" w:eastAsia="arial" w:hAnsi="arial" w:cs="arial"/>
          <w:color w:val="000000"/>
          <w:sz w:val="20"/>
          <w:lang w:val="en-US" w:eastAsia="en-US" w:bidi="ar-SA"/>
        </w:rPr>
        <w:t>, the authors state that "[o]pinion evidence must have some probative value to make the existence or non-existence of a material fact more probable or less probable than it would be without the evidence." If the expert evidence cannot assist the trier of fact to determine if a disputed material fact is more probable or not, it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principal was stated slightly differently in </w:t>
      </w:r>
      <w:r>
        <w:rPr>
          <w:rFonts w:ascii="arial" w:eastAsia="arial" w:hAnsi="arial" w:cs="arial"/>
          <w:i/>
          <w:color w:val="000000"/>
          <w:sz w:val="20"/>
          <w:lang w:val="en-US" w:eastAsia="en-US" w:bidi="ar-SA"/>
        </w:rPr>
        <w:t>R. v. Beland</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xml:space="preserve"> at para. 74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 of the expert witness is to provide for the jury or other trier of fact an expert's opinion as to the significance of, or the inferences which may be drawn from, proved facts in a field in which the expert witness possesses special knowledge and experience going beyond that of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two important elements emerge. The expert must have specialized knowledge or expertise beyond that of the trier of fact. And, the opinion proffered by the expert must assist the trier of fact in making findings about material facts by providing his or her opinion on the probability about the existence of that material fact, or the ability to draw inferences from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J.-L.J.</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2000 SCC 5</w:t>
        </w:r>
      </w:hyperlink>
      <w:r>
        <w:rPr>
          <w:rFonts w:ascii="arial" w:eastAsia="arial" w:hAnsi="arial" w:cs="arial"/>
          <w:color w:val="000000"/>
          <w:sz w:val="20"/>
          <w:lang w:val="en-US" w:eastAsia="en-US" w:bidi="ar-SA"/>
        </w:rPr>
        <w:t xml:space="preserve"> at paras. 30 and 56, the Court goes a bit further in commenting on the manner in which an expert's opinion should be of assistance: it is not enough that the opinion evidence is merely helpful, or that it might reasonably assist the trier of fact; instead, the opinion evidence must be required to enable the fact-finder to appreciate a matter of issue due to its technical nature. Further, trial judges have residual authority to exclude relevant expert evidence when the probative value of that evidence is outweighed by its prejudicial effect. The closer the opinion evidence goes to an ultimate issue in a given matter, the more strictly the criteria of necessity and the cost-benefit analysis ought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What does prejudice mean in this context? Typically, prejudice from the admission of evidence means a negative impact on the strength of a party's case. An example is an application to admit late evidence. The party opposing its admission can argue, for instance, that the late evidence is prejudicial because she planned her trial strategy on the basis of the evidence she believed she had to meet. The court looks to the impact of its admission and what that impact is on the fairness of the trial to the parties even though there is no dispute evidence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my view, that is not the way in which the Supreme Court of Canada used prejudice in </w:t>
      </w:r>
      <w:r>
        <w:rPr>
          <w:rFonts w:ascii="arial" w:eastAsia="arial" w:hAnsi="arial" w:cs="arial"/>
          <w:i/>
          <w:color w:val="000000"/>
          <w:sz w:val="20"/>
          <w:lang w:val="en-US" w:eastAsia="en-US" w:bidi="ar-SA"/>
        </w:rPr>
        <w:t>J.-L.J</w:t>
      </w:r>
      <w:r>
        <w:rPr>
          <w:rFonts w:ascii="arial" w:eastAsia="arial" w:hAnsi="arial" w:cs="arial"/>
          <w:color w:val="000000"/>
          <w:sz w:val="20"/>
          <w:lang w:val="en-US" w:eastAsia="en-US" w:bidi="ar-SA"/>
        </w:rPr>
        <w:t>. Instead, the Court was referring to the tendency of expert evidence to distort the fact-finding process. That case was about the admissibility of a psychiatrist's opinion on the existence in the accused of indicia of deviant sexual interest. The accused was charged with sexual offences against children. The trial judge excluded the expert evidence, the Court of Appeal reversed, and the Supreme Court of Canada reinstated the conviction, upholding the trial judge's exclusion of that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Speaking for the Court, Justice Binnie starts by emphasizing that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was an important decision in clarifying the test for admissibility of expert evidence. The Court noted that </w:t>
      </w:r>
      <w:r>
        <w:rPr>
          <w:rFonts w:ascii="arial" w:eastAsia="arial" w:hAnsi="arial" w:cs="arial"/>
          <w:i/>
          <w:color w:val="000000"/>
          <w:sz w:val="20"/>
          <w:lang w:val="en-US" w:eastAsia="en-US" w:bidi="ar-SA"/>
        </w:rPr>
        <w:t>Mohan's</w:t>
      </w:r>
      <w:r>
        <w:rPr>
          <w:rFonts w:ascii="arial" w:eastAsia="arial" w:hAnsi="arial" w:cs="arial"/>
          <w:color w:val="000000"/>
          <w:sz w:val="20"/>
          <w:lang w:val="en-US" w:eastAsia="en-US" w:bidi="ar-SA"/>
        </w:rPr>
        <w:t xml:space="preserve"> emphasis on gatekeeping was important because of the increasing frequency of experts being called in criminal cases. In the ensuing debate about the suitability of expert evidence, the Court noted there must be measures to avoid "junk" science. The concern was that opinions would be dressed up in scientific language and may not easily be understood by the jury, possibly distorting the significance, weight or even relevance of the evidence simply because it was issued by an eminent and recognized person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argue before me that because this is a judge alone trial, there is not the same need for heightened concern about prejudicial effect. While I agree extra care must be taken when the trier of fact is a jury, that does not mean a consideration of prejudice is irrelevant in a judge alone trial. Thus, some consideration must be given to how probative the opinion is to material facts in this case, versus the potential that the fact finding process will be unduly influenced by that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the Court affirmed, in the second of the four factors, that whether the opinion is necessary to assist the trier of fact requires something more than that the opinion is merely helpful. Quoting from Justice Dickson's decision in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the opinion must be necessary in the sense that it provides information which is likely to be outside the expertise and knowledge of a judge or jury. The utility of an expert's opinion is, "... to provide the judge and jury with a ready-made inference which the judge and jury, due to the technical nature of the facts, are unable to formulate." If on the proven facts a judge and jury can form their own conclusion without help then the opinion of the expert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Keefer Laundry v. Pellerin Milnor Corporation</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2008 BCSC 119</w:t>
        </w:r>
      </w:hyperlink>
      <w:r>
        <w:rPr>
          <w:rFonts w:ascii="arial" w:eastAsia="arial" w:hAnsi="arial" w:cs="arial"/>
          <w:color w:val="000000"/>
          <w:sz w:val="20"/>
          <w:lang w:val="en-US" w:eastAsia="en-US" w:bidi="ar-SA"/>
        </w:rPr>
        <w:t>, Justice Smith noted that applying the criteria to determine if the opinion can assist the Court must be done by treating the report as a whole. Nevertheless, it is generally accepted that if only portions of a report are inadmissible and the report can still be helpful as a whole without the offending portions, the trial judge has discretion to redact those portions in order to make the report admissible. Obviously, this depends on the report itself, and the extent to which any inadmissible portions can be disentangled from the admissible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Applying these principles to Mr. Miller's report, I have concluded that his report is inadmissible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primary reason is that it is unnecessary. The crux of Mr. Miller's opinion is that an analysis of whether the CBC defendants met the standards expected of a reasonable, responsible journalist. Had this been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clear that the court accepts, and sometimes requires, expert opinion about the applicable standard of care. But this is a defamation case; the issue upon which Mr. Miller's report is proffered is to assist in what constitutes responsible communication. I have already reproduced above that test as articulated by the Supreme Court of Canada, and I will not repeat it here. It is important to note, however, that the test is not a complete code because the Court stated the list of factors is not exhaustive. However, the Supreme Court of Canada was careful to categorize it as a new defence and not simply a clarification or subset of the existing defence of qualified privilege. In my view, the Court's reasons for doing that are relevant to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Supreme Court of Canada stated that it took a principled approach in changing the law because of the incompatibility of the former defences with freedom of expression. In reviewing the defences available to media outlets in defamation (at paras. 30-37), the Court noted it remained unclear when, if ever, a media outlet can avail itself of the defence of qualified privilege. Thus, if a publisher cannot prove truth in a court of law, it was unclear if a viable defence existed for the media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paras. 41-57, the Court discusses the purposes for the protection of freedom of expression, including the fact that the courts recognized its importance and prior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being implemented, and its fundamental importance to a democratic society. The Court framed the issue as whether the traditional defences for defamatory statements of fact struck the appropriate balance between the competing values of freedom of expression on the one hand, and protection of reputation and privacy on the other. Clearly, the Court concluded that they did not. That is why it created the defence of responsible communication. The goal was to better achieve an appropriate balance amongst those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impetus to change the law was largely for the benefit of media outlets. While the defence is not limited to journalists, there is no doubt the Court was moved to create the category because of the primacy it placed on freedom of expression, and explicitly freedom of the press, as a fundamental tenet of our society. The defence was established with that in mind, and also with the view to balance the interests of privacy, reputation, against freedom of expression. In other words, the Supreme Court of Canada was alive to the competing interests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Supreme Court of Canada created a set of questions to be asked, so a court can determine whether in a particular case, someone has met the </w:t>
      </w:r>
      <w:r>
        <w:rPr>
          <w:rFonts w:ascii="arial" w:eastAsia="arial" w:hAnsi="arial" w:cs="arial"/>
          <w:color w:val="000000"/>
          <w:sz w:val="20"/>
          <w:u w:val="single"/>
          <w:lang w:val="en-US" w:eastAsia="en-US" w:bidi="ar-SA"/>
        </w:rPr>
        <w:t>standard</w:t>
      </w:r>
      <w:r>
        <w:rPr>
          <w:rFonts w:ascii="arial" w:eastAsia="arial" w:hAnsi="arial" w:cs="arial"/>
          <w:color w:val="000000"/>
          <w:sz w:val="20"/>
          <w:lang w:val="en-US" w:eastAsia="en-US" w:bidi="ar-SA"/>
        </w:rPr>
        <w:t xml:space="preserve"> of responsible communication. The Court could have created a test that would have required, or greatly benefitted from, expert evidence about what the standard should be, but it chose not to. Instead, it listed relevant factors and set out a specific test. Essentially, it has articulated within the test itself the appropriate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Whether conduct meets that test is a fact-specific inquiry, but in my view none of the material facts will require specialized or technical knowledge that is outside the scope of a jury or a trial judge. The first step (whether it is a matter of public interest) has been specifically stated to be largely a question of law. The Supreme Court of Canada then lists seven factors to assist in deciding if a publisher was diligent, and in my view none of those involve considerations that are technical, complex or of a scientific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acknowledge that the plaintiffs have directed me to cases where courts have admitted expert evidence similar to Mr. Miller's in defamation cases. Of course, individual decisions made in other contexts are not binding on me. More importantly, however, my understanding is that in none of those cases were objections taken to the admissibility of the reports. It appears the parties may have consented to admissibility. Therefore, those judges were not required, and did not engage, in the analysis that has been put before me. I add my observation that no evidence should ever be admitted by consent of the parties. Parties can agree evidence is admissible, but it always remains the exclusive purview of the trial judge who decides whether evidence is admissible or not. That applies to all evidence, including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test for admissibility states the purpose of expert opinion is to provide ready-made inferences that will help a judge determine whether material facts have been proven. Some of the questions I will have to assess in this case are the seriousness of the allegation, the urgency of the publication, and whether the plaintiffs' side of the story was sought and accurately reported. Mr. Miller's opinion on whether the CBC met certain industry standards, in my view, will not assist me to conclude one way or another whether those facts relating to seriousness, urgency, or accuracy of the plaintiffs' side were more or less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Furthermore, in some places Mr. Miller strays too far into expressing an opinion on the very questions before me, thus violating the rule against opining on the ultimate issue. That is another reason why portions of his report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add that the ease with which his opinion strays into that territory is itself some indication of why expert opinion is not necessary. There is nothing involved in his analysis that cannot be gleaned from looking at the evidence itself; no special expertise or skill is required. That is sufficient, in my view, to exclude those portions of the report I have identified, but I comment on a few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submit it is inappropriate to give an expert the entire examination for discovery transcript because it is not known what portions of that may or may not eventually be read into the record. This leaves the expert in the position of having to draw his or her own conclusions as to which facts should be used in support of the opinion. That violates a cardinal rule about expert evidence that the facts and assumptions upon which the opinion is based must be stated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submit that there is no absolute rule against providing the examination for discovery transcripts to experts, citing </w:t>
      </w:r>
      <w:r>
        <w:rPr>
          <w:rFonts w:ascii="arial" w:eastAsia="arial" w:hAnsi="arial" w:cs="arial"/>
          <w:i/>
          <w:color w:val="000000"/>
          <w:sz w:val="20"/>
          <w:lang w:val="en-US" w:eastAsia="en-US" w:bidi="ar-SA"/>
        </w:rPr>
        <w:t>Friebel v. Omelchenko</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2013 BCSC 948</w:t>
        </w:r>
      </w:hyperlink>
      <w:r>
        <w:rPr>
          <w:rFonts w:ascii="arial" w:eastAsia="arial" w:hAnsi="arial" w:cs="arial"/>
          <w:color w:val="000000"/>
          <w:sz w:val="20"/>
          <w:lang w:val="en-US" w:eastAsia="en-US" w:bidi="ar-SA"/>
        </w:rPr>
        <w:t>. In that case, a party objected to an expert report because the expert was provided with the examination for discovery transcripts, although I note that involved transcripts from both parties, unlike in the case before me. Nevertheless, in analyzing the issues, Justice Ker points to the judicial commentary about the inappropriateness of simply handing over examination for discovery transcripts to experts, referencing some of the cases the defendants cited to me. But she clarifies that, in most of those cases, the Court specifically identified the problem was that the expert failed to outline or provide a statement of assumed facts. In the case before her, the expert did provide that outline. The report listed not only assumed facts given by counsel, but also further facts assumed in preparing the expert's report and their source. She stated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of [the expert]'s report did not leave the reader in doubt as to what factual assumptions underlie the opinions provided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I explain below, I find Mr. Miller's report suffers from that exact problem, and therefore raises the possibility that he has failed to list all of the facts and assumptions upon which his opinion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analyze that possibility, together with the defendants' objections about usurping the role of the trier of fact. The defendants say Mr. Miller improperly opines on credibility and the ultimate issue.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Miller was given a letter of instruction in which counsel set out 27 paragraphs of factual assumptions. Mr. Miller said he relies on those and the letter is properly attached to his opinion. However, he then says, "I also refer to Mr. Rankin's account of his interview with the defendants as detailed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legal discourse, there is an important difference between relying on something (using it as a reason why you make a finding), and referring to it (the matter becomes part of the context and background). It is not clear to me if Mr. Miller intended to invoke that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 importantly, Mr. Rankin's accounts of the interview are not set out in any fashion in Mr. Miller's report. I am left to assume that they are to be gleaned from reading the entire examination for discovery transcript. While it is true there are pinpoint references in the body of his report and one quote, it is also clear that he relies on portions not cited. For example, in one portion of the report he states an "example" to be typical of others, and the other examples are not identified, and therefore I do not know what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this is the exact danger identified in the case law from giving the examination for discovery transcript to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of the primary tasks of a trial judge when weighing the usefulness and ultimately the persuasiveness of any expert report is to ask how well the assumed facts upon which the expert based his or her opinion matched the evidence proven at trial. Having assumed facts set out clearly allows the judge to easily conduct that assessment. Most of Mr. Miller's answer to question 3 suffers from the inability to discern the facts that he bases his conclusions and opinions on. That is most acute when he concludes that Mr. Rankin did not do enough to report the plaintiffs' version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a starting point, Mr. Miller refers to one of the assumed facts at para. 19 in the letter of instruction. It states, "Mr. Rankin learned that Ms. Burnham's major complaint with the third estimate was the increased price for the sauna." That the increased price for the sauna was Ms. Burnham's complaint may or may not equate to it being a "key problem" in the dispute she had with Level One. In his report, Mr. Miller goes beyond that fact. At page 5 he states, "Mr. Rankin correctly determined that the key difference in the two estimates was cost of sauna."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not clear the basis for Mr. Miller concluding that the sauna was the "key difference". If he is basing that only on paragraph 19, that is not what paragraph 19 says. I acknowledge that it may be a reasonable, fair and ultimately accurate inference to draw from paragraph 19. And that it ultimately might be proven true at trial that a key difference between the two estimates was the cost of the sauna. However, Mr. Miller goes even further. On page 7 he focuses on answers that Mr. Rankin gave at the examination for discovery about what particular notations in his handwritten notes from his interview with Mr. Kautzman meant. Mr. Rankin's responses included "I am not sure what that means", "I honestly don't remember", and "I don't recall exactly".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Miller remarked that at the discovery Mr. Rankin did admit that he read a November 19 email that Mr. Kautzman sent to Ms. Burnham. Mr. Miller characterizes that email to be one where the president "clearly explained" what an allowance is and what its relevance was to the dispute. The email was not included in his report, nor was it an assumed fact given to him. He then goes on and references Mr. Rankin saying, "[t]here had been some bone of contention over the sauna, that's what I remember," as an answer, but I do not know what question was specifically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Having identified these items from the transcript, Mr. Rankin admitting to having read the email, Mr. Miller states a conclusion that it "is a rather surprising admission from someone who claims to have investigated the story thoroughly and clearly understood that the cost of the sauna was a key factor." Mr. Miller has drawn a conclusion about Mr. Rankin's state of mind when he says "clearly understood," and it is not clear to me the facts upon which he bases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 are two aspects of this which are problematic: First, he is stating that the cost of the sauna was the key factor (as discussed above). Second, he is assuming that Mr. Rankin was of the same view, apparently based on assumed facts, isolated answers to examination for discovery transcripts and the apparent content of an email. However, Mr. Miller has no expertise relative to the court on drawing conclusions or inferences from the same material. Had that been all that had happened, it might have been a minor concern, but he then uses the conclusions he has drawn to question the credibility of a witness. Mr. Miller wrote, "[e]ven if we give Mr. Rankin the benefit of doubt and accept he cannot remember key details of his interview with Mr. Kautzman and cannot explain his own notes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Credibility findings are the exclusive domain of triers of fact, and it is inappropriate for an expert to comment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have suggested that if I found it unclear what use Mr. Miller made of the transcript citations in his report, I could excise those and subject them to little or no weight. I do not agree. The citations are too interwoven with Mr. Miller's characterization of the evidence amongst various sources that it would be difficult, if not impossible, to properly exercise portions and leave a coherent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all these reasons, the report is inadmissible because the whole examination for discovery transcript was given to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defendants also contend that Mr. Miller's opinion amounted to advocacy and displayed bias, which is clearly impermissible. However, in my view, Mr. Miller does not cross that line, but has only been firm and emphatic in advocating his opinion: </w:t>
      </w:r>
      <w:r>
        <w:rPr>
          <w:rFonts w:ascii="arial" w:eastAsia="arial" w:hAnsi="arial" w:cs="arial"/>
          <w:i/>
          <w:color w:val="000000"/>
          <w:sz w:val="20"/>
          <w:lang w:val="en-US" w:eastAsia="en-US" w:bidi="ar-SA"/>
        </w:rPr>
        <w:t>Keefer Laundry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all those reasons, Mr. Miller's expert report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Liang v. Strata Plan BCS 354, [2018] B.C.J. No. 7207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Matthews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S1811607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2505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 Qun Huan Liang, Petitioner, and The Owners, Strata Plan BCS 354,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jc w:val="both"/>
        <w:rPr>
          <w:rFonts w:ascii="arial" w:eastAsia="arial" w:hAnsi="arial" w:cs="arial"/>
          <w:sz w:val="20"/>
          <w:lang w:val="en-US" w:eastAsia="en-US" w:bidi="ar-SA"/>
        </w:rPr>
      </w:pPr>
      <w:bookmarkStart w:id="107" w:name="Counsel_28"/>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Petitioner appearing on her own behalf: Q.H. Liang.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as Cantonese Interpreter for the Petitioner: C.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V. Franco.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8" w:name="Judgment_28"/>
      <w:bookmarkEnd w:id="108"/>
      <w:r>
        <w:pict>
          <v:line id="_x0000_s1128" style="position:absolute;z-index:2517463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Application for Leave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 Appeal a Decision of the Civil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Resolution Tribunal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9" w:name="S. MATTHEWS J. (orally)"/>
            <w:bookmarkEnd w:id="109"/>
            <w:r>
              <w:rPr>
                <w:rFonts w:ascii="arial" w:eastAsia="arial" w:hAnsi="arial" w:cs="arial"/>
                <w:b/>
                <w:color w:val="000000"/>
                <w:sz w:val="30"/>
                <w:lang w:val="en-US" w:eastAsia="en-US" w:bidi="ar-SA"/>
              </w:rPr>
              <w:t>S. MATTHEWS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leave to appeal a decision of the Civil Resolution Tribunal. The applicant, Ms. Liang, is self-represented. She appeared with the assistance of her son, as English is her second language. Her son acted in some regards as Cantonese interpreter but also made submissions on behalf of Ms. Liang with my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underlying dispute was between Ms. Liang and the Owners of Strata Plan BCS 354, which I will refer to as the Strata Plan. The proceedings before the Civil Resolution Tribunal pertained to leaks in Ms. Liang's suite which caused damage to the common property of the Strata Plan, in particular the lobby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56.5 of the </w:t>
      </w:r>
      <w:r>
        <w:rPr>
          <w:rFonts w:ascii="arial" w:eastAsia="arial" w:hAnsi="arial" w:cs="arial"/>
          <w:i/>
          <w:color w:val="000000"/>
          <w:sz w:val="20"/>
          <w:lang w:val="en-US" w:eastAsia="en-US" w:bidi="ar-SA"/>
        </w:rPr>
        <w:t>Civil Resolution Tribunal Act</w:t>
      </w:r>
      <w:r>
        <w:rPr>
          <w:rFonts w:ascii="arial" w:eastAsia="arial" w:hAnsi="arial" w:cs="arial"/>
          <w:color w:val="000000"/>
          <w:sz w:val="20"/>
          <w:lang w:val="en-US" w:eastAsia="en-US" w:bidi="ar-SA"/>
        </w:rPr>
        <w:t xml:space="preserve"> [S.B.C. 2012] c. 25 pertains to appeals to the Supreme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Appeal to Supreme Court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xml:space="preserve"> (1) Subject to this section, a party that is given notice of a final decision in a strata property claim may appeal to the Supreme Court on a question of law arising out of the decision.</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appeal to the Supreme Court only if</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consent,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appeal.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not file an appeal under subsection (1) later than 28 days after the party is given notice of the final decision.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grant leave to appeal under subsection (2) (b) if it determines that it is in the interests of justice and fairness to do so.</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deciding whether it is in the interests of justice and fairness to grant leave, the court may consider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raised by the claim or dispute that is the subject of the appeal is of such importance that it would benefit from being resolved by the Supreme Court to establish a precedent;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an issue raised by the claim or dispute relates to the constitution or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 to the parties, or to a class of persons of which one of the parties is a member;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of proportionality.</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the court may do one of the following:</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vary or set aside the decision of the tribunal;</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 the claim back to the tribunal with the court's directions on the question of law that was the subject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provision was considered by this court in </w:t>
      </w:r>
      <w:r>
        <w:rPr>
          <w:rFonts w:ascii="arial" w:eastAsia="arial" w:hAnsi="arial" w:cs="arial"/>
          <w:i/>
          <w:color w:val="000000"/>
          <w:sz w:val="20"/>
          <w:lang w:val="en-US" w:eastAsia="en-US" w:bidi="ar-SA"/>
        </w:rPr>
        <w:t>McKnight v. Bourque</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2017 BCSC 2280</w:t>
        </w:r>
      </w:hyperlink>
      <w:r>
        <w:rPr>
          <w:rFonts w:ascii="arial" w:eastAsia="arial" w:hAnsi="arial" w:cs="arial"/>
          <w:color w:val="000000"/>
          <w:sz w:val="20"/>
          <w:lang w:val="en-US" w:eastAsia="en-US" w:bidi="ar-SA"/>
        </w:rPr>
        <w:t>, a decision of Mr. Justice Masuhara. Masuhara. J. considered s. 56.5(1), which requires that the appeal must relate to a question of law in order for leave to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Justice Masuhara observed that in some cases it is difficult to neatly distinguish between questions of law and questions of mixed facts and law, and in that regard he referred to the decision of the Supreme Court of Canada in </w:t>
      </w:r>
      <w:r>
        <w:rPr>
          <w:rFonts w:ascii="arial" w:eastAsia="arial" w:hAnsi="arial" w:cs="arial"/>
          <w:i/>
          <w:color w:val="000000"/>
          <w:sz w:val="20"/>
          <w:lang w:val="en-US" w:eastAsia="en-US" w:bidi="ar-SA"/>
        </w:rPr>
        <w:t>Canada (Director of Investigation and Research) v. Southam Inc.</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at para. 35. Mr. Justice Masuhara observed that the statutory language in the </w:t>
      </w:r>
      <w:r>
        <w:rPr>
          <w:rFonts w:ascii="arial" w:eastAsia="arial" w:hAnsi="arial" w:cs="arial"/>
          <w:i/>
          <w:color w:val="000000"/>
          <w:sz w:val="20"/>
          <w:lang w:val="en-US" w:eastAsia="en-US" w:bidi="ar-SA"/>
        </w:rPr>
        <w:t>Civil Resolution Tribunal Act</w:t>
      </w:r>
      <w:r>
        <w:rPr>
          <w:rFonts w:ascii="arial" w:eastAsia="arial" w:hAnsi="arial" w:cs="arial"/>
          <w:color w:val="000000"/>
          <w:sz w:val="20"/>
          <w:lang w:val="en-US" w:eastAsia="en-US" w:bidi="ar-SA"/>
        </w:rPr>
        <w:t xml:space="preserve"> allows appeals on question of law rather than on "a question of law alone." He concluded that appeals may be brought where the questions are predominantly, if not exclusively, issues of law, citing </w:t>
      </w:r>
      <w:r>
        <w:rPr>
          <w:rFonts w:ascii="arial" w:eastAsia="arial" w:hAnsi="arial" w:cs="arial"/>
          <w:i/>
          <w:color w:val="000000"/>
          <w:sz w:val="20"/>
          <w:lang w:val="en-US" w:eastAsia="en-US" w:bidi="ar-SA"/>
        </w:rPr>
        <w:t>Seaspan Ferries Corporation v. British Columbia Ferry Services Inc.</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2013 BCCA 55</w:t>
        </w:r>
      </w:hyperlink>
      <w:r>
        <w:rPr>
          <w:rFonts w:ascii="arial" w:eastAsia="arial" w:hAnsi="arial" w:cs="arial"/>
          <w:color w:val="000000"/>
          <w:sz w:val="20"/>
          <w:lang w:val="en-US" w:eastAsia="en-US" w:bidi="ar-SA"/>
        </w:rPr>
        <w:t>, at para.41.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case, Ms. Liang's defence to the claims brought against her before the Civil Resolution Tribunal were that she was not responsible for the leak about which she appeals. She says that the leak about which she appeals was caused by a plumber who was hired by the Strata Plan to attend in her suite and do some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background to this proposed appeal is that in May 2016 the Strata Plan became concerned that there was a leak coming from Ms. Liang's suite. It hired a contractor who attended and determined that the leak was coming from the bathtub or the piping connected to the bathtub. Ms. Liang says that that contractor at that time also did work on or near the toilet and caused damage to the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2016 the Strata Plan became concerned that there was another leak coming from Ms. Liang's suite and had another contractor attend who determined that the cause of this leak was the toilet in Ms. Liang's suite. The Strata Plan argued that that leak had been ongoing for some time and due to Ms. Liang's neglect or lack or due care in identifying and repairing the leak, the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Strata Plan brought its claim in the Civil Resolution Tribunal against Ms. Liang for the cost of repairing both the bathtub leak and the toilet leak. The Civil Resolution Tribunal member heard both matters on documentary evidence only and in accordance with a civil resolution decision plan. That plan was compiled through the process leading up to the civil resolution tribunal hearing in which the parties identify the positions they take, the positions they take in response to the other side's parties, the evidence they seek to lead and a statement of facts and their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it is clear from the outset that Ms. Liang was arguing that she was not responsible for damage caused by the toilet leak because that damage was the responsibility of the Strata Plan because its contractor had caused the problem. The tribunal member determined that she could proceed without an in-person hearing and oral evidence and decided the matter based on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regard to the toilet leak, the evidence appears to have been primarily photographs taken at the time the second contractor attended in Ms. Liang's suite. The tribunal member said as follows at para. 20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Photos submitted by the strata show the new contractor taking moisture readings around the toilet and the adjacent interior walls of the strata lot. The toilet tank is visibly dripping condensation onto the floor, which shines with moisture. There are patches of black mould around the toilet tank and the floor, which also has patches of 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does not dispute the accuracy of these photos. The owner admits to knowing before the toilet leak in October 2016 that the toilet was "buggy." The owner says that the contractor sent by the strata in May 2016 damaged the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source of the conclusion in paragraph 21 appears to be a portion of the civil resolution decision plan. The Strata Plan asserted that Ms. Liang was responsible for the toilet leak: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other part of claim no. 1 "the respondent is responsible for the claim because they were negligent causing damage to their apartment along with the lobby. For the leak dated November 9, 2016, they were negligent because they were aware of the issue with the toilet but took no action to prevent the leak by turning off the water and not using the toilet as they have a second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civil resolution decision plan, Ms. Liang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that we have knowledge that the toilet was being buggy, but so did the strata management. They were responsible for breaking the toilet in the first place after all by calling those inexperienced workers. Also why should we be responsible for damages caused by people affiliated by strata. In that logic should strata companies come to people's units with sledge hammers and cause things to break and blame it on owners? It is absolutely ridiculous how they ignored that they caused it to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no findings by the tribunal member as to when the owner became aware of the leaking toilet. The owner's comments in the decision plan which I have just recited must be taken in the context that I have already mentioned, that English is not the owner's first language and she was assisted at this hearing by her son. It is not clear to me whether she had assistance when she was completing the decision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any event, despite that Ms. Liang clearly raised the issue of whether the contractor hired by the Strata Plan was responsible for causing the leak to the toilet, the tribunal member did not address that issue in her reasons. She acknowledged the position of Ms. Liang, but in the analysis section of her reasons she does not address the issue of who was responsible for the leak other than the actions of Ms. Liang.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conclude that this appeal raises questions of law. They are first, whether a tribunal member who does not deal with the argument made by a party has erred in law; and second, whether a strata plan can be vicariously liable for a contractor it hires. The Strata Plan's counsel has made very able submissions that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vicarious liability cannot be found in these circumstances, but in my view that begs the question to be decided on the appeal and presumes a set of facts that may or may not have been in evidence before the tribunal member, given how she proceeded. There was scant evidence before her on which to address the issue of the applicability of vicarious liability principles, and in addition she did not do so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Having decided that the appeal raises questions of law, I then consider whether it is in the interests of justice and fairness to grant leave. In </w:t>
      </w:r>
      <w:r>
        <w:rPr>
          <w:rFonts w:ascii="arial" w:eastAsia="arial" w:hAnsi="arial" w:cs="arial"/>
          <w:i/>
          <w:color w:val="000000"/>
          <w:sz w:val="20"/>
          <w:lang w:val="en-US" w:eastAsia="en-US" w:bidi="ar-SA"/>
        </w:rPr>
        <w:t>McKnight</w:t>
      </w:r>
      <w:r>
        <w:rPr>
          <w:rFonts w:ascii="arial" w:eastAsia="arial" w:hAnsi="arial" w:cs="arial"/>
          <w:color w:val="000000"/>
          <w:sz w:val="20"/>
          <w:lang w:val="en-US" w:eastAsia="en-US" w:bidi="ar-SA"/>
        </w:rPr>
        <w:t>, Mr. Justice Masuhara reviewed s. 56.5(5) and notes that because the language of that subsection is that the court "may" consider the following factors, the factors listed in s. 56.5(5) are not exhaustive. The factors that are listed in 56.5(5) that are relevant to this appeal are (a), precedential value; (c), importance to the parties; and (d), proportionality.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regard to precedential value, guidance on the issue of whether a strata plan's contractors can be held vicariously liable for damage done when repairing an owner's suite is of precedential value to the Civil Resolution Tribunal, which hears many strata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already noted that in this case the tribunal member decided to proceed on a documentary record only. There appear to have been evidentiary gaps in terms of when it would have been apparent to Ms. Liang that she had a leaking toilet and whether it was apparent to the Strata Plan and/or the contractor that the toilet was leaking and what their responsibilities were to take steps in such circumstances. A decision on the principles pertaining to vicarious liability may also assist in determining the procedure that a Civil Resolution Tribunal member should undertake when such an issue is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regard to the importance of the issues to the parties, it is obviously important to Ms. Liang since she is seeking leave. Counsel for the Strata Plan argues that this issue cannot be important to classes of persons such as strata owners generally or strata corporations. I disagree. In my view the potential of vicarious liability of contractors of strata plans could be of significant importance to such classes of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principal of proportionality weighs against leave being granted. The issue is a roughly $4,600 bill for the damage and the proceedings in Supreme Court will mean that that issue is not resolved for some time, and the cost to the Strata Plan for its counsel will no doubt outstrip that amount. Having said that, this issue has been outstanding for some time already, and in my view the proportionality principle alone is not determinative of whether leave should be granted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those issues set out in subsection (5), in my view this case raises interests of justice and fairness issues because of the manner in which the case proceeded and the evidence on which it was decided, especially given Ms. Liang was not represented and has difficulty with the English language. It would appear that some significant steps would be necessary to ensure that the evidence and the positions of the parties were well understood. That may have been undertaken, but the record before me indicates that there were significant inferences drawn on evidence about at what point in time certain things were apparent to the parties, and that may be an issue which should be considered by this court as to the propriety of proceeding on a purely documentary record in such circumstances. I have been told that generally speaking most tribunal hearings do proceed in this manner. It is worth inquiring into whether that is appropriate in most cases or whether there are some circumstances when it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those reasons I grant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my understanding that the Civil Resolution Tribunal was not served with this application for leave to appeal. It should have been. I have been told by counsel for the Strata Plan that she had communications with a representative of the Civil Resolution Tribunal who had become aware of this application and was not planning to attend. I grant leave to the Civil Resolution Tribunal to apply with respect to this order if it takes the view that it ought to have been served and if my understanding that it was aware of the application and made a deliberate decision to not attend is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also specifically remind Ms. Liang that in future she must ensure that everything she does in connection with this matter be done with the appropriate notice to the parties, who are entitled to notice well in advance of taking those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Is there anything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FRANCO: Ms. Liang should probably be told that she still needs to take further steps to deal with the appeal. I am not so sure that they understand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All right. Thank you, Ms. Franco.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So, Ms. Liang, what I have just done is granted an order that you are allowed to proceed with your appeal. Your appeal has not yet been addressed. The first preliminary step, which is whether or not you are allowed to bring this appeal, has now been addressed. I have made an order that you are allowed to bring it, but you now must proceed to set down a time for hearing and put the materials together and have another appearing before the judge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LIANG: Oh, okay. I see. What document you need? Because I am not a lawyer. I am trying to look into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LIANG: But super expensive. It is $300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Yes. Well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LIANG: It is my one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I would urge you to go to a legal clinic if you can. The access -- if you talk -- if you call Access Pro Bono, there is an organization called Access Pro Bono. They have consumer legal clinics which may be able to help you put together your materials. There are also justice access centres that you can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And I would encourage you to discuss with Ms. Franco the materials. Because what should happen on a case like this is this binder that you put together, it should have your materials and Ms. Franco's materials in it. It should be all in one binder, both parties' materials for the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LIANG: Okay. Oh,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And it is, generally speaking, the applicant's, that is you, responsibility to communicate with Ms. Franco and say here is the list of materials we are putting together, and then Ms. Franco will say I also want these materials in the binder. And in you put in hers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LIANG: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Right? Please try to communicate with Ms. Franco about the next steps and the procedure for you to come the court with all of the material that the judge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LIANG: Oh, okay. I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LIANG: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Li v. Li, [2019] B.C.J. No. 598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S160037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598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C.C.L.T. (4th) 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841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Shaoqing Li, Plaintiff, and Xingzi Li, also known as Xing Zi Li, also known as Withy Li, and Minwoo Kim,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jc w:val="both"/>
        <w:rPr>
          <w:rFonts w:ascii="arial" w:eastAsia="arial" w:hAnsi="arial" w:cs="arial"/>
          <w:sz w:val="20"/>
          <w:lang w:val="en-US" w:eastAsia="en-US" w:bidi="ar-SA"/>
        </w:rPr>
      </w:pPr>
      <w:bookmarkStart w:id="110" w:name="Counsel_29"/>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Blake.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Yu.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29"/>
      <w:bookmarkEnd w:id="111"/>
      <w:r>
        <w:pict>
          <v:line id="_x0000_s1131"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TRACING AND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MONETARY BENEFIT TO MR.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REGISTRAR'S INQUIRY INTO THE RELATIVE INTERESTS OF MR. LI AND MS. LI IN THE TOWNHOUSE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Registrar's First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Continued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Registrar's Recommendations in the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CONFIRMATION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P.W. WALKER J."/>
            <w:bookmarkEnd w:id="112"/>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concern two reports (with recommendations) issued by Registrar Nielsen on July 16, 2018 and January 7, 2019, in this action. I refer to his reports individually as his "First Report" and "Second Report", respectively. Registrar Nielsen's reports were issued following an inquiry (and two instances, an accounting as well) that I ordered in three respects. Those orders are set out in my reasons for judgment issued on July 27, 2017, following the trial of the dispute between the parties, and indexed at </w:t>
      </w:r>
      <w:hyperlink r:id="rId626" w:history="1">
        <w:r>
          <w:rPr>
            <w:rFonts w:ascii="arial" w:eastAsia="arial" w:hAnsi="arial" w:cs="arial"/>
            <w:i/>
            <w:color w:val="0077CC"/>
            <w:sz w:val="20"/>
            <w:u w:val="single"/>
            <w:shd w:val="clear" w:color="auto" w:fill="FFFFFF"/>
            <w:lang w:val="en-US" w:eastAsia="en-US" w:bidi="ar-SA"/>
          </w:rPr>
          <w:t>2017 BCSC 1312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way of brief summary, the plaintiff, Mr. Li, who lives in China, brought this action against his daughter, the defendant, Ms. Li, and her husband, the co-defendant, Mr. Kim, who live in the Lower Mainland, claiming that they had converted $423,900 of his funds for their own benefit. He also advanced claims in unjust enrichment and constructive trust and sought,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 tracing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found both Ms. Li and Mr. Kim liable in conversion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trial, Mr. Li learned that his daughter had used approximately $133,000 of her father's funds to make the down payment for the purchase of a townhouse in Langley ("Townhouse"). She secured the remainder of the purchase price of $317,000 (and associated costs to complete the conveyance) through mortgage financing. She did not put up any of her own funds. However, she did arrange to rent the Townhouse to tenants and used the rental income to meet the mortgage payments and annual property tax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directed Mr. Li to make his election in respect of his remedies, including any proprietary remedy for the Townhouse, and for the parties to return before me in order to determine his entitlement to those remedies as well as the quantum of Mr. Li's monetary judgment. I also deferred a decision in respect of Mr. Li's request for a declaration of a constructive trust over the Townhouse pending in part, his election to seek a proprietary remedy and the outcome of an inquiry to be conducted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my reasons, I directed the Registrar to conduct an inquiry and provide recommendations pursuant to Rule 18-1(1) and (3)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into the following matters: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tracing and accounting in respect of the use(s) to which Ms. Li has put Mr. Li's funds.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to assess the monetary benefit enjoyed by Mr. Kim from the converted funds for the purpose of establishing the quantum of liability of Mr. Kim to Mr. Li.</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inquiry to determine the relative interests of Mr. Li and Ms. Kim to the Townhouse in proportion to its current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Registrar based the findings and recommendations in his First Report upon consent submissions made by the parties. Unfortunately his report did not fully address the third issue - (c) above - and that issue was sent back for a further inquiry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respect of the first two matters, however, the First Report contains sufficient information and recommendations, which as I noted, are agreed upon by the parties. As a result, I am able to approve that part of the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Tracing and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facts found by the Registrar are reported on in section A of the First Report. Ms. Li used her father's funds for several different purposes: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down payment on the Townhouse ($133,776.67);</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repairs and renovations to the home she owns with Mr. Kim ($76,966.27);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of a pick-up truck ($51,376.64);</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use, including a vacation with Mr. Kim ($13,000);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 ($148,780.42).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total is $423,900.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Monetary Benefit To Mr.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Registrar reported that of the converted funds, Mr. Kim enjoyed a benefit of one-half of the converted funds, excluding the down payment for the purchase of the Townhouse. The amount ascribed to Mr. Kim $145,061.67.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judgment is granted in favour of Mr. Li against Mr. Kim in the amount of $145,061.67.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Registrar's Inquiry into the Relative Interests of Mr. Li and Ms. Li in the Townhouse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Registrar's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Premised on the agreed facts tendered by the parties, the First Report provides details of revenue and expenses for the Townhouse between 2015 and October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 First Report did not report on the relative interests between Mr. Li and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rental income between June 2015 and October 2017 was $42,740.97. As for expenses, the total amount for that period was $37,376.10, comprised of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monthly mortgage payments between August 2015 and October 2017 totalling $24,292.23;</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strata fees between July 2015 and October 2017 totalling $4,628.04;</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taxes for 2015 to 2017 totalling $6,101.45;</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one-time special levy imposed by strata council for repairs and maintenance of $220.38;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tax paid on the rental income in May 2018 of $2,134.00.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was a small profit for the period July 2015 to October 2017 of $5,364.87 after the expenses were paid.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Continued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parties returned before Registrar Nielsen on December 20, 2018, Mr. Li tendered two affidavits concerning the current market value of the Townhouse (they also attached the buyer's statement of adjustments relating to Ms. Li's purchase of it). From that evidence, the Registrar found that the market value of the Townhouse was $520,000 as of December 11,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continued hearing before Registrar Nielsen, Ms. Li took the position that further oral or affidavit evidence was not required. She did not adduce any evidence concerning any financial and non-financial contributions she may have made towards the Townhouse. Her position there and here is that as a matter of law, she is entitled to an interest in the Townhouse reflecting the value of the mortgage registered on title (in her name) to its market value. Her father's interest, she says, is restricted to reflect his funds used for the down payment. She puts the value of her interest at 58.7% and her father's at 41.3%. On her submission, Ms. Li would share in the increased value of the Townhouse on that percentage basis. Her interest (premised on the fair market value found by the Registrar) would therefore be $305,240, leaving Ms. Li with net profit of $115,040 when the original mortgage amount of $190,200 is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Li's position before the Registrar is summarized in the following paragraphs of the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At the continuation of the registrar's reference on December 20, 2018, counsel for the defendant took the position that further oral or affidavit evidence was not required. He was of the view that the fact that the defendant hired a realtor, researched the neighbourhood, arranged for the purchase of the Townhouse, and arranged financing by way of a mortgage on the property, was evidenced by the prior report and recommendation filed by consent, dated July 16, 2018. Counsel for the defendant chose not to lead evidence regarding any complexities or difficulties involved in hiring the realtor, obtaining financing, or locating a tenant. Nor did I hear any evidence concerning the amount of time consumed by these tasks, or their alleged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w:t>
      </w:r>
      <w:r>
        <w:rPr>
          <w:rFonts w:ascii="arial" w:eastAsia="arial" w:hAnsi="arial" w:cs="arial"/>
          <w:color w:val="000000"/>
          <w:sz w:val="20"/>
          <w:u w:val="single"/>
          <w:lang w:val="en-US" w:eastAsia="en-US" w:bidi="ar-SA"/>
        </w:rPr>
        <w:t>Defence counsel's submission was essentially that these factors were irrelevant within the context of the legal test to be applied to ascertain the relative interests of the plaintiff and defendant in the Townhouse, in proportion to its current market value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Counsel for the plaintiff was of the same view. She conceded that the defendant had hired the realtor, researched the neighbourhood, arranged for the purchase of the Townhouse, arranged the financing by way of a mortgage, and located the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While both counsel agree that the relative interests of the parties to the Townhouse can be ascertained by applying the law to the basic facts contained in the Consent Report and Recommendation dated July 16, 2018, and two further affidavits filed herein, they disagree on the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defendant takes the position that no further evidence is required to determine the relevant interests of the parties to the Townhouse. It was conceded by the plaintiff that: the defendant purchased the Townhouse; the defendant researched the neighbourhood; the defendant obtained the realtor; the defendant obtained the mortgage; and, the defendant obtained the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w:t>
      </w:r>
      <w:r>
        <w:rPr>
          <w:rFonts w:ascii="arial" w:eastAsia="arial" w:hAnsi="arial" w:cs="arial"/>
          <w:color w:val="000000"/>
          <w:sz w:val="20"/>
          <w:u w:val="single"/>
          <w:lang w:val="en-US" w:eastAsia="en-US" w:bidi="ar-SA"/>
        </w:rPr>
        <w:t>The defendant submits these non-financial contributions of the defendant do not need to be quantified to determine relative interests of the parties in the property. The relative interests of the parties can be quantified solely on the basis of the defendant's alleged legal position</w:t>
      </w:r>
      <w:r>
        <w:rPr>
          <w:rFonts w:ascii="arial" w:eastAsia="arial" w:hAnsi="arial" w:cs="arial"/>
          <w:color w:val="000000"/>
          <w:sz w:val="20"/>
          <w:lang w:val="en-US" w:eastAsia="en-US" w:bidi="ar-SA"/>
        </w:rPr>
        <w:t>. Both the plaintiff and defendant agree that the expenses related to the Townhouse were covered completely by the rent, including the mortgage 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defendant's submission is that the total purchase price of the Townhouse was $323,976.67 (see p. 4 of the July 16, 2018 Registrar's Report and Recommendation). A total of $133,766.67 of the plaintiff's money was used as the down payment on the Townhouse (see p. 5 of the July 16, 2018 Registrar's Report and Recommendation), and the balance, amounting to $190,200 was covered by mortgage funds (see p. 5 of the July 16, 2018 Registrar's Report and Recommendation).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t>
      </w:r>
      <w:r>
        <w:rPr>
          <w:rFonts w:ascii="arial" w:eastAsia="arial" w:hAnsi="arial" w:cs="arial"/>
          <w:color w:val="000000"/>
          <w:sz w:val="20"/>
          <w:u w:val="single"/>
          <w:lang w:val="en-US" w:eastAsia="en-US" w:bidi="ar-SA"/>
        </w:rPr>
        <w:t>In a nutshell, the defendant submits that the parties' relative interests in the Townhouse should be calculated on the basis that the defendant is entitled to 58.7% of the Townhouse's value based upon the amount of mortgage funds used in the purchase</w:t>
      </w:r>
      <w:r>
        <w:rPr>
          <w:rFonts w:ascii="arial" w:eastAsia="arial" w:hAnsi="arial" w:cs="arial"/>
          <w:color w:val="000000"/>
          <w:sz w:val="20"/>
          <w:lang w:val="en-US" w:eastAsia="en-US" w:bidi="ar-SA"/>
        </w:rPr>
        <w:t>, and the plaintiff is entitled to 41.3% of the Townhouse's value, based upon the amount of the plaintiff's money used in the purchase. It is the defendant's position that she was the liable party on the mortgage, and therefore, the mortgage amount represents her financial contribution as it was her debt, and hers alone.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Li's position was (and remains) the opposite. His position is that Ms. Li is not entitled to any interest in the Townhouse, for several reasons. First, Ms. Li did not advance any funds herself. The mortgage, he says, was only secured as a result of some of his funds, which were stolen by his daughter, being used for the down payment. Second, Ms. Li is not entitled to any monetary credit for her non-financial contributions as they were carried out without his knowledge or consent, using his stolen funds. Third, the legal authorities are clear that as a wrongdoer, Ms. Li should not profit from her wrongful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Registrar's Recommendations in the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Registrar Nielsen rejected Ms. Li's position. He concluded that it would result in a windfall to her, directly from her own wrongful conduct, in circumstances where she did not make any "actual financial contribution". Her position he said, would be "entirely contrary" to the principles in the case authorities: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authorities cited in Registrar Nielsen's reasons are: </w:t>
      </w:r>
      <w:r>
        <w:rPr>
          <w:rFonts w:ascii="arial" w:eastAsia="arial" w:hAnsi="arial" w:cs="arial"/>
          <w:i/>
          <w:color w:val="000000"/>
          <w:sz w:val="20"/>
          <w:lang w:val="en-US" w:eastAsia="en-US" w:bidi="ar-SA"/>
        </w:rPr>
        <w:t>The Toronto-Dominion Bank v. Storr et al.</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2014 ONSC 4278</w:t>
        </w:r>
      </w:hyperlink>
      <w:r>
        <w:rPr>
          <w:rFonts w:ascii="arial" w:eastAsia="arial" w:hAnsi="arial" w:cs="arial"/>
          <w:color w:val="000000"/>
          <w:sz w:val="20"/>
          <w:lang w:val="en-US" w:eastAsia="en-US" w:bidi="ar-SA"/>
        </w:rPr>
        <w:t xml:space="preserve"> at paras. 129-130; </w:t>
      </w:r>
      <w:r>
        <w:rPr>
          <w:rFonts w:ascii="arial" w:eastAsia="arial" w:hAnsi="arial" w:cs="arial"/>
          <w:i/>
          <w:color w:val="000000"/>
          <w:sz w:val="20"/>
          <w:lang w:val="en-US" w:eastAsia="en-US" w:bidi="ar-SA"/>
        </w:rPr>
        <w:t>B.C. Teachers' Credit Union v. Betterly</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(1975), 61 D.L.R. (3d) 755</w:t>
        </w:r>
      </w:hyperlink>
      <w:r>
        <w:rPr>
          <w:rFonts w:ascii="arial" w:eastAsia="arial" w:hAnsi="arial" w:cs="arial"/>
          <w:color w:val="000000"/>
          <w:sz w:val="20"/>
          <w:lang w:val="en-US" w:eastAsia="en-US" w:bidi="ar-SA"/>
        </w:rPr>
        <w:t xml:space="preserve"> at 760 (B.C.S.C.); </w:t>
      </w:r>
      <w:r>
        <w:rPr>
          <w:rFonts w:ascii="arial" w:eastAsia="arial" w:hAnsi="arial" w:cs="arial"/>
          <w:i/>
          <w:color w:val="000000"/>
          <w:sz w:val="20"/>
          <w:lang w:val="en-US" w:eastAsia="en-US" w:bidi="ar-SA"/>
        </w:rPr>
        <w:t>Ruwenzori Enterprises Limited v. Walji</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2006 BCCA 448</w:t>
        </w:r>
      </w:hyperlink>
      <w:r>
        <w:rPr>
          <w:rFonts w:ascii="arial" w:eastAsia="arial" w:hAnsi="arial" w:cs="arial"/>
          <w:color w:val="000000"/>
          <w:sz w:val="20"/>
          <w:lang w:val="en-US" w:eastAsia="en-US" w:bidi="ar-SA"/>
        </w:rPr>
        <w:t xml:space="preserve"> at para. 44; </w:t>
      </w:r>
      <w:r>
        <w:rPr>
          <w:rFonts w:ascii="arial" w:eastAsia="arial" w:hAnsi="arial" w:cs="arial"/>
          <w:i/>
          <w:color w:val="000000"/>
          <w:sz w:val="20"/>
          <w:lang w:val="en-US" w:eastAsia="en-US" w:bidi="ar-SA"/>
        </w:rPr>
        <w:t>Metalworks Canada Ltd. v. Warrack</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2018 ABQB 443</w:t>
        </w:r>
      </w:hyperlink>
      <w:r>
        <w:rPr>
          <w:rFonts w:ascii="arial" w:eastAsia="arial" w:hAnsi="arial" w:cs="arial"/>
          <w:color w:val="000000"/>
          <w:sz w:val="20"/>
          <w:lang w:val="en-US" w:eastAsia="en-US" w:bidi="ar-SA"/>
        </w:rPr>
        <w:t xml:space="preserve"> at paras. 90, 97, 100; and </w:t>
      </w:r>
      <w:r>
        <w:rPr>
          <w:rFonts w:ascii="arial" w:eastAsia="arial" w:hAnsi="arial" w:cs="arial"/>
          <w:i/>
          <w:color w:val="000000"/>
          <w:sz w:val="20"/>
          <w:lang w:val="en-US" w:eastAsia="en-US" w:bidi="ar-SA"/>
        </w:rPr>
        <w:t>Transit Trailer Leasing Ltd. v. Robinson</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2004 CarswellOnt 1733</w:t>
        </w:r>
      </w:hyperlink>
      <w:r>
        <w:rPr>
          <w:rFonts w:ascii="arial" w:eastAsia="arial" w:hAnsi="arial" w:cs="arial"/>
          <w:color w:val="000000"/>
          <w:sz w:val="20"/>
          <w:lang w:val="en-US" w:eastAsia="en-US" w:bidi="ar-SA"/>
        </w:rPr>
        <w:t xml:space="preserve"> at paras. 101-103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Registrar distinguished the cases allowing a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contribution - e.g., </w:t>
      </w:r>
      <w:r>
        <w:rPr>
          <w:rFonts w:ascii="arial" w:eastAsia="arial" w:hAnsi="arial" w:cs="arial"/>
          <w:i/>
          <w:color w:val="000000"/>
          <w:sz w:val="20"/>
          <w:lang w:val="en-US" w:eastAsia="en-US" w:bidi="ar-SA"/>
        </w:rPr>
        <w:t>TD Bank, B.C. Teachers' Credit Union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Ruwenzori</w:t>
      </w:r>
      <w:r>
        <w:rPr>
          <w:rFonts w:ascii="arial" w:eastAsia="arial" w:hAnsi="arial" w:cs="arial"/>
          <w:color w:val="000000"/>
          <w:sz w:val="20"/>
          <w:lang w:val="en-US" w:eastAsia="en-US" w:bidi="ar-SA"/>
        </w:rPr>
        <w:t xml:space="preserve"> - as those where the tortfeasor had made a financial contribution from to the property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Registrar characterized Ms. Li's contribution to the Townhouse, if any, as entirely non-financial. Her financial contribution was, on the position she took before the Registrar, nil: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Other than the defendant's contractual obligation to pay the mortgage, the defendant had made no actual financial contribution to the purchase of the Townhouse. The principal which secured the mortgage was entirely made up of the plaintiff's funds. The balance of the purchase price was advanced by the bank. The monies which actually paid the mortgage were earned entirely from rental income from the Townhouse.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t>
      </w:r>
      <w:r>
        <w:rPr>
          <w:rFonts w:ascii="arial" w:eastAsia="arial" w:hAnsi="arial" w:cs="arial"/>
          <w:color w:val="000000"/>
          <w:sz w:val="20"/>
          <w:u w:val="single"/>
          <w:lang w:val="en-US" w:eastAsia="en-US" w:bidi="ar-SA"/>
        </w:rPr>
        <w:t>The defendant did not contribute any of her own money towards the purchase of the Townhouse, the mortgage, or the maintenance and upkeep of the Townhouse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w:t>
      </w:r>
      <w:r>
        <w:rPr>
          <w:rFonts w:ascii="arial" w:eastAsia="arial" w:hAnsi="arial" w:cs="arial"/>
          <w:color w:val="000000"/>
          <w:sz w:val="20"/>
          <w:u w:val="single"/>
          <w:lang w:val="en-US" w:eastAsia="en-US" w:bidi="ar-SA"/>
        </w:rPr>
        <w:t>In the circumstances, I would characterize the defendant's contribution, if any, as entirely non-financial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defendant's non-financial contributions can be summarized as: (a) engaging a real estate agent; (b) locating the property and researching the neighbourhood; (c) facilitating the purchase of the Townhouse; (d) obtaining the mortgage and being the signatory; (e) obtaining a tenant for the property; and, (f) managing the property to the degree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color w:val="000000"/>
          <w:sz w:val="20"/>
          <w:u w:val="single"/>
          <w:lang w:val="en-US" w:eastAsia="en-US" w:bidi="ar-SA"/>
        </w:rPr>
        <w:t>The defendant chose not to lead any evidence concerning the amount of time or complexities involved in these tasks, any difficulties encountered, or any out-of-pocket expenses beyond those agreed to in the July 16, 2018 Registrar's Report and Recommendation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w:t>
      </w:r>
      <w:r>
        <w:rPr>
          <w:rFonts w:ascii="arial" w:eastAsia="arial" w:hAnsi="arial" w:cs="arial"/>
          <w:color w:val="000000"/>
          <w:sz w:val="20"/>
          <w:u w:val="single"/>
          <w:lang w:val="en-US" w:eastAsia="en-US" w:bidi="ar-SA"/>
        </w:rPr>
        <w:t>In my view, the defendant's direct financial contribution to the purchase of the Townhouse was nil. She had no skin in the deal. The down payment to secure the mortgage was entirely from the plaintiff's funds</w:t>
      </w:r>
      <w:r>
        <w:rPr>
          <w:rFonts w:ascii="arial" w:eastAsia="arial" w:hAnsi="arial" w:cs="arial"/>
          <w:color w:val="000000"/>
          <w:sz w:val="20"/>
          <w:lang w:val="en-US" w:eastAsia="en-US" w:bidi="ar-SA"/>
        </w:rPr>
        <w:t>. The bank advanced the balance of the purchase monies, and the mortgage on those funds was paid entirely by the tenant.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also observed that Ms. Li had not cited any authority to establish a pro rata interest in the factual circumstances before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defendant has not offered any authority to the effect that funds advanced under a mortgage, secured by a down payment made up entirely of stolen funds, constitutes a financial contribution by a wrongdoer giving rise to a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entitlement to the profits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Registrar made three recommendations. First, the market value or price for the Townhouse be established as $520,000 as at December 11, 2018. Second, the relative interests of Mr. Li and Ms. Li in the Townhouse be attributed 100% to Mr. Li. Third, costs of the reference to the Registrar be awarded to Mr. Li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Confirmation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directed, the parties returned to make submissions concerning the Registrar's recommendations regarding the Townhouse. They cited additional cases at the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Li asks that both reports of Registrar Nielsen be confirmed. As mentioned there is no dispute concerning the Registrar's findings and conclusions save those concerning the parties' relative interests in the Townhouse. The sole question the parties have put before me for determination on this confirmation hearing is whether to approve or reject the Registrar's recommendation concerning the relative interests of Mr. and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Li seeks a declaration that he is entitled to a 100% interest in the Townhouse effective the date it was purchased by Ms. Li as well as an order that title be transferred to him. I am advised that his intention is to sell the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Li disagrees and maintains that the Registrar erred in determining that she had no interest in the Townhouse. She seeks a declaration that she is entitled to an interest reflective of the original mortgage amount, i.e., 58.7%.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Thus, if Ms. Li's position prevails, she would be entitled to 58.7% of the increase in the value of the Townhouse from its original purchase price, with 41.3% to her father. Mr. Li argues that this would allow Ms. Li to profit from her wrongdoing. On the other hand, if Mr. Li's position prevails, his daughter argues that her father will profit disproportionately to any contribution that he made. Ms. Li characterizes that as an inappropriate "windfall" to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excerpted below key portions from Ms. Li's written submissions encapsulating her position:</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At the hearing before your Lordship on February 20, 2019, counsel for the defendants did not take the position that a constructive trust is only appropriate in cases of breach of fiduciary duty or fraud as the Claimant sets out in paragraph 2.C. of her submissions filed February 28, 2019.</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the point that was submitted to your Lordship is that the general principle cited in your Lordship's decision [Li v. Li, trial reasons] and other cases relied on at trial that a tortfeasor should not benefit from their tort, has been a principle that has been consistently applied in cases where there has been a finding of breach of fiduciary duty or fraud and where the cases have been been plead as such. [See Defendant's Outline of Submissions dated February 20, 2019 paras. 6-10.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previously submitted, the Claimant did not plead a case in breach of fiduciary duty or fraud. The case was plead in conversion and unjust enrichment, with the remedy of a constructive trust to be imposed on the townhouse (per an amendment granted at the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simply submitting that the Court in looking at the remedy available to the Claimant should not be focused primarily on the principle that "a tortfeasor should not benefit from their tort" but rather, should be looking at what the Claimant has lost in crafting a remedy.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reasons previously submitted in the Outline of Submissions dated February 20, 2019, the Claimant is entitled to elect a proprietary remedy of a proportionate interest in the townhouse or an equitable lien as to the amount of funds that are traced into the townhome. The defendants do not dispute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submissions, Ms. Li's position was that the cases I referred to in my reasons following trial and those referred to by the Registrar, to the effect that a tortfeasor should not benefit from their tortious conduct, are inapplicable to this case where the judgment against Ms. Li is founded on conversion and unjust enrichment. Her argument is that absent fraud or breach of fiduciary duty, the analysis should focus on what loss was suffered by Mr. Li as the victim of the conversion. In support of that submission, Ms. Li relies on additional case authorities, including </w:t>
      </w:r>
      <w:r>
        <w:rPr>
          <w:rFonts w:ascii="arial" w:eastAsia="arial" w:hAnsi="arial" w:cs="arial"/>
          <w:i/>
          <w:color w:val="000000"/>
          <w:sz w:val="20"/>
          <w:lang w:val="en-US" w:eastAsia="en-US" w:bidi="ar-SA"/>
        </w:rPr>
        <w:t>Webster v. Ernest &amp; Young</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2003 BCCA 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Sylvester v. British Columbia</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6 B.C.L.R. (3d) 7</w:t>
        </w:r>
      </w:hyperlink>
      <w:r>
        <w:rPr>
          <w:rFonts w:ascii="arial" w:eastAsia="arial" w:hAnsi="arial" w:cs="arial"/>
          <w:color w:val="000000"/>
          <w:sz w:val="20"/>
          <w:lang w:val="en-US" w:eastAsia="en-US" w:bidi="ar-SA"/>
        </w:rPr>
        <w:t xml:space="preserve"> (C.A.), rev'd </w:t>
      </w:r>
      <w:hyperlink r:id="rId634" w:history="1">
        <w:r>
          <w:rPr>
            <w:rFonts w:ascii="arial" w:eastAsia="arial" w:hAnsi="arial" w:cs="arial"/>
            <w:i/>
            <w:color w:val="0077CC"/>
            <w:sz w:val="20"/>
            <w:u w:val="single"/>
            <w:shd w:val="clear" w:color="auto" w:fill="FFFFFF"/>
            <w:lang w:val="en-US" w:eastAsia="en-US" w:bidi="ar-SA"/>
          </w:rPr>
          <w:t>[1997] 2 S.C.R. 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Allied Air Conditioning Inc. v. British Columbia</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(1994), 87 B.C.L.R. (2d) 207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ICBC v. Dragon Driving School</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2007 BCSC 389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However, only the </w:t>
      </w:r>
      <w:r>
        <w:rPr>
          <w:rFonts w:ascii="arial" w:eastAsia="arial" w:hAnsi="arial" w:cs="arial"/>
          <w:i/>
          <w:color w:val="000000"/>
          <w:sz w:val="20"/>
          <w:lang w:val="en-US" w:eastAsia="en-US" w:bidi="ar-SA"/>
        </w:rPr>
        <w:t>Dragon Driving School</w:t>
      </w:r>
      <w:r>
        <w:rPr>
          <w:rFonts w:ascii="arial" w:eastAsia="arial" w:hAnsi="arial" w:cs="arial"/>
          <w:color w:val="000000"/>
          <w:sz w:val="20"/>
          <w:lang w:val="en-US" w:eastAsia="en-US" w:bidi="ar-SA"/>
        </w:rPr>
        <w:t xml:space="preserve"> case involves a claim and finding of liability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Curiously, in spite of her submission that a victim of a tort should only recover their actual loss, she acknowledged that her father was entitled to recover a pro rata share of the increase in the value of the Townhouse. In that respect, her submission was that his recovery is limited to the current value of the Townhouse in direct proportion to his converted funds used for the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Complicating matters is information provided to me by both counsel at the hearing that the mortgage registered against the Townhouse property has increased in amount over time. The mortgage includes a line of credit, with the total available limit capped at $300,000. When the Townhouse was purchased, the line of credit was only partially drawn. I was told by counsel that Ms. Li has since drawn on the credit available for other purposes, such that the indebtedness is at or close to the maximum amount. The parties are not in agreement regarding the manner in which this increased amount should be dealt with. However, they agree that if I confirm the Registrar's report and recommendations, then the amount of the mortgage charge that existed at the date the Townhouse was purchased would be deducted from Mr. Li's interest and paid to the mortgagor.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Nor are the parties in agreement concerning the manner in which the quantum of Mr. Li's interest in the Townhouse should be treated in relation to his judgment against his daughter. Ms. Li submits that both the down payment amount provided from the funds she converted from her father as well as his interest in the increased value of the property must be offset from his judgment against her. Mr. Li agrees in respect of his funds used for the down payment but contends that there is no requirement in law that he deduct any profit from the judgment amount. I have not been asked to determine these matters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parties have also not asked me to determine at this time the manner in which the capital gains tax that will occur on the transfer of title to Mr. Li should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Instead, and as previously mentioned, the dispute that I was asked to determine at this time concerns the Registrar's recommendation regarding the parties' respective interests in the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Lastly, I was advised in Ms. Li's oral submissions that she paid tax on the rental income from the Townhouse, but no quantum or value was placed on that amount, either in evidence or in submissions before me (or the Registrar). Nor was it argued as a basis to establish a financial contribution. No evidence was adduced by Ms. Li before the Registrar nor on this application to establish any value to any non-financial contributions that she may have made to the acquisition, maintenance, and rental of the Townhouse. Ms. Li's claim to an interest in the Townhouse was framed solely as a legal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Conversion is an intentional tort and in this case, involves the unlawful use of her father's funds for her own use. Ms. Li's submission that damages must only be looked at through the lens of the loss suffered by the tortfeasor's victim is premised on conversion as a tort. Her submission overlooks the approaches taken to remedies for the victim of conversion as discussed in the case authorities and by text writers cited by the parties, which I discuss below. They are, in my opinion, apposite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Teachers' Credit Union</w:t>
      </w:r>
      <w:r>
        <w:rPr>
          <w:rFonts w:ascii="arial" w:eastAsia="arial" w:hAnsi="arial" w:cs="arial"/>
          <w:color w:val="000000"/>
          <w:sz w:val="20"/>
          <w:lang w:val="en-US" w:eastAsia="en-US" w:bidi="ar-SA"/>
        </w:rPr>
        <w:t>, a case involving conversion, Mr. Justice Bouck said at 758 that the wrongdoer holds the converted funds as a trustee for the victim: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At the moment Smith stole the $45,000 from the plaintiff, the law made him a constructive trustee of these moneys for and on behalf of the plaintiff</w:t>
      </w:r>
      <w:r>
        <w:rPr>
          <w:rFonts w:ascii="arial" w:eastAsia="arial" w:hAnsi="arial" w:cs="arial"/>
          <w:color w:val="000000"/>
          <w:sz w:val="20"/>
          <w:lang w:val="en-US" w:eastAsia="en-US" w:bidi="ar-SA"/>
        </w:rPr>
        <w:t>. It is in equity where the plaintiff's remedy lies because the common law only allowed a plaintiff to trace property into the hands of a stranger If the trustee was joined as a defendant.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Equity is engaged, he said, when the victim's potential remedies and the rights of the wrongdoer are considered: </w:t>
      </w:r>
      <w:r>
        <w:rPr>
          <w:rFonts w:ascii="arial" w:eastAsia="arial" w:hAnsi="arial" w:cs="arial"/>
          <w:i/>
          <w:color w:val="000000"/>
          <w:sz w:val="20"/>
          <w:lang w:val="en-US" w:eastAsia="en-US" w:bidi="ar-SA"/>
        </w:rPr>
        <w:t>B.C. Teachers' Credit Union</w:t>
      </w:r>
      <w:r>
        <w:rPr>
          <w:rFonts w:ascii="arial" w:eastAsia="arial" w:hAnsi="arial" w:cs="arial"/>
          <w:color w:val="000000"/>
          <w:sz w:val="20"/>
          <w:lang w:val="en-US" w:eastAsia="en-US" w:bidi="ar-SA"/>
        </w:rPr>
        <w:t xml:space="preserve"> at 759-760.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reasoning that the tortfeasor who converts another's property is a constructive trustee aligns with subsequent analysis of the Supreme Court of Canada. For example, in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Madam Justice McLachlin (as she then was) discussed the nature and purpose of constructive trusts (including circumstances where one might be imposed in the absence of wrongdoing: para. 20). Although the case involved a breach of fiduciary duty, her discussion at para. 34 is instructive in respect of Ms. Li's submission concerning the lens through which Mr. Li's remedies are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It thus emerges that a constructive trust may be imposed where good conscience so requires. The inquiry into good conscience is informed by situations where constructive trusts have been recognized in the past. It is also informed by the dual reasons for which constructive trusts have traditionally been imposed: to do justice between the parties and to maintain the integrity of institutions dependant on trust-like relationships. Finally, it is informed by the absence of an indication that a constructive trust would have an unfair or unjust effect on the defendant or third parties, matters which equity has always taken into account. Equitable remedies are flexible; their award is based on what is just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case at bar, Ms. Li became a trustee of Mr. Li's funds at the moment she converted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light of Mr. Li's election and the findings of the Registrar, I am also satisfied that a declaration should be issued that Mr. Li is entitled to a constructive trust remedy in respect of the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Li's remedy is neither premised nor restricted to the actual loss he has suffered. He may obtain restitution of the benefits gained by his daughter from her conversion of his funds. Mr. Li is also able to seek restitutionary remedies premised on my finding of unjust enrichment. As explained in Lord Goff of Chieveley &amp; Gareth Jones, </w:t>
      </w:r>
      <w:r>
        <w:rPr>
          <w:rFonts w:ascii="arial" w:eastAsia="arial" w:hAnsi="arial" w:cs="arial"/>
          <w:i/>
          <w:color w:val="000000"/>
          <w:sz w:val="20"/>
          <w:lang w:val="en-US" w:eastAsia="en-US" w:bidi="ar-SA"/>
        </w:rPr>
        <w:t>Goff &amp; Jones: The Law of Restitution</w:t>
      </w:r>
      <w:r>
        <w:rPr>
          <w:rFonts w:ascii="arial" w:eastAsia="arial" w:hAnsi="arial" w:cs="arial"/>
          <w:color w:val="000000"/>
          <w:sz w:val="20"/>
          <w:lang w:val="en-US" w:eastAsia="en-US" w:bidi="ar-SA"/>
        </w:rPr>
        <w:t>, 7th ed., (London: Sweet &amp; Maxwell, 2007) at 808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 808) </w:t>
      </w:r>
      <w:r>
        <w:rPr>
          <w:rFonts w:ascii="arial" w:eastAsia="arial" w:hAnsi="arial" w:cs="arial"/>
          <w:color w:val="000000"/>
          <w:sz w:val="20"/>
          <w:u w:val="single"/>
          <w:lang w:val="en-US" w:eastAsia="en-US" w:bidi="ar-SA"/>
        </w:rPr>
        <w:t>A claimant may obtain restitution of the benefits gained from the following tortious acts: conversion</w:t>
      </w:r>
      <w:r>
        <w:rPr>
          <w:rFonts w:ascii="arial" w:eastAsia="arial" w:hAnsi="arial" w:cs="arial"/>
          <w:color w:val="000000"/>
          <w:sz w:val="20"/>
          <w:lang w:val="en-US" w:eastAsia="en-US" w:bidi="ar-SA"/>
        </w:rPr>
        <w:t xml:space="preserve"> and detinue (wrongful interference with the goods); trespass to the land and to goods; deceit; (probably passing off and injuries falsehood; and (possibly) inducing a breach of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 11) </w:t>
      </w:r>
      <w:r>
        <w:rPr>
          <w:rFonts w:ascii="arial" w:eastAsia="arial" w:hAnsi="arial" w:cs="arial"/>
          <w:color w:val="000000"/>
          <w:sz w:val="20"/>
          <w:u w:val="single"/>
          <w:lang w:val="en-US" w:eastAsia="en-US" w:bidi="ar-SA"/>
        </w:rPr>
        <w:t>Restitutionary claims based on unjust enrichment are to be found in equity as well as at law</w:t>
      </w:r>
      <w:r>
        <w:rPr>
          <w:rFonts w:ascii="arial" w:eastAsia="arial" w:hAnsi="arial" w:cs="arial"/>
          <w:color w:val="000000"/>
          <w:sz w:val="20"/>
          <w:lang w:val="en-US" w:eastAsia="en-US" w:bidi="ar-SA"/>
        </w:rPr>
        <w:t>. ... Judges often say that "restitution for wrongs is concerned with reversing the defendant's unjust enrichment. At common law, some tortfeasors have been compelled to disgorge the gain made from their tortious acts, at least if they have infringed the plaintiff's proprietary or possessory rights.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doctrine of restitution is not subject to fixed categories or circumstances. In </w:t>
      </w:r>
      <w:r>
        <w:rPr>
          <w:rFonts w:ascii="arial" w:eastAsia="arial" w:hAnsi="arial" w:cs="arial"/>
          <w:i/>
          <w:color w:val="000000"/>
          <w:sz w:val="20"/>
          <w:lang w:val="en-US" w:eastAsia="en-US" w:bidi="ar-SA"/>
        </w:rPr>
        <w:t>James More &amp; Sons Ltd. v. University of Ottawa</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(1975), 5 O.R. (2d) 162</w:t>
        </w:r>
      </w:hyperlink>
      <w:r>
        <w:rPr>
          <w:rFonts w:ascii="arial" w:eastAsia="arial" w:hAnsi="arial" w:cs="arial"/>
          <w:color w:val="000000"/>
          <w:sz w:val="20"/>
          <w:lang w:val="en-US" w:eastAsia="en-US" w:bidi="ar-SA"/>
        </w:rPr>
        <w:t xml:space="preserve"> at 171-172, Mr. Justice Morden described the doctrine as premised not on tort or contract but upon an obligation imposed by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That the doctrine of restitution, which is based neither on contract nor tort is firmly established in the law of Canada is clear from decisions of the Supreme Court of Canada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Deglman v. Guaranty Trust Co. of Canada et 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[1954] S.C.R. 725</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[1954] 3 D.L.R. 785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County of Carleton v. City of Ottawa</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[1965] S.C.R. 663</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52 D.L.R. (2d) 220</w:t>
        </w:r>
      </w:hyperlink>
      <w:r>
        <w:rPr>
          <w:rFonts w:ascii="arial" w:eastAsia="arial" w:hAnsi="arial" w:cs="arial"/>
          <w:color w:val="000000"/>
          <w:sz w:val="20"/>
          <w:lang w:val="en-US" w:eastAsia="en-US" w:bidi="ar-SA"/>
        </w:rPr>
        <w:t>. In the former case...Mr. Justice Cartwright said, at pp. 734-5 S.C.R., p. 794 D.L.R.: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conclusion of my brother Rand that the respondent is entitled to recover the value of these services from the respondent administrator. </w:t>
      </w:r>
      <w:r>
        <w:rPr>
          <w:rFonts w:ascii="arial" w:eastAsia="arial" w:hAnsi="arial" w:cs="arial"/>
          <w:color w:val="000000"/>
          <w:sz w:val="20"/>
          <w:u w:val="single"/>
          <w:lang w:val="en-US" w:eastAsia="en-US" w:bidi="ar-SA"/>
        </w:rPr>
        <w:t>This right appears to me to be based, not on the contract, but on an obligation imposed by law</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mention this to indicate that where a Court, on proper grounds, apparently established by a restitution is applicable, it is not necessary to fit the case into some exact category, apparently established by a previous decision, giving effect to the doctrine. Just as the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never closed, neither can those of restitution. The principles take precedence over the illustrations or examples of their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reading of Cheshire and Fifoot, Law of Contrat, 7th ed. (1969), at pp. 581-5, might indicate that the law in Canada Is more firmly established that that of England in this area. The learned authors refer to Goff and Jones, Law of Restitution (1966), as being the latest and more searching study of the subject and quote from this work in so far as it describes the principle of unjust benefit or unjust enrichment. It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principle "presupposes three things: first, that the defendant has been enriched by the receipt of a benefit; secondly, that he has been so enriched at the plaintiff's expense; and thirdly, that it would be unjust to allow him to retain the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p. 14 of Goff and Jones.)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victim of conversion is entitled to recover his or her stolen property plus the "fruits" derived therefrom. That point is made in </w:t>
      </w:r>
      <w:r>
        <w:rPr>
          <w:rFonts w:ascii="arial" w:eastAsia="arial" w:hAnsi="arial" w:cs="arial"/>
          <w:i/>
          <w:color w:val="000000"/>
          <w:sz w:val="20"/>
          <w:lang w:val="en-US" w:eastAsia="en-US" w:bidi="ar-SA"/>
        </w:rPr>
        <w:t>Lennox Industries (Canada) Ltd. v. The Queen</w:t>
      </w:r>
      <w:r>
        <w:rPr>
          <w:rFonts w:ascii="arial" w:eastAsia="arial" w:hAnsi="arial" w:cs="arial"/>
          <w:color w:val="000000"/>
          <w:sz w:val="20"/>
          <w:lang w:val="en-US" w:eastAsia="en-US" w:bidi="ar-SA"/>
        </w:rPr>
        <w:t>, 34 D.L.R. (4th) 287 at 305-306: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Not only is the stolen property recoverable but any "fruits" derived therefrom are recoverable as well: D.W.M. Waters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of Trusts in Canada</w:t>
      </w:r>
      <w:r>
        <w:rPr>
          <w:rFonts w:ascii="arial" w:eastAsia="arial" w:hAnsi="arial" w:cs="arial"/>
          <w:color w:val="000000"/>
          <w:sz w:val="20"/>
          <w:lang w:val="en-US" w:eastAsia="en-US" w:bidi="ar-SA"/>
        </w:rPr>
        <w:t xml:space="preserve"> (Toronto, 1974), at pp. 339-40, </w:t>
      </w:r>
      <w:r>
        <w:rPr>
          <w:rFonts w:ascii="arial" w:eastAsia="arial" w:hAnsi="arial" w:cs="arial"/>
          <w:i/>
          <w:color w:val="000000"/>
          <w:sz w:val="20"/>
          <w:lang w:val="en-US" w:eastAsia="en-US" w:bidi="ar-SA"/>
        </w:rPr>
        <w:t>Banque Belge pour l'etranger v. Hambrouck et al.</w:t>
      </w:r>
      <w:r>
        <w:rPr>
          <w:rFonts w:ascii="arial" w:eastAsia="arial" w:hAnsi="arial" w:cs="arial"/>
          <w:color w:val="000000"/>
          <w:sz w:val="20"/>
          <w:lang w:val="en-US" w:eastAsia="en-US" w:bidi="ar-SA"/>
        </w:rPr>
        <w:t xml:space="preserve">, [1921] 1 K.B. 321 (C.A.). This is clearly so with respect to profits derived from misappropriated trust funds and it is equally so with respect to profits derived from the use of stolen moneys. To hold otherwise would be to require a thief to return the principal amount of the funds stolen but allow him or her to keep profits derived from the use of those funds. It is also clear that when misappropriated funds, or the proceeds therefrom are mixed with the wrongdoer's funds own funds and moneys are withdrawn from that mixed funds the wrongdoer will be deemed to have withdrawn his own funds first (the first out principle): </w:t>
      </w:r>
      <w:r>
        <w:rPr>
          <w:rFonts w:ascii="arial" w:eastAsia="arial" w:hAnsi="arial" w:cs="arial"/>
          <w:i/>
          <w:color w:val="000000"/>
          <w:sz w:val="20"/>
          <w:lang w:val="en-US" w:eastAsia="en-US" w:bidi="ar-SA"/>
        </w:rPr>
        <w:t>Re Hallett's Estate</w:t>
      </w:r>
      <w:r>
        <w:rPr>
          <w:rFonts w:ascii="arial" w:eastAsia="arial" w:hAnsi="arial" w:cs="arial"/>
          <w:color w:val="000000"/>
          <w:sz w:val="20"/>
          <w:lang w:val="en-US" w:eastAsia="en-US" w:bidi="ar-SA"/>
        </w:rPr>
        <w:t xml:space="preserve"> (1878), 13 Ch.D. 696, especially at p. 727; </w:t>
      </w:r>
      <w:r>
        <w:rPr>
          <w:rFonts w:ascii="arial" w:eastAsia="arial" w:hAnsi="arial" w:cs="arial"/>
          <w:i/>
          <w:color w:val="000000"/>
          <w:sz w:val="20"/>
          <w:lang w:val="en-US" w:eastAsia="en-US" w:bidi="ar-SA"/>
        </w:rPr>
        <w:t>Re Oatway</w:t>
      </w:r>
      <w:r>
        <w:rPr>
          <w:rFonts w:ascii="arial" w:eastAsia="arial" w:hAnsi="arial" w:cs="arial"/>
          <w:color w:val="000000"/>
          <w:sz w:val="20"/>
          <w:lang w:val="en-US" w:eastAsia="en-US" w:bidi="ar-SA"/>
        </w:rPr>
        <w:t>, [1903] 2 Ch. 356, especially at p. 360. These principles are the basis of the plaintiff's claim in the present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point was also made by the B.C. Court of Appeal in </w:t>
      </w:r>
      <w:r>
        <w:rPr>
          <w:rFonts w:ascii="arial" w:eastAsia="arial" w:hAnsi="arial" w:cs="arial"/>
          <w:i/>
          <w:color w:val="000000"/>
          <w:sz w:val="20"/>
          <w:lang w:val="en-US" w:eastAsia="en-US" w:bidi="ar-SA"/>
        </w:rPr>
        <w:t>Ruwenzori</w:t>
      </w:r>
      <w:r>
        <w:rPr>
          <w:rFonts w:ascii="arial" w:eastAsia="arial" w:hAnsi="arial" w:cs="arial"/>
          <w:color w:val="000000"/>
          <w:sz w:val="20"/>
          <w:lang w:val="en-US" w:eastAsia="en-US" w:bidi="ar-SA"/>
        </w:rPr>
        <w:t xml:space="preserve"> at para. 44. The measure of damages is not examined through the lens of the loss actually suffered by the tortfeasor's victim: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circumstance that it may not have been exclusively funds of Nor Sham U.S. that funded the purchase of the Canadian hotel property is no bar to awarding a proprietary remedy to the respondents. I see no principled reason why a person whose monies in part were used to buy an asset cannot obtain a proportional proprietary interest in the asset. In my opinion, Pitfield J. was entitled to make the award he did. </w:t>
      </w:r>
      <w:r>
        <w:rPr>
          <w:rFonts w:ascii="arial" w:eastAsia="arial" w:hAnsi="arial" w:cs="arial"/>
          <w:color w:val="000000"/>
          <w:sz w:val="20"/>
          <w:u w:val="single"/>
          <w:lang w:val="en-US" w:eastAsia="en-US" w:bidi="ar-SA"/>
        </w:rPr>
        <w:t>I would go further and say that indeed he was almost obligated to make such an order on the facts of this case, for to refuse such an order would amount to allowing wrongdoers to profit from their wrongful conduct, a result a court of equity could not countenance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cases involving judgments founded on conversion or unjust enrichment where pro-rata sharing has been permitted (e.g., </w:t>
      </w:r>
      <w:r>
        <w:rPr>
          <w:rFonts w:ascii="arial" w:eastAsia="arial" w:hAnsi="arial" w:cs="arial"/>
          <w:i/>
          <w:color w:val="000000"/>
          <w:sz w:val="20"/>
          <w:lang w:val="en-US" w:eastAsia="en-US" w:bidi="ar-SA"/>
        </w:rPr>
        <w:t>B.C. Teachers' Credit Union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Ruwenzori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Dragon Driving School</w:t>
      </w:r>
      <w:r>
        <w:rPr>
          <w:rFonts w:ascii="arial" w:eastAsia="arial" w:hAnsi="arial" w:cs="arial"/>
          <w:color w:val="000000"/>
          <w:sz w:val="20"/>
          <w:lang w:val="en-US" w:eastAsia="en-US" w:bidi="ar-SA"/>
        </w:rPr>
        <w:t>) involve actual financial contributions from the tortfeasor. In those cases, the victim shared proportionally in any increase in value of the asset acquired from converted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Dragon Driving School</w:t>
      </w:r>
      <w:r>
        <w:rPr>
          <w:rFonts w:ascii="arial" w:eastAsia="arial" w:hAnsi="arial" w:cs="arial"/>
          <w:color w:val="000000"/>
          <w:sz w:val="20"/>
          <w:lang w:val="en-US" w:eastAsia="en-US" w:bidi="ar-SA"/>
        </w:rPr>
        <w:t xml:space="preserve"> is not, as Ms. Li submits, on all fours with the facts of the instant case. In that case, a direct financial contribution was made to the increased value of the real property in issue. Mr. Justice Groberman found that at the date of purchase, all of the equity in the real property was traceable to the plaintiff's converted funds. However, he found, at para. 39, that equity "built up subsequently" by mortgage payments came in part from proceeds of the sale of another asset (real property) acquired prior to and not related to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Turning to whether Ms. Li can claim an interest in the Townhouse and a consequential pro-rata share of the increase in its value, I will begin by saying that I agree with Registrar Nielsen's finding that the mortgage for the Townhouse was secured only because of Mr. Li's converted funds were used as the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Next, by her own admission, Ms. Li did not make any financial contribution to the Townhouse. No case has been cited to me where a non-financial contribution has been sufficient to establish a pro-rata interest. I do not conclude, however, that a non-financial contribution could never be sufficient to found a pro-rata interest. But, in this case, where Ms. Li chose not to adduce any evidence of the value of any non-financial contribution, there is no evidentiary basis in which to consider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 result, Ms. Li has not established that she has made the requisite contribution to the Townhouse to establish an interest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Lastly, I wish to address Ms. Li's submission that a tortfeasor's right to share in the increase in value or profit can only be precluded in cases involving findings of breach of fiduciary duty or fraud (which she argues were not pleaded by Mr. Li in his notice of civil claim). No cases dealing with claims in conversion and unjust enrichment containing any statement of principle to that effect were cited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findings and recommendations in the Registrar's First and Second Reports are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Li is entitled to a declaration that he owns a 100% interest in the Townhouse, effective the date it was purchased by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Li is entitled to judgment against Mr. Kim in the amount of $145,061.67.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7913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Lougheed Estate v. Wilson, [2019] B.C.J. No. 752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Giaschi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and February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S081334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752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665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Balwinder K. Lougheed, in her Capacity as Litigation Representative for the Estate of William F. Lougheed, Deceased and in her Capacity as Litigation Representative for the Estate of Norma Yvonne Lougheed, Deceased, and Norbill Investments Ltd., Plaintiffs, and Kelly Janine Wilson and Charles Blair Wilson, Defendants/Plaintiffs by Counterclaim, and Judeline Tyabji Wilson, Tugboat Enterprises Ltd., Mark Allan Marissen, Elaine O'Connor, Canwest Publishing Inc. Publications Canwest Inc. and Steve Janke,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jc w:val="both"/>
        <w:rPr>
          <w:rFonts w:ascii="arial" w:eastAsia="arial" w:hAnsi="arial" w:cs="arial"/>
          <w:sz w:val="20"/>
          <w:lang w:val="en-US" w:eastAsia="en-US" w:bidi="ar-SA"/>
        </w:rPr>
      </w:pPr>
      <w:bookmarkStart w:id="113" w:name="Counsel_30"/>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Charles Blair Wilson: P.S. Boles.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James Leslie Straith, respondent to an application for costs brought by Judeline T. Wilson and Tugboat Enterprises Ltd.: R.C. Gibbs,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Judeline Tyabji Wilson, appearing in person on her own behalf and on behalf of Tugboat Enterprises Ltd.: J.T. Wilson.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30"/>
      <w:bookmarkEnd w:id="114"/>
      <w:r>
        <w:pict>
          <v:line id="_x0000_s1134"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ADMISSIBILITY OF MS. TYABJI'S JULY 6, 2018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Are the Tyabji defendants entitled to costs as against Mr.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Are the Tyabji defendants entitled to two sets of costs?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Are the Tyabji defendants entitled to special costs, in whole or in part, as against Mr. Wilson?</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Law</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Judgment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of the Parties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Are the Tyabji defendants entitled to costs as against Mr. Straith?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Should costs be fixed or assessed and if assessed, at what scale?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F. Are Mr. Straith and Mr. Wilson entitled to special costs of responding to the costs application of the Tyabji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G.J. GIASHCI J."/>
            <w:bookmarkEnd w:id="115"/>
            <w:r>
              <w:rPr>
                <w:rFonts w:ascii="arial" w:eastAsia="arial" w:hAnsi="arial" w:cs="arial"/>
                <w:b/>
                <w:color w:val="000000"/>
                <w:sz w:val="30"/>
                <w:lang w:val="en-US" w:eastAsia="en-US" w:bidi="ar-SA"/>
              </w:rPr>
              <w:t>G.J. GIASHCI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relate to three applications for costs. The first is an application by the defendants by counterclaim, Judeline Tyabji Wilson ("Ms. Tyabji") and Tugboat Enterprises Ltd. ("Tugboat") (collectively, the "Tyabji defendants"), for: (1) an order against the plaintiff by counterclaim, Charles Blair Wilson ("Mr. Wilson"), for the costs of the counterclaim assessed as lump sum special costs or, alternatively, on Scale C; (2) an order that there be two sets of costs; and (3) an order that the costs so awarded be payable personally by James Leslie Straith ("Mr. Straith"), counsel for Mr. Wilson. The second and third applications are by Mr. Straith and Mr. Wilson respectively for orders that they be awarded special costs of responding to the application of the Tyabji defendants. Additionally, Mr. Straith requests that any costs awarded to him be deducted by Mr. Wilson from any costs payable by Mr. Wilson to the Tyabji defendants and be paid by Mr. Wilson to Mr. Straith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set out below, the Tyabji defendants are awarded one set of costs of the counterclaim against Mr. Wilson to be assessed at Scale C. The application of the Tyabji defendants for costs against Mr. Straith personally is dismissed. The application by Mr. Wilson is dismissed. The application by Mr. Straith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action underlying these applications relates to the publication by the </w:t>
      </w:r>
      <w:r>
        <w:rPr>
          <w:rFonts w:ascii="arial" w:eastAsia="arial" w:hAnsi="arial" w:cs="arial"/>
          <w:i/>
          <w:color w:val="000000"/>
          <w:sz w:val="20"/>
          <w:lang w:val="en-US" w:eastAsia="en-US" w:bidi="ar-SA"/>
        </w:rPr>
        <w:t>Province</w:t>
      </w:r>
      <w:r>
        <w:rPr>
          <w:rFonts w:ascii="arial" w:eastAsia="arial" w:hAnsi="arial" w:cs="arial"/>
          <w:color w:val="000000"/>
          <w:sz w:val="20"/>
          <w:lang w:val="en-US" w:eastAsia="en-US" w:bidi="ar-SA"/>
        </w:rPr>
        <w:t xml:space="preserve"> newspaper of a controversial article on October 28, 2007 concerning Mr. Wilson, then a sitting Member of Parliament. As a result of that article, Mr. Wilson commenced this counterclaim for defamation against the author and publisher of the article and against the Tyabji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trial of the matter was held on various dates between October 2015 and July 2016 and required a total of 59 days. Reasons for Judgment indexed at </w:t>
      </w:r>
      <w:hyperlink r:id="rId648" w:history="1">
        <w:r>
          <w:rPr>
            <w:rFonts w:ascii="arial" w:eastAsia="arial" w:hAnsi="arial" w:cs="arial"/>
            <w:i/>
            <w:color w:val="0077CC"/>
            <w:sz w:val="20"/>
            <w:u w:val="single"/>
            <w:shd w:val="clear" w:color="auto" w:fill="FFFFFF"/>
            <w:lang w:val="en-US" w:eastAsia="en-US" w:bidi="ar-SA"/>
          </w:rPr>
          <w:t>2017 BCSC 1366</w:t>
        </w:r>
      </w:hyperlink>
      <w:r>
        <w:rPr>
          <w:rFonts w:ascii="arial" w:eastAsia="arial" w:hAnsi="arial" w:cs="arial"/>
          <w:color w:val="000000"/>
          <w:sz w:val="20"/>
          <w:lang w:val="en-US" w:eastAsia="en-US" w:bidi="ar-SA"/>
        </w:rPr>
        <w:t xml:space="preserve"> comprising 194 pages excluding schedules were issued by Justice Dardi on August 3, 2017 ("2017 Reasons"). Justice Dardi allowed part of the claim in defamation as against the publisher and author of the article and one other defendant by counterclaim but dismissed the claim as against the Tyabji defendants. Justice Dardi made no order as to costs other than to give the parties leave to address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publisher and author of the article appealed the 2017 Reasons to the Court of Appeal and Mr. Wilson filed a cross-appeal. There was, however, no appeal taken to that part of Dardi J.'s 2017 Reasons dismissing the claim as against the Tyabji defendants. The appeals were disposed of on November 27, 2018: </w:t>
      </w:r>
      <w:hyperlink r:id="rId649" w:history="1">
        <w:r>
          <w:rPr>
            <w:rFonts w:ascii="arial" w:eastAsia="arial" w:hAnsi="arial" w:cs="arial"/>
            <w:i/>
            <w:color w:val="0077CC"/>
            <w:sz w:val="20"/>
            <w:u w:val="single"/>
            <w:shd w:val="clear" w:color="auto" w:fill="FFFFFF"/>
            <w:lang w:val="en-US" w:eastAsia="en-US" w:bidi="ar-SA"/>
          </w:rPr>
          <w:t>2018 BCCA 441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most part, throughout this proceeding including during the trial, Ms. Tyabji was self-represented and also appeared on behalf of Tugboat. There were, however, occasions when Ms. Tyabji or Tugboat were represented by counsel. In particular, when giving her testimony at trial, Ms. Tyabji was represented by counsel,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ADMISSIBILITY OF MS. TYABJI'S JULY 6, 2018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turning to the issues, there is a preliminary matter of the extent to which I should refer to or rely upon the affidavit sworn by Ms. Tyabji on July 6, 2018 (the "July 6, 2018 affidavit"). This affidavit was filed by Ms. Tyabji in support of her submissions on costs that were also filed on July 6, 2018. Mr. Wilson and Mr. Straith objected to the July 6, 2018 affidavit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a case planning conference before Dardi J. held on September 21, 2018, Ms. Tyabji advised the court that she would not be relying on the July 6, 2018 affidavit at the hearing of this application. In view of that advice, Dardi J. directed Mr. Wilson and Mr. Straith to proceed to file their responses to the Tyabji defendants'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view of Ms. Tyabji's clear and unequivocal advice to the court and the parties on September 21, 2018 that she would not be relying on the July 6, 2018 affidavit, it is not open to Ms. Tyabji to rely upon that affidavit in any way now. Accordingly, the July 6, 2018 affidavit is not admissible in these applications for any purpose and I have not referred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Tyabji defendants entitled to costs as against Mr. Wilson?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Tyabji defendants entitled to two sets of costs?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Tyabji defendants entitled to lump sum special costs, in whole or in part, as against Mr. Wilson?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Tyabji defendants entitled to costs as against Mr. Straith? If so, are they entitled to special costs?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costs be fixed or assessed and if assessed, at what scale?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Mr. Straith and Mr. Wilson entitled to special costs of responding to the costs application of the Tyabji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Are the Tyabji defendants entitled to costs as against Mr.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trite that a successful party is entitled to their costs and it is undisputed that the Tyabji defendants were successful at the trial of this matter. It follows that they are entitled to their costs as against Mr. Wilson. In fact, I did not understand any of the parties to dispute the Tyabji defendants' entitlement to costs. All of the written and oral submissions of the parties were directed at the other issues I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Therefore, the Tyabji defendants are entitled to their costs as against Mr. Wilson.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Are the Tyabji defendants entitled to two sets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Ms. Tyabji admits that she represented both herself and Tugboat in these proceedings, she submits that two sets of costs ought to be awarded because Tugboat is a completely separate entity and the allegations in the counterclaim as against her and Tugboat were completely without foundation. She further submits that "she was preparing two entire defense narratives, and all the supporting material,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Wilson submits that only one set of costs should be awarded at Scale B of the tariff and refers me to </w:t>
      </w:r>
      <w:r>
        <w:rPr>
          <w:rFonts w:ascii="arial" w:eastAsia="arial" w:hAnsi="arial" w:cs="arial"/>
          <w:i/>
          <w:color w:val="000000"/>
          <w:sz w:val="20"/>
          <w:lang w:val="en-US" w:eastAsia="en-US" w:bidi="ar-SA"/>
        </w:rPr>
        <w:t>Digital.Doc Services (Canada) Inc. v. Future Shop Ltd.</w:t>
      </w:r>
      <w:r>
        <w:rPr>
          <w:rFonts w:ascii="arial" w:eastAsia="arial" w:hAnsi="arial" w:cs="arial"/>
          <w:color w:val="000000"/>
          <w:sz w:val="20"/>
          <w:lang w:val="en-US" w:eastAsia="en-US" w:bidi="ar-SA"/>
        </w:rPr>
        <w:t>, 1997 CanLII 2103 (BC SC), where Justice Warren noted that, as a general rule, there shall be only one set of costs where a single solicitor represents multiple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 Where there are multiple defendants who are represented by one solicitor and they defend the same statement of defence raising the same defences common to all then, save and except for unique steps taken against a particular defendant, there should be but one bill of costs. The costs of these defendants will be a factor in determining the costs that will be awarded following the conclusion of the remainder of the action in which the corporate defendant remains the only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To similar effect is the decision of Registrar Blok, as he then was, in </w:t>
      </w:r>
      <w:r>
        <w:rPr>
          <w:rFonts w:ascii="arial" w:eastAsia="arial" w:hAnsi="arial" w:cs="arial"/>
          <w:i/>
          <w:color w:val="000000"/>
          <w:sz w:val="20"/>
          <w:lang w:val="en-US" w:eastAsia="en-US" w:bidi="ar-SA"/>
        </w:rPr>
        <w:t>Dempsey v. Envision Credit Union et al</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2007 BCSC 1276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bills of costs in the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action complicate matters further because counsel has presented a bill of costs for each client. This, I conclude, is incorrect. These parties were jointly represented by one set of counsel and they ought to have one set of costs. How they apportion the costs between them is up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have been referred to no caselaw that specifically addresses whether a non-lawyer representing two parties is subject to the same one set of costs rule as in </w:t>
      </w:r>
      <w:r>
        <w:rPr>
          <w:rFonts w:ascii="arial" w:eastAsia="arial" w:hAnsi="arial" w:cs="arial"/>
          <w:i/>
          <w:color w:val="000000"/>
          <w:sz w:val="20"/>
          <w:lang w:val="en-US" w:eastAsia="en-US" w:bidi="ar-SA"/>
        </w:rPr>
        <w:t>Digital.Doc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Dempsey</w:t>
      </w:r>
      <w:r>
        <w:rPr>
          <w:rFonts w:ascii="arial" w:eastAsia="arial" w:hAnsi="arial" w:cs="arial"/>
          <w:color w:val="000000"/>
          <w:sz w:val="20"/>
          <w:lang w:val="en-US" w:eastAsia="en-US" w:bidi="ar-SA"/>
        </w:rPr>
        <w:t xml:space="preserve">. The only authority to which I have been referred by the Tyabji defendants is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122 D.L.R. (4th) 330</w:t>
        </w:r>
      </w:hyperlink>
      <w:r>
        <w:rPr>
          <w:rFonts w:ascii="arial" w:eastAsia="arial" w:hAnsi="arial" w:cs="arial"/>
          <w:color w:val="000000"/>
          <w:sz w:val="20"/>
          <w:lang w:val="en-US" w:eastAsia="en-US" w:bidi="ar-SA"/>
        </w:rPr>
        <w:t xml:space="preserve"> (B.C.C.A.), which established only that a lay litigant is entitled to tariff costs.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does not assist the </w:t>
      </w:r>
      <w:r>
        <w:rPr>
          <w:rFonts w:ascii="arial" w:eastAsia="arial" w:hAnsi="arial" w:cs="arial"/>
          <w:i/>
          <w:color w:val="000000"/>
          <w:sz w:val="20"/>
          <w:lang w:val="en-US" w:eastAsia="en-US" w:bidi="ar-SA"/>
        </w:rPr>
        <w:t>Tyabji</w:t>
      </w:r>
      <w:r>
        <w:rPr>
          <w:rFonts w:ascii="arial" w:eastAsia="arial" w:hAnsi="arial" w:cs="arial"/>
          <w:color w:val="000000"/>
          <w:sz w:val="20"/>
          <w:lang w:val="en-US" w:eastAsia="en-US" w:bidi="ar-SA"/>
        </w:rPr>
        <w:t xml:space="preserve"> defendants. If anything,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is contrary to the position advanced by them since the non-lawyer in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was acting for two parties but was entitled to only one set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Moreover, no cogent rationale was provided as to why there should be a different rule applied to self-represented litigants. Ms. Tyabji was effectively acting as counsel for both herself and Tugboat and the one set of costs rule should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Therefore, the Tyabji defendants are entitled to one set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Are the Tyabji defendants entitled to special costs, in whole or in part, as against Mr.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their submissions, the Tyabji defendants have conflated their arguments for special costs against Mr. Wilson and special costs against Mr. Straith. I adopt this conflation in the following reasons but note that Mr. Straith's liability for costs is a separate issue which is addressed later.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law applicable to an award of special costs was recently summarized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Special costs are normally awarded where there has been some form of reprehensible conduct. Such conduct can be scandalous or outrageous or a milder form of misconduct deserving of reproof or rebuke.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Special costs are typically awarded when there has been some form of reprehensible conduct on the part of one of the parties: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134-138. Special costs are not compensatory; they are punitive: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xml:space="preserve"> at para. 106. They are awarded when a court seeks to disassociate itself from some misconduct</w:t>
      </w:r>
      <w:r>
        <w:rPr>
          <w:rFonts w:ascii="arial" w:eastAsia="arial" w:hAnsi="arial" w:cs="arial"/>
          <w:i/>
          <w:color w:val="000000"/>
          <w:sz w:val="20"/>
          <w:lang w:val="en-US" w:eastAsia="en-US" w:bidi="ar-SA"/>
        </w:rPr>
        <w:t>: Fullerton v. Matsqui (District)</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(C.A.) at para. 23. There are circumstances where special costs may be ordered where there has been no wrongdoing: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 90. These reasons are not concerned with such types of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leading authority on special costs is this Court's decision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There, Mr. Justice Lambert, writing for the Court, set out that the threshold for special cost awards is "reprehensible conduct". He noted the continuum of circumstances in which special costs could be awarded, ranging from "milder forms of misconduct deserving of reproof or rebuke" to "scandalous or outrageous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Having regard to the terminology adopted by Madam Justice McLachlin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to the terminology adopted by Mr. Justice Cumming in </w:t>
      </w:r>
      <w:r>
        <w:rPr>
          <w:rFonts w:ascii="arial" w:eastAsia="arial" w:hAnsi="arial" w:cs="arial"/>
          <w:i/>
          <w:color w:val="000000"/>
          <w:sz w:val="20"/>
          <w:lang w:val="en-US" w:eastAsia="en-US" w:bidi="ar-SA"/>
        </w:rPr>
        <w:t>Fullerton v. Matsqui</w:t>
      </w:r>
      <w:r>
        <w:rPr>
          <w:rFonts w:ascii="arial" w:eastAsia="arial" w:hAnsi="arial" w:cs="arial"/>
          <w:color w:val="000000"/>
          <w:sz w:val="20"/>
          <w:lang w:val="en-US" w:eastAsia="en-US" w:bidi="ar-SA"/>
        </w:rPr>
        <w:t xml:space="preserve">, and to the application of the standard of "reprehensible conduct" by Chief Justice Esson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Justice Gropper summarized the principles applicable to an award of special costs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 have undertaken a thorough review of the cases involving special costs. Having examined the authorities provided by both sides, it is apparent to me that the courts have been somewhat inconsistent in their determination of what amounts to reprehensible conduct and that those authorities must be reconciled. Based upon my review of the authorities, I have derived the following principles for awarding special costs: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specials costs;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Justice Gropper further noted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that although meritless claims will not attract special costs, meritless claims pursued for an improper motive will.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Meritless claims alone will not attract special costs. This proposition was affirmed in the Supreme Court of Canada decision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SCC 9</w:t>
        </w:r>
      </w:hyperlink>
      <w:r>
        <w:rPr>
          <w:rFonts w:ascii="arial" w:eastAsia="arial" w:hAnsi="arial" w:cs="arial"/>
          <w:color w:val="000000"/>
          <w:sz w:val="20"/>
          <w:lang w:val="en-US" w:eastAsia="en-US" w:bidi="ar-SA"/>
        </w:rPr>
        <w:t>. Madam Justice Arbour, writing for the Court, held that an unsuccessful attempt to prove fraud or dishonesty does not inexorably lead to the conclusion that the unsuccessful party should be held liable for solicitor-client costs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However, meritless claims that are pursued for some improper motive have generally attracted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awarding of special costs in a defamation action was considered by the Court of Appeal in </w:t>
      </w:r>
      <w:r>
        <w:rPr>
          <w:rFonts w:ascii="arial" w:eastAsia="arial" w:hAnsi="arial" w:cs="arial"/>
          <w:i/>
          <w:color w:val="000000"/>
          <w:sz w:val="20"/>
          <w:lang w:val="en-US" w:eastAsia="en-US" w:bidi="ar-SA"/>
        </w:rPr>
        <w:t>Merit Consultants International Ltd. v. Chandler</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2014 BCCA 121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Merit</w:t>
      </w:r>
      <w:r>
        <w:rPr>
          <w:rFonts w:ascii="arial" w:eastAsia="arial" w:hAnsi="arial" w:cs="arial"/>
          <w:color w:val="000000"/>
          <w:sz w:val="20"/>
          <w:lang w:val="en-US" w:eastAsia="en-US" w:bidi="ar-SA"/>
        </w:rPr>
        <w:t>, an award of award of special costs was overturned on appeal on the basis that although weak, the action was not "wholly devoid of merit".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There is a fine line between the bringing of an action that has little chance of success but which the plaintiff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believes in, and the assertion of hopeless arguments recklessly or spuriously. I am mindful of the comments of Cumming J.A.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(1990), 50 B.C.L.R. (2d) 1</w:t>
        </w:r>
      </w:hyperlink>
      <w:r>
        <w:rPr>
          <w:rFonts w:ascii="arial" w:eastAsia="arial" w:hAnsi="arial" w:cs="arial"/>
          <w:color w:val="000000"/>
          <w:sz w:val="20"/>
          <w:lang w:val="en-US" w:eastAsia="en-US" w:bidi="ar-SA"/>
        </w:rPr>
        <w:t xml:space="preserve"> (C.A.), rev'd on other grounds, </w:t>
      </w:r>
      <w:hyperlink r:id="rId36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Solicitors who think that they may be mulcted in costs for advancing points which they honestly believe to be fairly arguable may not act fearlessly and in the best traditions of an independent profession. If solicitors are limited in what they think they can say or do on behalf of their clients, then the rights of those clients are also necessarily limited. The potential for a chilling effect, especially if solicitors may be exposed to orders that they pay costs as between solicitor and client, the repercussions on solicitors' positions and consequently upon that of their clients, if adverse costs awards are made, underscore the need for judges to exercise caution in the making of such orders. [At 63-4.]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my view, </w:t>
      </w:r>
      <w:r>
        <w:rPr>
          <w:rFonts w:ascii="arial" w:eastAsia="arial" w:hAnsi="arial" w:cs="arial"/>
          <w:color w:val="000000"/>
          <w:sz w:val="20"/>
          <w:u w:val="single"/>
          <w:lang w:val="en-US" w:eastAsia="en-US" w:bidi="ar-SA"/>
        </w:rPr>
        <w:t>although Merit's defamation action was weak, I would not characterize it as wholly without merit, such that no reasonable solicitor would think it appropriate to proceed</w:t>
      </w:r>
      <w:r>
        <w:rPr>
          <w:rFonts w:ascii="arial" w:eastAsia="arial" w:hAnsi="arial" w:cs="arial"/>
          <w:color w:val="000000"/>
          <w:sz w:val="20"/>
          <w:lang w:val="en-US" w:eastAsia="en-US" w:bidi="ar-SA"/>
        </w:rPr>
        <w:t xml:space="preserve">. Counsel for Merit was obviously aware of the ruling on the question of "publication" in </w:t>
      </w:r>
      <w:r>
        <w:rPr>
          <w:rFonts w:ascii="arial" w:eastAsia="arial" w:hAnsi="arial" w:cs="arial"/>
          <w:i/>
          <w:color w:val="000000"/>
          <w:sz w:val="20"/>
          <w:lang w:val="en-US" w:eastAsia="en-US" w:bidi="ar-SA"/>
        </w:rPr>
        <w:t>Wang v. British Columbia Medical Association et al</w:t>
      </w:r>
      <w:r>
        <w:rPr>
          <w:rFonts w:ascii="arial" w:eastAsia="arial" w:hAnsi="arial" w:cs="arial"/>
          <w:color w:val="000000"/>
          <w:sz w:val="20"/>
          <w:lang w:val="en-US" w:eastAsia="en-US" w:bidi="ar-SA"/>
        </w:rPr>
        <w:t>. [</w:t>
      </w:r>
      <w:hyperlink r:id="rId657" w:history="1">
        <w:r>
          <w:rPr>
            <w:rFonts w:ascii="arial" w:eastAsia="arial" w:hAnsi="arial" w:cs="arial"/>
            <w:i/>
            <w:color w:val="0077CC"/>
            <w:sz w:val="20"/>
            <w:u w:val="single"/>
            <w:shd w:val="clear" w:color="auto" w:fill="FFFFFF"/>
            <w:lang w:val="en-US" w:eastAsia="en-US" w:bidi="ar-SA"/>
          </w:rPr>
          <w:t>2013 BCSC 394</w:t>
        </w:r>
      </w:hyperlink>
      <w:r>
        <w:rPr>
          <w:rFonts w:ascii="arial" w:eastAsia="arial" w:hAnsi="arial" w:cs="arial"/>
          <w:color w:val="000000"/>
          <w:sz w:val="20"/>
          <w:lang w:val="en-US" w:eastAsia="en-US" w:bidi="ar-SA"/>
        </w:rPr>
        <w:t xml:space="preserve">], but was not aware of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w:t>
      </w:r>
      <w:hyperlink r:id="rId658"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and other cases cited therein. As far as the questions relating to qualified privilege are concerned, again </w:t>
      </w:r>
      <w:r>
        <w:rPr>
          <w:rFonts w:ascii="arial" w:eastAsia="arial" w:hAnsi="arial" w:cs="arial"/>
          <w:color w:val="000000"/>
          <w:sz w:val="20"/>
          <w:u w:val="single"/>
          <w:lang w:val="en-US" w:eastAsia="en-US" w:bidi="ar-SA"/>
        </w:rPr>
        <w:t>it cannot be said in my view that Merit's position was wholly devoid of merit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all the circumstances, I would allow the appeal from the costs award and order that Merit pay the costs of trial and this appeal on the usual scale.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2017 Reasons, Dardi J. discussed the claims against the Tyabji defendants at paras. 433 through 564. At paras. 441-442, she summarized the nature of the claims against Ms. Tyabji.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[441] The essence of Mr. Wilson's claim against Ms. Tyabji is that she: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authored and distributed the Anonymous Letter that was sent to Elections Canada (Counterclaim paras. 28 and 29);</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passed alleged defamatory documents to Mark Marissen, the BC Campaign Chair of the Liberal Party of Canada, and others within the Liberal Party (Counterclaim paras. 23, 26, 27, and 29);</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communicated off-the-record with Ms. O'Connor about alleged debts and violations of the </w:t>
      </w:r>
      <w:r>
        <w:rPr>
          <w:rFonts w:ascii="arial" w:eastAsia="arial" w:hAnsi="arial" w:cs="arial"/>
          <w:i/>
          <w:color w:val="000000"/>
          <w:sz w:val="20"/>
          <w:lang w:val="en-US" w:eastAsia="en-US" w:bidi="ar-SA"/>
        </w:rPr>
        <w:t>Canada Elections Act</w:t>
      </w:r>
      <w:r>
        <w:rPr>
          <w:rFonts w:ascii="arial" w:eastAsia="arial" w:hAnsi="arial" w:cs="arial"/>
          <w:color w:val="000000"/>
          <w:sz w:val="20"/>
          <w:lang w:val="en-US" w:eastAsia="en-US" w:bidi="ar-SA"/>
        </w:rPr>
        <w:t>. (Counterclaim paras. 24 and 26);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a comment intended for publication that she believed that Blair Wilson was unfit for public office (Counterclaim para. 33(o)).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[442] Mr. Wilson asserts that Ms. Tyabji was motivated and actuated by malice at paras. 16, 20, and 21 of the Counterclaim. Mr. Wilson also alleges malice as against Ms. Tyabji in Part 3: Legal Basis. In particular Mr. Wilson alleges joint and several liability and that Ms. Tyabji and the other defendants acted in a deliberate and coordinated attempt to cause political and financial damage to Mr. Wilson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 448, Dardi J. explains that the underlying allegation forming the basis of the claim against Ms. Tyabji was the acceptance of money in exchange for a promise to destroy Mr. Wilson's political career: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[448] Mr. Wilson's overarching contention is that Ms. Tyabji embarked on a campaign to discredit and defame him immediately after she accepted money from Mr. Lougheed for an investment in Tugboat. Mr. Wilson alleges that the quid pro quo was Ms. Tyabji's promise to destroy his political career. Mr. Wilson alleges that the defence of qualified privilege or fair comment, upon which Ms. Tyabji relies, is defeated because she was actuated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paras. 449 and 450, Dardi J. explains Ms. Tyabji's position as being that she was at all times motivated by a desire to promote the best interests of the Liberal Party and that any money she received was received as a legitimate investment in Tugboat: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[449] Mr. Tyabji counters with the submission that at all times she acted out of loyalty to the Liberal Party and that she was compelled out of duty to ensure that any materials relevant to Mr. Wilson's candidacy received due diligence with the Liberal Party processes. She asserts that she acted entirely appropriately by limiting her distribution of the potentially relevant materials to the appropriate Liberal Party official, Mr. Marissen, for an internal investigation. She maintains that the negative media attention concerning Mr. Wilson was orchestrated by his political rivals in the Conservative Party and that she approached Mr. Marissen in order to provide the Liberal Party with an opportunity to prepare for any adverse consequences of the impending negative publicity.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[450] Ms. Tyabji maintains that the investment made by Mr. Lougheed in Tugboat was a legitimate investment in a promising data recovery software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allegations in the counterclaim concerning Ms. Tyabji's involvement with the anonymous letter, the contents of which contained defamatory statements, Dardi J. held that Mr. Wilson had not proven on a balance of probabilities that Ms. Tyabji and Tugboat had any involvement with the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[495] In the end, I find that Mr. Wilson did not prove on a balance of probabilities that either Ms. Tyabji or Tugboat had any involvement with the preparation, distribution or publication of Anonymous Letter. The evidence in relation to the averment at para. 28 fell considerably short of the mark.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[496] In the absence of cogent evidence that Ms. Tyabji, either in her personal capacity or as the principal of Tugboat, was involved in the preparation, distribution or publication of Anonymous Letter, Mr. Wilson's claim at para. 28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the allegations in the counterclaim concerning defamatory statements about Mr. Wilson made by Ms. Tyabji to Mr. Marissen, Dardi J. found that Ms. Tyabji did make the defamatory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[503] It is uncontroversial that Ms. Tyabji communicated with Mr. Marissen about Mr. Wilson. The plain and ordinary meaning of Ms. Tyabji's statements to Mr. Marissen and the documents she provided to him would tend to lower Mr. Wilson's reputation in the eyes of a reasonable person. The communications complained of are in fact defamatory. Having established the constituent elements of defamation, falsity and damage are presumed. Accordingly, in order to avoid liability, the onus shifts to Ms. Tyabji to establish one or more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Dardi J. further held that Ms. Tyabji had established a defence of qualified privilege in respect of these defamatory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[514] I conclude that, in these circumstances and in this context, the occasion on which Mr. Tyabji communicated with Mr. Marissen was one of privilege. It is precisely on these types of occasions - when duty drives disclosure - that qualified privilege is invoked. Ms. Tyabji's communications fell within the ambit of the privilege defence and did not exceed the privileged occasion on which they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the allegations in the counterclaim concerning defamatory comments made during communications between Ms. Tyabji and Ms. O'Connor, Dardi J. found that such comments were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[519] Ms. Tyabji does not seriously dispute that the words complained of are defamatory. It is clear that Ms. Tyabji communicated these statements to Ms. O'Connor and that her statements referred to Mr. Wilson. On their natural and ordinary meaning, Ms. Tyabji's "on the record" comments to Ms. O'Connor would tend to lower Mr. Wilson's reputation in the eyes of a reasonable person. Mr. Wilson has established that the impugned statements are in fact defamatory. Accordingly, the onus shifts to Ms. Tyabji to establish one or more defences to avoid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Dardi J. held, at para. 533, that Ms. Tyabji had established a defence of fair comment in respect of these defamatory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[533] In the result, having satisfied the four requisite elements of fair comment Ms. Tyabji succeeds on the defence. I conclude that, subject to any finding of actual or express malice, Ms. Tyabji is not liable for her comments to Ms.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Justice Dardi next considered whether Ms. Tyabji was motivated by malice, which would have defeated her defences of privilege and fair comment. She ultimately rejected the submission that Ms. Tyabji was motivated by malice. In doing so, after balancing the evidence, she found that there was no connection between the investments of Mr. Lougheed in Tugboat and Ms. Tyabji's communications with Mr. Marissen and Ms. O'Connor.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[550] Balancing the evidence as a whole, I cannot conclude that there was a nexus between the investment in Tugboat and Ms. Tyabji's communications with either Ms. O'Connor or Mr. Marissen. This conclusion accords with the preponderance of the objective evidence. Notably, in so far as their business activities were concerned, Tugboat received National Research Council grants. The investment provided no preferential treatment for Mr. Lougheed in relation to other investors, the share certificates were issued and recorded in the share registry, and the convertible debenture was properly recorded and accounted for. The evidence discloses that the amount of the investment was not particularly significant given that the total investment from seventy-five shareholders in the company was approximately $3.8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[551] I find that there is no evidentiary basis to support Mr. Wilson's assertion that Tugboat was the corporate vehicle used to organize a negative publicity campaign against him. There is no cogent evidence that the funds from Mr. Lougheed's investment were used for any purpose other than legitimate Tugboat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Justice Dardi then turned to address the specific allegations as against Tugboat. She again found that none of the allegations as against Tugboat were borne out by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[557] In para. 17 of the Counterclaim, Mr. Wilson alleges that Ms. Tyabji was acting on behalf of, and using the premises of, Tugboat when she contacted Mr. Marissen. At para. 26 he alleges that Ms. Tyabji and Tugboat prepared and published the Anonymous Letter. Finally, he contends that Tugboat's actions were "malicious, scandalous, vexatious and done in a deliberate attempt to cause political and financial damage" to Blair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[558] None of these contentions are borne out by the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Submissions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Tyabji defendants submit that the conduct of Mr. Wilson and Mr. Straith was sufficiently reprehensible, outrageous, and scandalous to attract special costs. More particularly, they submit: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Wilson and Mr. Straith knew that the claims against them were without merit but nevertheless pursued the claims for an improper motive;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Wilson and Mr. Straith abused the process of the court by bringing a contempt application against Ms. Tyabji for failure to produce documents;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Straith engaged in sharp practice by derogating from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Rules of Professional Conduct of British Columbia</w:t>
      </w:r>
      <w:r>
        <w:rPr>
          <w:rFonts w:ascii="arial" w:eastAsia="arial" w:hAnsi="arial" w:cs="arial"/>
          <w:color w:val="000000"/>
          <w:sz w:val="20"/>
          <w:lang w:val="en-US" w:eastAsia="en-US" w:bidi="ar-SA"/>
        </w:rPr>
        <w: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Wilson and Mr. Straith misled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Additionally, the Tyabji defendants submit that this action resulted in the insolvency of Tugboat and that special costs should be awarded to recompense the shareholders for their lost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Wilson submits that there is no evidence before the court substantiating the allegations of misconduct or the effects of the lawsuit on Tugboat. He further submits that the allegations are insufficiently particularized to allow for an informed response.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Discussion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first submission of the Tyabji defendants is that the claims were without merit and were pursued for an improper motive. To be successful, the Tyabji defendants must prove both that the claims were without merit and were pursued for an improper motive. The Tyabji defendants have not proven either of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am not satisfied that the claims made by Mr. Wilson in the counterclaim were so completely without merit that they should attract special costs. I reach this conclusion because the 2017 Reasons do not disclose a completely meritless claim. To the contrary, the 2017 Reasons show that there was some merit to the claims in that Ms. Tyabji was found to have made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defamatory statements in her communications with Ms. O'Connor and Mr. Marissen. Additionally, in dismissing the claims as against Tugboat, Dardi J. merely states that the evidence did not establish either a connection between Mr. Lougheed's investment in Tugboat and Ms. Tyabji's communications with Ms. O'Connor and Mr. Marissen or that Tugboat was the corporate vehicle used to organize a negative publicity campaign against Mr. Wilson. Very importantly, in my view, she did not say or suggest the claims alleged were wholly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Therefore, in my opinion, the counterclaim was not, to use the words of the Court of Appeal in </w:t>
      </w:r>
      <w:r>
        <w:rPr>
          <w:rFonts w:ascii="arial" w:eastAsia="arial" w:hAnsi="arial" w:cs="arial"/>
          <w:i/>
          <w:color w:val="000000"/>
          <w:sz w:val="20"/>
          <w:lang w:val="en-US" w:eastAsia="en-US" w:bidi="ar-SA"/>
        </w:rPr>
        <w:t>Merit</w:t>
      </w:r>
      <w:r>
        <w:rPr>
          <w:rFonts w:ascii="arial" w:eastAsia="arial" w:hAnsi="arial" w:cs="arial"/>
          <w:color w:val="000000"/>
          <w:sz w:val="20"/>
          <w:lang w:val="en-US" w:eastAsia="en-US" w:bidi="ar-SA"/>
        </w:rPr>
        <w:t>, "wholly devoid of merit" or "wholly without merit, such that no reasonable solicitor would think it appropriate to proceed". Although this is sufficient to dispose of the arguments relating to the merits of the claim, I nevertheless consider whether the claims were made for an 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Tyabji defendants submit that the motive was political. However, they have submitted no evidence before me supporting a political motive, or any other improper motive, on the part of Mr. Wilson and Mr. Straith. Additionally, Dardi J. did not suggest at any point in her reasons that there was an improper motive for the counterclaim. In the circumstances, it would be pure speculation to conclude the counterclaim was motivated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second basis upon which the Tyabji defendants ground their claim for special costs is that Mr. Wilson and Mr. Straith abused the process of the court by bringing a contempt application against Ms. Tyabji for failure to produce documents. This is in reference to a dispute during the discovery phase of this matter. That dispute resulted in an award of special costs in relation to a particular interlocutory application. Given that there has already been an award of special costs for the conduct complained of, that conduct has no bearing on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third basis upon which the Tyabji defendants ground their claim for special costs is that Mr. Straith engaged in sharp practice by derogating from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Rules of Professional Conduct of British Columbia</w:t>
      </w:r>
      <w:r>
        <w:rPr>
          <w:rFonts w:ascii="arial" w:eastAsia="arial" w:hAnsi="arial" w:cs="arial"/>
          <w:color w:val="000000"/>
          <w:sz w:val="20"/>
          <w:lang w:val="en-US" w:eastAsia="en-US" w:bidi="ar-SA"/>
        </w:rPr>
        <w:t xml:space="preserve">. However, their submissions under this heading do not seem to relate to specific breaches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Rules of Professional Conduct of British Columbia</w:t>
      </w:r>
      <w:r>
        <w:rPr>
          <w:rFonts w:ascii="arial" w:eastAsia="arial" w:hAnsi="arial" w:cs="arial"/>
          <w:color w:val="000000"/>
          <w:sz w:val="20"/>
          <w:lang w:val="en-US" w:eastAsia="en-US" w:bidi="ar-SA"/>
        </w:rPr>
        <w:t>. They reference an incident where they say they were not properly served with a notice of motion. The balance of their submissions under this heading either relate to the merits of the claim, something already addressed, or are in the nature of complaints about the negative publicity generated by the action, something which does not attract special costs. The only submission under this heading that might attract special costs is the submission that Ms. Tyabji was treated "with contempt" by Mr. Wilson and Mr. Straith. The submissions of the Tyabji defendants refer to several instances where they say Ms. Tyabji was treated with contempt. These are: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Tyabji being addressed by her first name;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Straith repeatedly making comments about it being difficult to deal with a "self-rep";</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Tyabji being repeatedly interrupted;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Straith and Mr. Wilson "laughing" at Ms. Tyabji's replies to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admissible evidence before me substantiating the above conduct and I note in her 2017 Reasons, Dardi J. did not mention any such conduct on the part of Mr. Wilson or Mr. Straith.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fourth and final basis upon which the Tyabji defendants ground their claim for special costs is that Mr. Wilson and Mr. Straith misled the court. However, their submissions under this heading all relate to their view that there was a complete lack of any evidence to support the various allegations made. These submissions simply go to the merits of the action, something that I have already addressed. There is no evidence whatsoever that Mr. Wilson or Mr. Straith "misled"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Tyabji defendants also submit that this action resulted in the insolvency of Tugboat and that special costs should be awarded to recompense the shareholders for their lost investments. I reject this submission in its entirety as there is no evidence in support of it and it has no relevance to the question of whether special costs are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Considering all of the submissions of the Tyabji defendants, I am not satisfied that the conduct of Mr. Wilson or Mr. Straith was such that it ought to attract an award of special costs. In reaching this conclusion, I am fortified by the fact that at no point in her 2017 Reasons did Dardi J. state or even suggest that there was any conduct on the part of Mr. Wilson or Mr. Straith that was reprehensible, outrageous or scandalous or otherwise worthy of reproof or rebuke. If there had been such conduct, it would not have gone unremarked by Justice Dardi.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addition, I question whether a self-represented litigant is entitled to special costs. There are difficulties with awarding a self-represented litigant special costs. First, how are such special costs to be assessed? Normally, special costs are assessed with reference to the amounts paid by a party to its solicitors. That is not possible with a lay litigant. Second, and related to the first problem, is the risk of overcompensating the lay litigant. These difficulties were discussed by the Court of Appeal in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when determining whether a lay litigant should be entitled to costs. The Court of Appeal was not addressing whether a lay litigant could be entitled to special costs but the court noted that the danger of overcompensating lay litigants and the difficulties of assessment could be overcome by awarding costs under the tariff.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 Because party and party costs are based on a tariff in this province, there is no danger of overcompensating selfrepresented lay litigants, and it would not be difficult to assess the costs to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Therefore, even if I was satisfied that the conduct of Mr. Wilson and Mr. Straith was reprehensible, outrageous or scandalous or otherwise worthy of reproof or rebuke, as a matter of law, a lay litigant is, in my view, not entitled to an award of special costs.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Are the Tyabji defendants entitled to costs as against Mr. Straith?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law applicable to an award of costs against a solicitor is most recently set out in </w:t>
      </w:r>
      <w:r>
        <w:rPr>
          <w:rFonts w:ascii="arial" w:eastAsia="arial" w:hAnsi="arial" w:cs="arial"/>
          <w:i/>
          <w:color w:val="000000"/>
          <w:sz w:val="20"/>
          <w:lang w:val="en-US" w:eastAsia="en-US" w:bidi="ar-SA"/>
        </w:rPr>
        <w:t>Nuttall v. Krekovic</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2018 BCCA 341</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First, special costs have a punitive or deterrent element and are only appropriate where the conduct in issue is deserving of punishment or rebuke. This well-known principle stems from numerous cases, most recently enunciated in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2018 BCCA 325</w:t>
        </w:r>
      </w:hyperlink>
      <w:r>
        <w:rPr>
          <w:rFonts w:ascii="arial" w:eastAsia="arial" w:hAnsi="arial" w:cs="arial"/>
          <w:color w:val="000000"/>
          <w:sz w:val="20"/>
          <w:lang w:val="en-US" w:eastAsia="en-US" w:bidi="ar-SA"/>
        </w:rPr>
        <w:t xml:space="preserve"> (at para. 28. The chambers judge erred in principle by failing to consider the </w:t>
      </w:r>
      <w:r>
        <w:rPr>
          <w:rFonts w:ascii="arial" w:eastAsia="arial" w:hAnsi="arial" w:cs="arial"/>
          <w:color w:val="000000"/>
          <w:sz w:val="20"/>
          <w:u w:val="single"/>
          <w:lang w:val="en-US" w:eastAsia="en-US" w:bidi="ar-SA"/>
        </w:rPr>
        <w:t>cautious approach to an award of special costs against a lawyer personally</w:t>
      </w:r>
      <w:r>
        <w:rPr>
          <w:rFonts w:ascii="arial" w:eastAsia="arial" w:hAnsi="arial" w:cs="arial"/>
          <w:color w:val="000000"/>
          <w:sz w:val="20"/>
          <w:lang w:val="en-US" w:eastAsia="en-US" w:bidi="ar-SA"/>
        </w:rPr>
        <w:t xml:space="preserve">, as well as the kind of reprehensible conduct that would justify such an award, mandated by the Supreme Court of Canada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and more recently in </w:t>
      </w:r>
      <w:r>
        <w:rPr>
          <w:rFonts w:ascii="arial" w:eastAsia="arial" w:hAnsi="arial" w:cs="arial"/>
          <w:i/>
          <w:color w:val="000000"/>
          <w:sz w:val="20"/>
          <w:lang w:val="en-US" w:eastAsia="en-US" w:bidi="ar-SA"/>
        </w:rPr>
        <w:t>Quebec (Director of Criminal and Penal Prosecutions) v. Jodoin</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2017 SCC 26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the court directed judges to </w:t>
      </w:r>
      <w:r>
        <w:rPr>
          <w:rFonts w:ascii="arial" w:eastAsia="arial" w:hAnsi="arial" w:cs="arial"/>
          <w:color w:val="000000"/>
          <w:sz w:val="20"/>
          <w:u w:val="single"/>
          <w:lang w:val="en-US" w:eastAsia="en-US" w:bidi="ar-SA"/>
        </w:rPr>
        <w:t>be "extremely cautious" in awarding costs personally against lawyers</w:t>
      </w:r>
      <w:r>
        <w:rPr>
          <w:rFonts w:ascii="arial" w:eastAsia="arial" w:hAnsi="arial" w:cs="arial"/>
          <w:color w:val="000000"/>
          <w:sz w:val="20"/>
          <w:lang w:val="en-US" w:eastAsia="en-US" w:bidi="ar-SA"/>
        </w:rPr>
        <w:t xml:space="preserve"> given their duties to guard confidentiality of instructions and to bring forward with courage even unpopular causes: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lawyer should not be placed in a situation where his or her fear of an adverse order of costs may conflict with these fundamental duties or his or her calling.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Jodoin</w:t>
      </w:r>
      <w:r>
        <w:rPr>
          <w:rFonts w:ascii="arial" w:eastAsia="arial" w:hAnsi="arial" w:cs="arial"/>
          <w:color w:val="000000"/>
          <w:sz w:val="20"/>
          <w:lang w:val="en-US" w:eastAsia="en-US" w:bidi="ar-SA"/>
        </w:rPr>
        <w:t xml:space="preserve">, the court confirmed that </w:t>
      </w:r>
      <w:r>
        <w:rPr>
          <w:rFonts w:ascii="arial" w:eastAsia="arial" w:hAnsi="arial" w:cs="arial"/>
          <w:color w:val="000000"/>
          <w:sz w:val="20"/>
          <w:u w:val="single"/>
          <w:lang w:val="en-US" w:eastAsia="en-US" w:bidi="ar-SA"/>
        </w:rPr>
        <w:t>the threshold for exercising the power to award costs against lawyers is high</w:t>
      </w:r>
      <w:r>
        <w:rPr>
          <w:rFonts w:ascii="arial" w:eastAsia="arial" w:hAnsi="arial" w:cs="arial"/>
          <w:color w:val="000000"/>
          <w:sz w:val="20"/>
          <w:lang w:val="en-US" w:eastAsia="en-US" w:bidi="ar-SA"/>
        </w:rPr>
        <w:t xml:space="preserve">, such that </w:t>
      </w:r>
      <w:r>
        <w:rPr>
          <w:rFonts w:ascii="arial" w:eastAsia="arial" w:hAnsi="arial" w:cs="arial"/>
          <w:color w:val="000000"/>
          <w:sz w:val="20"/>
          <w:u w:val="single"/>
          <w:lang w:val="en-US" w:eastAsia="en-US" w:bidi="ar-SA"/>
        </w:rPr>
        <w:t>there must be a finding of reprehensible conduct by the lawyer</w:t>
      </w:r>
      <w:r>
        <w:rPr>
          <w:rFonts w:ascii="arial" w:eastAsia="arial" w:hAnsi="arial" w:cs="arial"/>
          <w:color w:val="000000"/>
          <w:sz w:val="20"/>
          <w:lang w:val="en-US" w:eastAsia="en-US" w:bidi="ar-SA"/>
        </w:rPr>
        <w:t>. Reprehensible conduct "represents a marked and unacceptable departure from the standard of reasonable conduct expected of a player in the judicial system" (at para. 27). Mr. Justice Gascon, for the majority, described the kind of conduct that would justify such an order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my opinion, therefore, an award of costs against a lawyer personally can be justified only on an exceptional basis where the lawyer's acts have seriously undermined the authority of the courts or seriously interfered with the administration of justice. </w:t>
      </w:r>
      <w:r>
        <w:rPr>
          <w:rFonts w:ascii="arial" w:eastAsia="arial" w:hAnsi="arial" w:cs="arial"/>
          <w:color w:val="000000"/>
          <w:sz w:val="20"/>
          <w:u w:val="single"/>
          <w:lang w:val="en-US" w:eastAsia="en-US" w:bidi="ar-SA"/>
        </w:rPr>
        <w:t>This high threshold is met where a court has before it an unfounded, frivolous, dilatory or vexatious proceeding that denotes a serious abuse of the judicial system by the lawyer, or dishonest or malicious misconduct on his or her part, that is deliberate..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Consistent with these decisions, this Court has long held that such orders </w:t>
      </w:r>
      <w:r>
        <w:rPr>
          <w:rFonts w:ascii="arial" w:eastAsia="arial" w:hAnsi="arial" w:cs="arial"/>
          <w:color w:val="000000"/>
          <w:sz w:val="20"/>
          <w:u w:val="single"/>
          <w:lang w:val="en-US" w:eastAsia="en-US" w:bidi="ar-SA"/>
        </w:rPr>
        <w:t xml:space="preserve">should be made only in "very special circumstances", and not on the basis of mistake, error in judgment or even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Hannigan v. Ikon Office Solutions Inc</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(1998), 61 B.C.L.R. (3d) 270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Pierce v. Baynham</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2015 BCCA 188</w:t>
        </w:r>
      </w:hyperlink>
      <w:r>
        <w:rPr>
          <w:rFonts w:ascii="arial" w:eastAsia="arial" w:hAnsi="arial" w:cs="arial"/>
          <w:color w:val="000000"/>
          <w:sz w:val="20"/>
          <w:lang w:val="en-US" w:eastAsia="en-US" w:bidi="ar-SA"/>
        </w:rPr>
        <w:t xml:space="preserve"> at para.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is apparent from the foregoing quotation, the court must be extremely cautious in awarding costs against a solicitor personally and should only make such an order where there has been reprehensible conduct by the solicitor. In the above section of these reasons dealing with entitlement to special costs I have addressed the issue of whether there has been reprehensible conduct on the part of Mr. Straith as well as Mr. Wilson and I have found that there was no such conduct. I reiterate that this finding is confirmed by the 2017 Reasons in that it made absolutely no reference to any misconduct on the part of Mr. Straith that would suggest his conduct was such as to justify an award of costs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Additionally, Mr. Wilson swore an affidavit on October 18, 2018 in which he deposed that at all times Mr. Straith was acting on his instructions and carrying out his instructions.</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retained Mr. Straith years ago to represent me by bringing and conducting these proceedings. Throughout these proceedings Mr. Straith has acted on my behalf, on my instructions in prosecuting my claims against Tyabji/ Tugboat. He will be my counsel October 15-16, 2018, in the Court of Appeal on the appeals arising from Madam Justice Dardi's judgment in this proceeding. I continue to have confidence in Mr. Straith and would have had him as my counsel to respond to the Tyabji/Tugboat costs submissions but for the claims they have made against him personally. I wish, to the greatest extent possible, to maintain the solicitor and client privilege that pertains to my discussions with Mr. Straith, his advice to me, our litigation strategy and the considerations of evidence, strategy and tactics that led us to frame the proceedings and conduct the trial of this matter before Justice Dardi as we did. The fact is that this was my proceeding, I gave the instructions as to what was to be done, and Mr. Straith carried out my instructions to my satisfaction. I take responsibility for all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that Mr. Straith was carrying out his duties to his client and given the lack of any evidence of reprehensible conduct on the part of Mr. Straith, there is no basis whatsoever for an order that he personally pay costs.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Should costs be fixed or assessed and if assessed, at what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Tyabji defendants submit that costs should be fixed on a lump sum basis utilizing a rate of $10,000 per day. This submission was, however, premised on the assumption that special costs would be awarded. As I have determined that special costs are not warranted, there is no basis for a lump sum assessment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am aware that Rules14-1(1)(c) and 14-1(15) permit me to assess lump sum costs in the absence of an award for special costs. Although, the Tyabji defendants did not make submissions in support of a lump sum assessment of non-special costs, they did submit that the prolonged duration of this proceeding and further delay due to the process of assessing costs through the registrar were justifications for a lump sum fixed costs award. However, the default position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that costs are to be assessed by the registrar, who has special expertise in such matters. There is no reason to depart from that default position. I was not the trial judge in this matter and am in no better position than the registrar to assess the costs. Moreover, given the overall complexity of the proceedings and the fact that I was not the trial judge, it would not be appropriate for me to attempt to fix a lump sum costs award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alternative to a fixed lump sum award, the Tyabji defendants submit that costs should be awarded on Scale C and adjusted upwards by 1.5. Mr. Wilson submits that costs should be assessed at Scale B with no uplift.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non-exhaustive list of the factors to be considered in determining the appropriate scale of costs was set out in </w:t>
      </w:r>
      <w:r>
        <w:rPr>
          <w:rFonts w:ascii="arial" w:eastAsia="arial" w:hAnsi="arial" w:cs="arial"/>
          <w:i/>
          <w:color w:val="000000"/>
          <w:sz w:val="20"/>
          <w:lang w:val="en-US" w:eastAsia="en-US" w:bidi="ar-SA"/>
        </w:rPr>
        <w:t>Mort v. Board of School Trustees of School Board No. 63 (Saanich)</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starting point is to determine whether this matter was of little difficulty; less than ordinary difficulty; ordinary difficulty or importance; more than ordinary difficulty or importance; or, of unusual difficulty or importance.[1] Difficulty or importance must be established, not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Relevant factors to consider in answering that question include: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Considering the above factors, the costs should be assessed at Scale C as this was clearly a matter of more than ordinary difficulty. The specific factors that lead me to this conclusion are: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required 59 days;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involved were complex as indicated by the length of the Reasons of Justice Dardi;</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was, without a doubt, very hard fought;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has been ongoing for more than ten years;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over forty notices of application filed during the course of the proceedings and multiple case management conferences;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file records more than 500 documents having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Tyabji defendants additionally request an uplift of costs by a factor of 1.5 under s. 2(5) of Appendix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This subsection permits such an uplift in circumstances where the ordinary amount would be "grossly inadequate or unjust". The Tyabji defendants submit that such an uplift is justified because Mr. Wilson "made the case protracted" and "unnecessarily complicated" and "maximized expenses" for the Tyabji defendants. However, there is nothing in the 2017 Reasons that indicate Mr. Wilson did any of these things. Moreover, there is no evidence that an award of costs on Scale C, without the uplift, would be grossly inadequate or unjust. In fact, given that no or minimal legal fees were actually incurred, a costs award on Scale C is generous.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 Are Mr. Straith and Mr. Wilson entitled to special costs of responding to the costs application of the Tyabji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Mr. Wilson and Mr. Straith have filed applications for orders awarding them special costs of responding to the application by the Tyabji defendants. They submit that the Tybaji defendants have made serious unfounded allegations of professional misconduct against Mr. Straith that justify an award of special costs and that necessitated that Mr. Wilson retain new counsel at considerable additional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Wilson and Mr. Straith rely upon </w:t>
      </w:r>
      <w:r>
        <w:rPr>
          <w:rFonts w:ascii="arial" w:eastAsia="arial" w:hAnsi="arial" w:cs="arial"/>
          <w:i/>
          <w:color w:val="000000"/>
          <w:sz w:val="20"/>
          <w:lang w:val="en-US" w:eastAsia="en-US" w:bidi="ar-SA"/>
        </w:rPr>
        <w:t>Interstate Investments Ltd. v. Pacific International Securities</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(1995), 10 B.C.L.R. (3d) 265</w:t>
        </w:r>
      </w:hyperlink>
      <w:r>
        <w:rPr>
          <w:rFonts w:ascii="arial" w:eastAsia="arial" w:hAnsi="arial" w:cs="arial"/>
          <w:color w:val="000000"/>
          <w:sz w:val="20"/>
          <w:lang w:val="en-US" w:eastAsia="en-US" w:bidi="ar-SA"/>
        </w:rPr>
        <w:t xml:space="preserve"> (S.C.) where special costs were awarded to a party for having made unfounded allegations against the other party's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Where as here, there is an allegation of serious or outrageous conduct alleged against the plaintiff's solicitor, the words of Mr. Justice McKinnon have special application. The plaintiff's solicitor had no direct interest in this litigation other than to represent her client's interests in the transactions. She was and is a professional person, engaged in carrying out her professional duties both in communicating with the defendant and in swearing the affidavit she did. As is the case with any legal practitioner, her reputation for integrity is the most valuable asset she has. Each professional owes all others reasonable even vigilant care in assessing actions undertaken and words said, before allegations or imputations are made which can have the effect of undermining another practitioner's reputation for integrity. Defendant's counsel failed to exercise that care. The allegation of serious misconduct in the context in which it was made and relied on in this proceeding by the defendant was not well-founded and the obvious steps were not taken to determine whether such an allegation did have any 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Such conduct on the part of the defendant is deserving of "chastisement."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Wilson and Mr. Straith further rely on </w:t>
      </w:r>
      <w:r>
        <w:rPr>
          <w:rFonts w:ascii="arial" w:eastAsia="arial" w:hAnsi="arial" w:cs="arial"/>
          <w:i/>
          <w:color w:val="000000"/>
          <w:sz w:val="20"/>
          <w:lang w:val="en-US" w:eastAsia="en-US" w:bidi="ar-SA"/>
        </w:rPr>
        <w:t>K.M. v. I.M.</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2016 BCSC 2125</w:t>
        </w:r>
      </w:hyperlink>
      <w:r>
        <w:rPr>
          <w:rFonts w:ascii="arial" w:eastAsia="arial" w:hAnsi="arial" w:cs="arial"/>
          <w:color w:val="000000"/>
          <w:sz w:val="20"/>
          <w:lang w:val="en-US" w:eastAsia="en-US" w:bidi="ar-SA"/>
        </w:rPr>
        <w:t>, where Justice Ball awarded special costs to a solicitor who was required to defend allegations of misconduct made by a lay litigant.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K.M. [the lay litigant] filed an extensive affidavit which he asserted his comments did not contain a personal attack on P.B. [the solicitor] or anyone else. The allegations made by K.M. that were to form the basis of his application included allegations of misconduct against a member of the legal profession. K.M. alleged that P.B. had breached a court order and that P.B. had misled the judge at a Judicial Case Conference which in effect compromised a Section 211 report. These are serious allegations of impropriety against P.B. These allegations were so serious that P.B. retained counsel for the application that K.M. stated he intended to bring.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On reading that affidavit, I conclude that K.M. did advance very specific allegations of personal misconduct against P.B. and that P.B. was entitled in the circumstances to retain counsel to assist her in facing the "application" that K.M. intended to bring. The nature of the allegations of misconduct necessitated the presence of Mr. Gibbs and once the application was abandoned by K.M., consideration of the matter ceased.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With regard to the concept of "reprehensibility", K.M.'s allegations and intentions to bring forth an application to detail P.B.'s misconduct in my view amounts to "scandalous conduct". K.M. attempted to bring forth allegations that counsel misled the court and breached a court order. The position taken by the claimant was unmeritorious. This was more than an ill-informed position. It carried with it serious repercussions by calling into question the propriety of P.B. as a member of the legal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 find the misconduct engaged in by K.M. amounts to "reprehensible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Based on the materials before me, I am convinced that P.B. has demonstrated exceptional circumstances to justify a special costs order in accordance with the rule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foregoing authorities establish that a solicitor is entitled to special costs where serious allegations of professional misconduct are made without a proper evidentiary foundation. The Tyabji defendants made very serious allegations of professional misconduct against Mr. Straith, including allegations of misleading the court. These allegations were not supported by any evidence whatsoever other than bald assertions by Ms. Tyabji. Given the complete absence of any evidence, I can only infer that the application against Mr. Straith was brought for other than legitimate purposes. In my view, such conduct is deserving of reproof or rebuke and entitles Mr. Straith to special costs for defending the application of the Tyabji defendants and for the costs of bringing his own application. Moreover, given the insolvency of Tugboat, it is appropriate in the circumstances of this case that the costs to which Mr. Straith is entitled, once assessed, be deducted from the costs payable by Mr. Wilson to the Tyabji defendants and be paid direct to Mr. Straith by Mr.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situation is different, however, as to Mr. Wilson. Mr. Wilson was required to defend the costs application of the Tyabji defendants whether or not there was a separate application for costs against Mr. Straith personally. The application of the Tyabji defendants for special costs as against Mr. Wilson was not so wholly without merit that special costs should be awarded to Mr.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therefore make the following orders: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Tyabji defendants are awarded one set of costs of this proceeding against Mr. Wilson, excluding the costs associated with these applications, to be assessed by the Registrar on Scale C;</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Straith is awarded his special costs against the Tyabji defendants of responding to the application of the Tyabji defendants and of bringing his own application for costs, with such special costs to be assessed by the Registrar;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Mr. Wilson for his special costs of responding to the application of the Tyabji defendants is dismissed, without costs to any party;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costs to which the Tyabji defendants and Mr. Straith are assessed, Mr. Wilson is directed to deduct the costs owing by the Tybaji defendants to Mr. Straith from the costs owing by him to the Tyabji defendants and to pay the deducted amount direct to Mr. Straith;</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there was divided success on the application of the Tyabji defendants, there shall be no costs of this application other than to Mr. Straith, as set out above in para. 63(b).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GIASHCI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Lundquist v. Central Kootenay (Regional District), [2019] B.C.J. No. 1486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20628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M.P.L.R. (5th) 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2303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Lundquist, Petitioner, and The Regional District of Central Kootenay and the Attorney General of British Columbia,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jc w:val="both"/>
        <w:rPr>
          <w:rFonts w:ascii="arial" w:eastAsia="arial" w:hAnsi="arial" w:cs="arial"/>
          <w:sz w:val="20"/>
          <w:lang w:val="en-US" w:eastAsia="en-US" w:bidi="ar-SA"/>
        </w:rPr>
      </w:pPr>
      <w:bookmarkStart w:id="116" w:name="Counsel_31"/>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appearing in person with Brian Bailey: N. Lundquist, B.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Regional District of Central Kootenay: M. Voell.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A. Caron.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31"/>
      <w:bookmarkEnd w:id="117"/>
      <w:r>
        <w:pict>
          <v:line id="_x0000_s1137" style="position:absolute;z-index:2517493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J.M.I. DUNCAN J. (orally)"/>
            <w:bookmarkEnd w:id="118"/>
            <w:r>
              <w:rPr>
                <w:rFonts w:ascii="arial" w:eastAsia="arial" w:hAnsi="arial" w:cs="arial"/>
                <w:b/>
                <w:color w:val="000000"/>
                <w:sz w:val="30"/>
                <w:lang w:val="en-US" w:eastAsia="en-US" w:bidi="ar-SA"/>
              </w:rPr>
              <w:t>J.M.I. DUNCAN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Nathan Lundquist seeks judicial review of proceedings against him by the Regional District of Central Kootenay ("RDCK") in respect of a building he admittedly constructed on his property without a building permit. He also filed a Notice of Constitutional Question ("NCQ"), which brought the Attorney General for British Columbia ("AGBC") into the proceedings. I permitted Brian Bailey to assist Mr. Lundquist by making oral submissions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Caron, counsel for the AGBC on the NCQ, notes that the style of cause should be amended to reflect the AGBC as the proper respondent on judicial review. Accordingly, the style of cause is amended to replace reference to "Her Majesty the Queen in Right of the Province of British Columbia" and "Her Majesty the Queen in Right of the Province of British Columbia, Acting Through Her Attorney-General of British Columbia", with "the Attorney General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Mr. Lundquist's amended petition, he seeks:</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adjourning the hearing regarding this matter presently set before an adjudicator for December 10, 2018 at 1:00 p.m.;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for reasons that will become apparent later in this judgment, this is a moot point since the adjudication took place as scheduled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statute of limitations has passed regarding prosecution of this matter by the RDCK;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RDCK Building Bylaw No. 2200, 2010 (the "Building Bylaw") is illegal and unenforceable and that the disclaimer contained therein that a building permit applicant is required to sign is a disclaimer to both policy decisions and operational decisions and is therefore invalid;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or in the alternative, an order of prohibition, barring the RDCK from any further prosecution of the petitioner or imposing any fines, costs, levies or other charges upon the petitioner with regard to the Building Bylaw and Bylaw Offence Notice No. 1027 (the "Offence Notice");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w:t>
      </w:r>
      <w:r>
        <w:rPr>
          <w:rFonts w:ascii="arial" w:eastAsia="arial" w:hAnsi="arial" w:cs="arial"/>
          <w:i/>
          <w:color w:val="000000"/>
          <w:sz w:val="20"/>
          <w:lang w:val="en-US" w:eastAsia="en-US" w:bidi="ar-SA"/>
        </w:rPr>
        <w:t>Local Government Bylaw Notice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60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s. 16(a) and (b), are of no force and effect;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any adjudicator presiding over any hearing regarding this or a related matter is required to consider any argument regarding a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issue;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s. 16(d), is of no force and effect;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any adjudicator presiding over any hearing regarding this matter is required to consider any argument regarding a challenge to the validity of the bylaw that is alleged to have been contravened;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petitioner's property has been entered by the building inspector, Sam Ellison, illegally, unlawfully and in violation of the petitioner's rights;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Adjudicator Marylin Mellis's decision, made the 10th day of December, 2018, that the petitioner, Nathan Lundquist, has contravened the Building Bylaw;</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prohibiting the RDCK from putting any notice on the title of the petitioner's property regarding building without a permit or any order of prohibition to that effect; or if they have already put such notice on title an order that they remove it forthwith;</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original petition in this matter stands on its own merit and that this amended petition fulfils the requirement pursuant to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 note that Mr. Voell, counsel for the respondent RDCK, took no issue with the amended petition in this matter and I need say no more about this issue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RDCK return to the petitioner any fines, levies, fees or other charges paid to the RDCK by the petitioner;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declarations or orders the court deems meet and just;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petitioner owns and lives on a property in Winlaw. The property is within electoral Area H of the RDCK.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March 22, 2018, Sam Ellison, RDCK building/plumbing official, was at the petitioner's property and noticed a single family dwelling and large carport had been constructed. No building permit had been sought or issued for the construction, which contravened the Building Bylaw. Mr. Ellison posted a "Stop Work Order" at the property and took pictures of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 does not dispute that he constructed a house and carport on his property without a building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23, 2018, Mr. Ellison sent a letter to the petitioner, advising of the breach of the Building Bylaw and requesting the petitioner remedy the breach by applying for a building permit. The letter was returned to Mr. Ellison by mail as posted to the wrong address. Mr. Ellison updated the petitioner's address and sent the letter again on March 27,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Ellison did not hear anything from the petitioner by the middle of April, and sent another letter to him dated April 16. There was no response to that letter by May 9 and as a result, Mr. Ellison issued the Offence Notice against the petitioner and sent it to him by mail. Later on May 9, Mr. Ellison received a letter from the petitioner dated May 4, 2018. In summary, the petitioner stated that: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Ellison invaded his property and violated his privacy by posting the Stop Work Order;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construction on the property; the order was irrelevant as there is no work to stop;</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took place "quite a while ago" so the RDCK was beyond the limitation period of two years to commence a civil prosecution and six months for the prosecution of an offence;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had a limit of six months and the RDCK was beyond that;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permit application had a disclaimer that was illegal and unlawful, which the petitioner refused to sign;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Building Bylaw was a contract and the disclaimer meant that any inspection was worthless so there was no </w:t>
      </w:r>
      <w:r>
        <w:rPr>
          <w:rFonts w:ascii="arial" w:eastAsia="arial" w:hAnsi="arial" w:cs="arial"/>
          <w:i/>
          <w:color w:val="000000"/>
          <w:sz w:val="20"/>
          <w:lang w:val="en-US" w:eastAsia="en-US" w:bidi="ar-SA"/>
        </w:rPr>
        <w:t>quid pro quo</w:t>
      </w:r>
      <w:r>
        <w:rPr>
          <w:rFonts w:ascii="arial" w:eastAsia="arial" w:hAnsi="arial" w:cs="arial"/>
          <w:color w:val="000000"/>
          <w:sz w:val="20"/>
          <w:lang w:val="en-US" w:eastAsia="en-US" w:bidi="ar-SA"/>
        </w:rPr>
        <w:t xml:space="preserve"> for the contract and that further invalidated the Building Bylaw and subsequent inspections;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RDCK illegally delegated matters to the Rural Affairs Committee, contrary to a decision of the Supreme Court of Canada;</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requires one day between the third reading of a bylaw and adoption, which had not been observed in this case;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threatened to bring legal action against the RDCK and against Mr. Ellison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Notice of Dispute for the Offence Notice was received by the RDCK on May 30, 2018 from the petitioner via email. Pamela Guille was appointed the Screening Officer with respect to the bylaw offence notice issued to the petitioner.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(1) If a local government establishes a screening officer position and appoints a screening officer, a bylaw notice issued to enforce a bylaw of the local government must be reviewed by the screening officer before a dispute adjudication in respect of the bylaw notice may be scheduled.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screening officer, after reviewing a bylaw notice, may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 the notice if, in the screening officer's opinion,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contravention did not occur as alleged,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bylaw notice does not comply with section 4 (4) [bylaw notice -- required information], or</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ground for cancellation authorized by the local government is satisfied,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the bylaw notice and refer it to an adjudicator unless the request for dispute adjudication is withdrawn, or</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authorized by bylaw, enter into a compliance agreement with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Guille contacted the petitioner by email on May 31, 2018. She informed him in the email that the notice to dispute had been received and that she had been assigned as Screening Officer. Ms. Guille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the "Local Government Bylaw Notice Enforcement Act" all fines that are being disputed must appear in person before the Screening Officer or via correspondence for a decision to either uphold the ticket or dismiss the ticket prior to the ticket going through the process with an independent adjudicator as assigned by the Province of British Columbia. Should this matter appear in front of the independent adjudicator as assigned by the Province of British Columbia and the ticket is upheld by the adjudicator an additional $25 administrative fee will be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please forward your grounds and reasons for disputing the issuance of this ticket to you, so that this information can be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Guille requested the information by 4:00 p.m. on Friday, June 15,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petitioner responded on Friday, June 22 by email, saying that Ms. Guille's email was an illegitimate method of contact for a legal contact and he expected registered mail. "E-mail is not legally binding for a document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25, Ms. Guille sent a letter to the petitioner advising of the bylaw notice ticket adjudication process and requesting the petitioner's reasons and grounds for disputing the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petitioner responded through Brian Bailey, who wrote that no construction had taken place on the property for over six months, so the limitation period under s. 5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had passed; that s. 33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required the Province to renew the non-applicability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s. 16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which specifically exempts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and bylaw validity challenges from the jurisdiction of an adjudicator determining a dispute in respect of a bylaw notice; that the Building Bylaw was a nullity for essentially the same reason the petitioner complained of in his letter to Mr. Ellison; and several other grounds which essentially track the letter to Mr. Ellison.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Guille responded by letter dated August 8, 2018, advising that it was her decision to uphold the Offence Notice. She set out the petitioner's options: pay the discounted fine amount or proceed with the adjudication process, with the additional $25 administrative fee. Ms. Guille requested the petitioner's response by August 24,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24, 2018, Mr. Bailey, with the approval of the petitioner, wrote to Ms. Guille advising that the adjudication route would be followed and complaining about her cursory decision, ignoring all the points raised and stating they would go to court and seek costs, special costs and punitive costs. Mr. Bailey also adverted to correspondence to Mr. Ellison, stating that "if he dares to continue it is our intention to go to the BC Supreme Court to obtain an injunction against him and the RDCK" as well as court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adjudication was set for December 10, 2018. Adjudicator Mellis upheld the Offence Notice. The adjudicator noted that the petitioner's advocate, Mr. Bailey, stated there were issues with respect to the validity of the bylaw and requested an adjournment. The adjudicator observed that the validity of the bylaw was outside her jurisdiction and she had to proceed as if the bylaws were valid. I will have more to say about this later in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Adjudicator Mellis observed that the petitioner admitted he built a building without a permit but had not done any work on it for over six months. The adjudicator noted the interpretation advanced by the petitioner and Mr. Bailey that if the work had been completed more than six months earlier, no ticket could issue. She observed that the bylaw states the RDCK has six months from the time they discover the allegation to issue a ticket and that they had done so. The ticket was found to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petitioner initially applied for judicial review on December 4, 2018. The amended petition was filed after the adjudicator's decision. A notice of constitutional question was filed on April 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petitioner was notified by letter dated December 19, 2018 that the RDCK would consider, at the Rural Affairs Committee meeting on January 16, 2019, whether to put a notice pursuant to s. 57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on the title of his property. At the meeting the s. 57 notice was approved, with the caveat that it would be cancelled if an active building permit or building application is in place. Sections 57 and 58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(1) A building inspector may recommend to the council that it consider a resolution under subsection (3) if, during the course of carrying out duties, the building inspector</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observes a condition, with respect to land or a building or other structure, that the inspector considers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results from the contravention of, or is in contravention of,</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 bylaw,</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Provincial building regulation, or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enactment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relates to the construction or safety of buildings or other structures,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as a result of the condition, a building or other structure is unsafe or is unlikely to be usable for its expected purpose during its normal lifetime, or</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discovers that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something was done with respect to a building or other structure, or the construction of a building or other structure, that required a permit or an inspection under a bylaw, regulation or enactment referred to in paragraph (a) (i),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permit was not obtained or the inspection not satisfactorily completed.</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recommendation under subsection (1) must be given in writing to the corporate officer, who must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notice to the registered owner of the land to which the recommendation relates,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notice under paragraph (a), place the matter before the council.</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providing the building inspector and the owner an opportunity to be heard, the council may confirm the recommendations of the building inspector and pass a resolution directing the corporate officer to file a notice in the land title office stating that</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resolution relating to that land has been made under this section, and</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information about it may be inspected at the municipal hall.</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officer must ensure that all records are available for the purpose of subsection (3) (b).</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registrar of land titles receives a notice under subsection (3) and payment of the prescribed fee, the registrar must make a note of the filing against the title to the land that is affected by the notice.</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note of a filing of a notice under this section is extinguished when a new title to the land is issued as a result of the deposit of a plan of subdivision or a strata plan.</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any omission, mistake or misfeasance by the registrar or an employee of the registrar in relation to the making of a note of the filing under subsection (5), or a cancellation under section 58, after the notice is received by the land title office,</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is not liable and neither the Provincial government nor the Land Title and Survey Authority of British Columbia is liable vicariously,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assurance fund or the Land Title and Survey Authority of British Columbia as a nominal defendant is not liable under Part 19.1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and</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assurance fund or the minister charged with the administration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as a nominal defendant is not liable under Part 20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building inspector nor the municipality is liable for damage of any kind for the doing of anything, or the failure to do anything, under this section or section 58 that would have, but for this subsection, constituted a breach of duty to any person.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under this section is in addition to any other action that a building inspector is authorized to take in respect of a matter referred to in subsection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(1) On receiving a report from a building inspector that the condition that gave rise to the filing of the notice under section 57 (3) has been rectified, the corporate officer must file a cancellation notice and, on receiving the notice, the registrar of land titles must cancel the note against the title to which it relates.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of land with respect to which a notice has been filed under section 57 (3), may apply to the council for a resolution that the note be cancelled.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hearing an applicant under subsection (2), the council may pass a resolution directing the corporate officer to file a cancellation notice.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resolution has been passed under subsection (3), the corporate officer must file a cancellation notice in the land title office and, on receiving the notice, the registrar of land titles must cancel the note against the title to which it relates.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council does not pass a resolution under subsection (3), the owner may apply to the Supreme Court and notify the municipality to attend before the court to show cause why the note should not be cancelled.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subsection (5), after reviewing any evidence that the owner and the municipality may adduce, the court may make an order directing the registrar to cancel the note made under section 57 (5) and, on receiving the order, the registrar of land titles must cancel the note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on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adopted the reorganization of the petitioner's grounds in the manner suggested by counsel for the RDCK as follows: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Bylaw is invalid because it was adopted by the RDCK Board on the same day it received third reading;</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14.1 of the Building Bylaw is unlawful;</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Ellison's entry onto the petitioner's property without an entry warrant was an unreasonable search and contrary to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Bylaw Notice was barred by the limitation period in s. 5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16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is of no force and effect and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several other issues which effectively relate to various forms of injunctive relief as well as the actual review of the adjudicator's decision. I will deal with them following resolution of the issues enumerated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Validity of the Building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petitioner argues that the Building Bylaw is invalid because it was adopted by the RDCK Board the same day it received third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RDCK derives its authority to enact bylaws regulating the constriction of buildings and structures, including the authority to require a permit before starting and during any construction, from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2015, c.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Section 298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298 (1) Subject to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Drinking Water Protection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Fire Services Act</w:t>
      </w:r>
      <w:r>
        <w:rPr>
          <w:rFonts w:ascii="arial" w:eastAsia="arial" w:hAnsi="arial" w:cs="arial"/>
          <w:color w:val="000000"/>
          <w:sz w:val="20"/>
          <w:lang w:val="en-US" w:eastAsia="en-US" w:bidi="ar-SA"/>
        </w:rPr>
        <w:t xml:space="preserve"> and the regulations under those Acts, the board may, for the purposes described in subsection (2), by bylaw, do one or more of the following:</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construction, alteration, repair or demolition of buildings and other structures;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installation, alteration or repair of plumbing including septic tanks and sewer connections, heating, air conditioning, electrical wiring and equipment, gas or oil piping and fittings, appliances and accessories of every kind;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contractors, owners or other persons to obtain and hold a valid permit from the board, or the authorized official, before starting and during the construction, installation, repair or alteration of gas or oil pipes and fittings, plumbing, heating, sewers, septic tanks, drains, electrical wiring, oil burners, tanks, pumps and similar works and buildings and other structures of the kind, description or value described in the bylaw;</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that, before occupancy of a building or part of it after construction, wrecking or alteration, or a change in class of occupancy of a building or part of it, an occupancy permit be obtained from the board or the authorized official;</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conditions generally governing the issue and validity of permits and the inspection of works, buildings and other structures;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areas to be known as fire limits and, for those areas,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construction of buildings in respect of precautions against fire,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discriminate and differentiate between areas in the character of the buildings permitted.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omitted as not applicable.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board may exercise the powers conferred by subsection (1) for the following purposes: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access to a building or other structure, or to part of a building or other structure, for a person with disabilities;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conservation of energy or water;</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of greenhouse gas emissions;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 safety or protection of persons or property.</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requested by an applicant, the building inspector must give written reasons for his or her refusal to issue a building permit required under this section.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occupancy permit required under subsection (1) (d) may be withheld until the building or part of it complies with the following:</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Provincial building regulations;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bylaws under this section;</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health and safety requirements established by bylaw;</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federal or Provincial enactment in relation to health or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also deals with bylaw adoption. In s. 228,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bylaw that does not require approval, consent or assent under this or any other Act before it is adopted may be adopted at the same meeting at which it passes third reading if the motion for adoption receives at least 2/3 of the votes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Since s. 298 gives the Board authority to enact bylaws regulating the construction of buildings and structures, it does not require approval, consent or assent.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Building Bylaw in question received first, second and third reading by the RDCK Board of Directors on December 9, 2010. It was adopted that day as well, then subsequently amended on March 10, 2011 and April 12,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petitioner argues there is no evidence the Building Bylaw was adopted by a two-thirds vote, because that fact is not recorded in the minutes of the December 9, 2010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respondent RDCK filed an affidavit from the former Director of Corporate Administration, Dawn Attorp. She was at the December 9, 2010 meeting and the two subsequent meetings where the Building Bylaw was amended. Ms. Attorp certified the minutes, as secretary. She deposes that she was generally responsible for the conduct of RDCK Board meetings in 2010, 2011 and 2012 and ensuring proper procedures were followed. It was not her normal practice to record complete vote counts, but she would record dissenting votes if requested by the dissenting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Attorp was aware of the requirement in the LGA which allows adoption of bylaws on the same day as third reading if passed by a two-thirds vote of the Board. She deposes that the December 9, 2010 vote on the Building Bylaw and the two subsequent amendments to its in 2011 and 2012 received two-thirds of the votes of the Board in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petitioner maintains that Ms. Attorp is not a credible witness and her affidavit should be rejected because she referred to s. 288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not s. 228. Ms. Attorp swore a second affidavit correcting the error. The petitioner maintains that it is not credible and should not be admitted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 give credence to this argument would put form over substance. I accept Ms. Attorp's affidavits as evidence that a two-thirds vote was achieved at the December 9, 2010 meeting and the Building Bylaw was validly enacted and adopted.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Section 14.1 of the Building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14.1 of the Building Bylaw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the issuance of a permit under this Bylaw, the review and acceptance of the design, drawings, plans or specifications, nor inspections made by a building official, shall constitute a representation or warranty that the Building Code or the Bylaw have been complied with or the building or structure meets any standard of materials or workmanship, and no person shall rely on any of those acts as establishing compliance with the Building Code or this Bylaw or any standard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discussed earlier in these reasons, s. 298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gives the RDCK the authority to regulate the construction, alteration and repair of buildings and other structures. It also gives the RDCK authority to require a valid permit be obtained before starting as well as during construction. Section 14.1 falls under the rubric of authority in s. 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petitioner argues that to obtain a building permit, a person is required to sign a disclaimer indemnifying the RDCK from any responsibility and if they do not do so, the RDCK will not issue a building permit. He maintains s. 14.1 is unauthorized in law, illegal and unlawful pursuant to </w:t>
      </w:r>
      <w:r>
        <w:rPr>
          <w:rFonts w:ascii="arial" w:eastAsia="arial" w:hAnsi="arial" w:cs="arial"/>
          <w:i/>
          <w:color w:val="000000"/>
          <w:sz w:val="20"/>
          <w:lang w:val="en-US" w:eastAsia="en-US" w:bidi="ar-SA"/>
        </w:rPr>
        <w:t>Kamloops v. Neilsen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He also refers to contract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do not share the petitioner's view of the impact the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decision has on s. 14.1 of the Building Bylaw or the applicability of the law of contract in the circumstances before me. I agree with Mr. Voell that the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decision stands for the proposition that a local government will not be liable where damages flow from a policy enacted by a local government, but may be liable where that policy is negligently administered.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in issue in the matter before me. The RDCK has the authority to enact procedures respecting building permits under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and s. 14.1 is a valid exercise of that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Mr. Ellison's Entry onto the Petitioner's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petitioner argues that Mr. Ellison trespassed on his property, contravened his privacy rights and contravened sections of the Building Bylaw when he attended the property and took photographs of the construction. He maintains Mr. Ellison should have obtained a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Sections 284 and 419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(1) Section 16 (1) to (5) </w:t>
      </w:r>
      <w:r>
        <w:rPr>
          <w:rFonts w:ascii="arial" w:eastAsia="arial" w:hAnsi="arial" w:cs="arial"/>
          <w:i/>
          <w:color w:val="000000"/>
          <w:sz w:val="20"/>
          <w:lang w:val="en-US" w:eastAsia="en-US" w:bidi="ar-SA"/>
        </w:rPr>
        <w:t>[authority to enter on or into property]</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applies in relation to an authority under this or another Act for a regional district to enter on property, except that a reference to section 16 (6) (a) of that Act is to be read as a reference to section 419 </w:t>
      </w:r>
      <w:r>
        <w:rPr>
          <w:rFonts w:ascii="arial" w:eastAsia="arial" w:hAnsi="arial" w:cs="arial"/>
          <w:i/>
          <w:color w:val="000000"/>
          <w:sz w:val="20"/>
          <w:lang w:val="en-US" w:eastAsia="en-US" w:bidi="ar-SA"/>
        </w:rPr>
        <w:t>[inspections to determine whether bylaws are being followed]</w:t>
      </w:r>
      <w:r>
        <w:rPr>
          <w:rFonts w:ascii="arial" w:eastAsia="arial" w:hAnsi="arial" w:cs="arial"/>
          <w:color w:val="000000"/>
          <w:sz w:val="20"/>
          <w:lang w:val="en-US" w:eastAsia="en-US" w:bidi="ar-SA"/>
        </w:rPr>
        <w:t xml:space="preserve"> of this Act.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limiting the matters to which this section applies, a regional district may enter on property for the purpose of taking action authorized under section 418 </w:t>
      </w:r>
      <w:r>
        <w:rPr>
          <w:rFonts w:ascii="arial" w:eastAsia="arial" w:hAnsi="arial" w:cs="arial"/>
          <w:i/>
          <w:color w:val="000000"/>
          <w:sz w:val="20"/>
          <w:lang w:val="en-US" w:eastAsia="en-US" w:bidi="ar-SA"/>
        </w:rPr>
        <w:t>[authority to fulfill requirements at defaulter's expense]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If a board has authority to regulate, prohibit and impose requirements in relation to a matter, the board may, by bylaw, authorize officers, employees and agents of the regional district to enter, at all reasonable times, on any property to inspect and determine whether all regulations, prohibitions and requirements are being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Section 7 of the Building Bylaw also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A building official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7.2.1 may enter any land, building, structure, or premises at any reasonable time for the purpose of ascertaining that the terms of this Bylaw are being observed;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7.2.2 where any residence is occupied, shall obtain the consent of the occupant or provide written notice to the occupant 24 hours in advance of entry;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7.2.3 shall carry proper credentials confirming the official's status as a building official.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Voell submits that Mr. Ellison acted under the authority of s. 7.2.1. He went on to the petitioner's property for the purpose of ascertaining that the terms of the Building Bylaw were being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are circumstances where officials require a warrant before entering onto property: see for example </w:t>
      </w:r>
      <w:r>
        <w:rPr>
          <w:rFonts w:ascii="arial" w:eastAsia="arial" w:hAnsi="arial" w:cs="arial"/>
          <w:i/>
          <w:color w:val="000000"/>
          <w:sz w:val="20"/>
          <w:lang w:val="en-US" w:eastAsia="en-US" w:bidi="ar-SA"/>
        </w:rPr>
        <w:t>Arkinstall v. City of Surrey</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2010 BCCA 250</w:t>
        </w:r>
      </w:hyperlink>
      <w:r>
        <w:rPr>
          <w:rFonts w:ascii="arial" w:eastAsia="arial" w:hAnsi="arial" w:cs="arial"/>
          <w:color w:val="000000"/>
          <w:sz w:val="20"/>
          <w:lang w:val="en-US" w:eastAsia="en-US" w:bidi="ar-SA"/>
        </w:rPr>
        <w:t xml:space="preserve">, where targeted searches under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 xml:space="preserve"> were found to require an administrative warrant, unlike minimally intrusive spot checks which were upheld in the earlier decision of </w:t>
      </w:r>
      <w:r>
        <w:rPr>
          <w:rFonts w:ascii="arial" w:eastAsia="arial" w:hAnsi="arial" w:cs="arial"/>
          <w:i/>
          <w:color w:val="000000"/>
          <w:sz w:val="20"/>
          <w:lang w:val="en-US" w:eastAsia="en-US" w:bidi="ar-SA"/>
        </w:rPr>
        <w:t>R. v. Bichel</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(1986), 4 B.C.L.R (2d) 132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concerned with unreasonable search and seizure. A three-part test is applied to claims that state action or legislation constitutes a breach of an individual's right to be secure from unreasonable search or seizure:</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search or seizure must be authorized by law;</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itself must be reasonable;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search or seizure must be carried out in a reasonable manner: </w:t>
      </w:r>
      <w:r>
        <w:rPr>
          <w:rFonts w:ascii="arial" w:eastAsia="arial" w:hAnsi="arial" w:cs="arial"/>
          <w:i/>
          <w:color w:val="000000"/>
          <w:sz w:val="20"/>
          <w:lang w:val="en-US" w:eastAsia="en-US" w:bidi="ar-SA"/>
        </w:rPr>
        <w:t>R. v. Collins</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(1987), 333 C.C.C. (3d) 1</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R. v. Grant</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2009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the search consisted of a minimally intrusive spot check by Mr. Ellison, acting under the authority of the Building Bylaw to ascertain if the terms of the Building Bylaw were being observed, so the search was authorized by law. The law itself is a reasonable one, authorizing entry onto property to ensure compliance with the Building Bylaw. Mr. Ellison was not acting as an agent of the police or carrying out an inspection for any other agency. In the circumstances no warrant was required and there was no invasion of privacy as asserted by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circumstances are similar to those before Mr. Justice Brown in </w:t>
      </w:r>
      <w:r>
        <w:rPr>
          <w:rFonts w:ascii="arial" w:eastAsia="arial" w:hAnsi="arial" w:cs="arial"/>
          <w:i/>
          <w:color w:val="000000"/>
          <w:sz w:val="20"/>
          <w:lang w:val="en-US" w:eastAsia="en-US" w:bidi="ar-SA"/>
        </w:rPr>
        <w:t>Coffey v. Fraser Valley (Regional District)</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2018 BCSC 959</w:t>
        </w:r>
      </w:hyperlink>
      <w:r>
        <w:rPr>
          <w:rFonts w:ascii="arial" w:eastAsia="arial" w:hAnsi="arial" w:cs="arial"/>
          <w:color w:val="000000"/>
          <w:sz w:val="20"/>
          <w:lang w:val="en-US" w:eastAsia="en-US" w:bidi="ar-SA"/>
        </w:rPr>
        <w:t xml:space="preserve"> and I adopt his s. 8 analysis at paras. 58-84.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The Limitation Issue in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LGBNEA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petitioner argues that since the Bylaw Notice was issued more than six months after any construction on his property, the RDCK could not have issued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5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does indeed have a six month limitation period. But it also has to be read in conjunction with s. 6.1 of the Building Bylaw, which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person shall commence or continue any construction, alteration, reconstruction, demolition, removal, relocation or change the occupancy of any building, structure or plumbing system or other work related to construction unless a building official has issued a valid and subsisting permit for the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petitioner concedes he constructed a building on his property without first obtaining a building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would fly in the face of logic, common sense and the rule of law if someone could construct a building without a required permit, avoid notice by local building officials for six months and then have the building converted into a lawful dwelling by the effluxion of time, or otherwise enjoy immunity against enforcement because six months had passed. The very existence of the unpermitted construction on the petitioner's property was a continuing violation of the requirement to obtain a permit under the Building Bylaw. There is no evidence the building disappeared before the ticket was issued. There is no limitation defence available to the petitioner on the facts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Section 16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LGBNEA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Section 16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limits the jurisdiction of an adjudicator in the following manner:</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matter arises in the course of hearing and determining a dispute in respect of a bylaw notice or a compliance agreement, an adjudicator may not decide any of the following: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matter involving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matter for which notice under section 8 of the </w:t>
      </w:r>
      <w:r>
        <w:rPr>
          <w:rFonts w:ascii="arial" w:eastAsia="arial" w:hAnsi="arial" w:cs="arial"/>
          <w:i/>
          <w:color w:val="000000"/>
          <w:sz w:val="20"/>
          <w:lang w:val="en-US" w:eastAsia="en-US" w:bidi="ar-SA"/>
        </w:rPr>
        <w:t>Constitutional Question Act</w:t>
      </w:r>
      <w:r>
        <w:rPr>
          <w:rFonts w:ascii="arial" w:eastAsia="arial" w:hAnsi="arial" w:cs="arial"/>
          <w:color w:val="000000"/>
          <w:sz w:val="20"/>
          <w:lang w:val="en-US" w:eastAsia="en-US" w:bidi="ar-SA"/>
        </w:rPr>
        <w:t xml:space="preserve"> is required;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involving a determination of aboriginal or treaty rights or claims;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challenge to the validity of the bylaw that is alleged to have been contravened;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not uncommon for legislation to prescribe limits on the authority of an adjudicator. Specialized tribunals are set up to deal with discrete pieces of legislation. Where an individual such as the petitioner cannot achieve a remedy through an adjudication, judicial review to this Court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petitioner maintains that s. 33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requires the provincial government to renew the non-applicability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Section 33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(1) Parliament or the legislature of a province may expressly declare in an Act of Parliament or of the legislature, as the case may be, that the Act or a provision thereof shall operate notwithstanding a provision included in section 2 or sections 7 to 15 of this Charter.</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a provision of an Act in respect of which a declaration made under this section is in effect shall have such operation as it would have but for the provision of this Charter referred to in the declaration.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made under subsection (1) shall cease to have effect five years after it comes into force or on such earlier date as may be specified in the declaration.</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Parliament or the legislature of a province may re-enact a declaration made under subsection (1).</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 applies in respect of a re-enactment made under subsection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appreciate the petitioner is upset at the RDCK issuing a violation notice to him and then later putting a charge on the title of his property indicating it contained a non-compliant building, but no enumerated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is threatened or affected by s. 16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and s. 33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not engaged. The Legislature has limited the jurisdiction of an administrative decision-maker to consider constitutional issues. The petitioner has another avenue to deal with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arguments by way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adjudicator conducted the hearing within the scope of her statutory authority. She refused to consider the validity of the Building Bylaw 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raised. The adjudicator was following s. 13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Regulations,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If, in the opinion of an adjudicator, a matter described in section 16 </w:t>
      </w:r>
      <w:r>
        <w:rPr>
          <w:rFonts w:ascii="arial" w:eastAsia="arial" w:hAnsi="arial" w:cs="arial"/>
          <w:i/>
          <w:color w:val="000000"/>
          <w:sz w:val="20"/>
          <w:lang w:val="en-US" w:eastAsia="en-US" w:bidi="ar-SA"/>
        </w:rPr>
        <w:t>[limitation on jurisdiction of adjudicator]</w:t>
      </w:r>
      <w:r>
        <w:rPr>
          <w:rFonts w:ascii="arial" w:eastAsia="arial" w:hAnsi="arial" w:cs="arial"/>
          <w:color w:val="000000"/>
          <w:sz w:val="20"/>
          <w:lang w:val="en-US" w:eastAsia="en-US" w:bidi="ar-SA"/>
        </w:rPr>
        <w:t xml:space="preserve"> of the Act is raised by the disputant in the course of a hearing, the adjudicator must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the hearing and make a determination in the dispute as if the matter under section 16 of the Act had been determined against the disputant by a court or tribunal of competent jurisdiction,</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decision provided under section 14 of this regulation, identify the matter raised and specify the assumption made under paragraph (a) for the purposes of determining the dispute, and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parties to the dispute of</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procedures the adjudicator is required to follow under paragraph (a), and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will be recorded in the adjudicator's decision because of paragraph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Matters outside the statutory jurisdiction of the adjudicator are subject to judicial review: </w:t>
      </w:r>
      <w:r>
        <w:rPr>
          <w:rFonts w:ascii="arial" w:eastAsia="arial" w:hAnsi="arial" w:cs="arial"/>
          <w:i/>
          <w:color w:val="000000"/>
          <w:sz w:val="20"/>
          <w:lang w:val="en-US" w:eastAsia="en-US" w:bidi="ar-SA"/>
        </w:rPr>
        <w:t>Denton v. British Columbia (Workers' Compensation Appeal Tribunal)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2017 BCCA 403</w:t>
        </w:r>
      </w:hyperlink>
      <w:r>
        <w:rPr>
          <w:rFonts w:ascii="arial" w:eastAsia="arial" w:hAnsi="arial" w:cs="arial"/>
          <w:color w:val="000000"/>
          <w:sz w:val="20"/>
          <w:lang w:val="en-US" w:eastAsia="en-US" w:bidi="ar-SA"/>
        </w:rPr>
        <w:t>. The petitioner has accessed this remedy in 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Caron, for the AGBC, addressed the petitioner's CQN, which raises a number of issues: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of the defendant (petitioner) to fundamental justice with regard to the adjudication hearing in this matter pursuant to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of the defendant to be secure against unreasonable search pursuant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of the defendant to a fair hearing pursuant to s.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s. 16(a) and (b)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which restricts the jurisdiction of the adjudicator from a matter involving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unlawful, void and unenforceable;</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s. 16(c) which restricts the jurisdiction of the adjudicator from a matter involving a challenge to the validity of the bylaw that is alleged to have been contravened is contrary to s.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the petitioner from being exempt from being charged with contravention of the Building Bylaw within the statutory period of six months, thereby violating his right to be tried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already dealt with some of those issues, such as the search and seizure issue and the limitation period issue. For the balance of them, I adopt Ms. Caron's organization of them into the following areas: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s. 16(a)(b) or (d) of the </w:t>
      </w:r>
      <w:r>
        <w:rPr>
          <w:rFonts w:ascii="arial" w:eastAsia="arial" w:hAnsi="arial" w:cs="arial"/>
          <w:i/>
          <w:color w:val="000000"/>
          <w:sz w:val="20"/>
          <w:lang w:val="en-US" w:eastAsia="en-US" w:bidi="ar-SA"/>
        </w:rPr>
        <w:t>LGBNEA</w:t>
      </w:r>
      <w:r>
        <w:rPr>
          <w:rFonts w:ascii="arial" w:eastAsia="arial" w:hAnsi="arial" w:cs="arial"/>
          <w:color w:val="000000"/>
          <w:sz w:val="20"/>
          <w:lang w:val="en-US" w:eastAsia="en-US" w:bidi="ar-SA"/>
        </w:rPr>
        <w:t xml:space="preserve"> infringe ss. 7 or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does, is such an infringement a reasonable limit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relevance of s. 33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the matter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Administrative decision-makers, like the adjudicator in this case, are creatures of statute. They are created for particular purposes and carry out their functions in a carefully circumscribed manner. They are not judges, with wide statutory jurisdiction or, as is the case with Supreme Court judges, inherent jurisdiction. The statute creating the administrative tribunal in question describes what the adjudicator can and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petitioner complains that the adjudicator in this case was precluded by statute from considering the validity of the Building Bylaw or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he raised. There is no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-protected right to make constitutional arguments before an administrative decision-maker. The Legislature chose not to endow adjudicators in bylaw matters with authority to decide questions of law and constitutional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Part of the petitioner's argument is that his right to life, liberty and security of the person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affected. As I understand his position, it is that a $200 fine was levied against him in circumstances where he could not properly defend himself. He also maintains that the s. 57 notice on his property, which has been removed by the RDCK, constituted a penalty and that he would have to pay $750 to remove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am not satisfied that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engaged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petitioner also argues his s. 11(d) rights were violated. Section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guarantees any person charged with an offence the right "to be presumed innocent until proven guilty according to law in a fair and public hearing by an independent and impartial tribunal." The key part of that phrase is "charged with an offence". The petitioner maintains that the violation notice refers to a penalty and other aspects of the process and possible penalties render this an offence and captured by s.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Guindon</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2015 SCC 41</w:t>
        </w:r>
      </w:hyperlink>
      <w:r>
        <w:rPr>
          <w:rFonts w:ascii="arial" w:eastAsia="arial" w:hAnsi="arial" w:cs="arial"/>
          <w:color w:val="000000"/>
          <w:sz w:val="20"/>
          <w:lang w:val="en-US" w:eastAsia="en-US" w:bidi="ar-SA"/>
        </w:rPr>
        <w:t>, the majority reviewed its previous jurisprudence concerning what constitutes "an offence":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This Court has deliberately adopted a "somewhat narrow definition of the opening words of s. 11" in order to avoid having to craft differing levels of protection under s. 11 for different sorts of proceedings: </w:t>
      </w:r>
      <w:r>
        <w:rPr>
          <w:rFonts w:ascii="arial" w:eastAsia="arial" w:hAnsi="arial" w:cs="arial"/>
          <w:i/>
          <w:color w:val="000000"/>
          <w:sz w:val="20"/>
          <w:lang w:val="en-US" w:eastAsia="en-US" w:bidi="ar-SA"/>
        </w:rPr>
        <w:t>R. v. Wigglesworth</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[1987] 2 S.C.R. 541</w:t>
        </w:r>
      </w:hyperlink>
      <w:r>
        <w:rPr>
          <w:rFonts w:ascii="arial" w:eastAsia="arial" w:hAnsi="arial" w:cs="arial"/>
          <w:color w:val="000000"/>
          <w:sz w:val="20"/>
          <w:lang w:val="en-US" w:eastAsia="en-US" w:bidi="ar-SA"/>
        </w:rPr>
        <w:t xml:space="preserve">, at p. 558. The Court has also acknowledged the difficulty in formulating a precise test to identify particular proceedings which give rise to s. 11 protections: see p. 559. Section 11 protections are available to those charged with criminal offences, not those subject to administrative sanctions: see </w:t>
      </w:r>
      <w:r>
        <w:rPr>
          <w:rFonts w:ascii="arial" w:eastAsia="arial" w:hAnsi="arial" w:cs="arial"/>
          <w:i/>
          <w:color w:val="000000"/>
          <w:sz w:val="20"/>
          <w:lang w:val="en-US" w:eastAsia="en-US" w:bidi="ar-SA"/>
        </w:rPr>
        <w:t>Wigglesworth</w:t>
      </w:r>
      <w:r>
        <w:rPr>
          <w:rFonts w:ascii="arial" w:eastAsia="arial" w:hAnsi="arial" w:cs="arial"/>
          <w:color w:val="000000"/>
          <w:sz w:val="20"/>
          <w:lang w:val="en-US" w:eastAsia="en-US" w:bidi="ar-SA"/>
        </w:rPr>
        <w:t xml:space="preserve">, at p. 554; </w:t>
      </w:r>
      <w:r>
        <w:rPr>
          <w:rFonts w:ascii="arial" w:eastAsia="arial" w:hAnsi="arial" w:cs="arial"/>
          <w:i/>
          <w:color w:val="000000"/>
          <w:sz w:val="20"/>
          <w:lang w:val="en-US" w:eastAsia="en-US" w:bidi="ar-SA"/>
        </w:rPr>
        <w:t>Martineau v. M.N.R.</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2004 SCC 81</w:t>
        </w:r>
      </w:hyperlink>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[2004] 3 S.C.R. 737</w:t>
        </w:r>
      </w:hyperlink>
      <w:r>
        <w:rPr>
          <w:rFonts w:ascii="arial" w:eastAsia="arial" w:hAnsi="arial" w:cs="arial"/>
          <w:color w:val="000000"/>
          <w:sz w:val="20"/>
          <w:lang w:val="en-US" w:eastAsia="en-US" w:bidi="ar-SA"/>
        </w:rPr>
        <w:t xml:space="preserve">, at para. 19. The two parts test for determining which statutory infractions are criminal offences and which are administrative penalties was set out in </w:t>
      </w:r>
      <w:r>
        <w:rPr>
          <w:rFonts w:ascii="arial" w:eastAsia="arial" w:hAnsi="arial" w:cs="arial"/>
          <w:i/>
          <w:color w:val="000000"/>
          <w:sz w:val="20"/>
          <w:lang w:val="en-US" w:eastAsia="en-US" w:bidi="ar-SA"/>
        </w:rPr>
        <w:t>Wigglesworth</w:t>
      </w:r>
      <w:r>
        <w:rPr>
          <w:rFonts w:ascii="arial" w:eastAsia="arial" w:hAnsi="arial" w:cs="arial"/>
          <w:color w:val="000000"/>
          <w:sz w:val="20"/>
          <w:lang w:val="en-US" w:eastAsia="en-US" w:bidi="ar-SA"/>
        </w:rPr>
        <w:t xml:space="preserve">, at pp. 559-62. Additional analytical criteria were subsequently elaborated in </w:t>
      </w:r>
      <w:r>
        <w:rPr>
          <w:rFonts w:ascii="arial" w:eastAsia="arial" w:hAnsi="arial" w:cs="arial"/>
          <w:i/>
          <w:color w:val="000000"/>
          <w:sz w:val="20"/>
          <w:lang w:val="en-US" w:eastAsia="en-US" w:bidi="ar-SA"/>
        </w:rPr>
        <w:t>Martineau</w:t>
      </w:r>
      <w:r>
        <w:rPr>
          <w:rFonts w:ascii="arial" w:eastAsia="arial" w:hAnsi="arial" w:cs="arial"/>
          <w:color w:val="000000"/>
          <w:sz w:val="20"/>
          <w:lang w:val="en-US" w:eastAsia="en-US" w:bidi="ar-SA"/>
        </w:rPr>
        <w:t xml:space="preserve">, at paras. 19-24 and 57. As will be explained, an individual is entitled to the procedural protections of s. 11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where the proceeding is, by its very nature, criminal, or where a "true penal consequence" flows from the sanction.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 proceeding is criminal by its very nature when it is aimed at promoting public order and welfare within a public sphere of activity. Proceedings of an administrative nature, on the other hand, are primarily intended to maintain compliance or to regulate conduct within a limited sphere of activity: see </w:t>
      </w:r>
      <w:r>
        <w:rPr>
          <w:rFonts w:ascii="arial" w:eastAsia="arial" w:hAnsi="arial" w:cs="arial"/>
          <w:i/>
          <w:color w:val="000000"/>
          <w:sz w:val="20"/>
          <w:lang w:val="en-US" w:eastAsia="en-US" w:bidi="ar-SA"/>
        </w:rPr>
        <w:t>Martineau</w:t>
      </w:r>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Wigglesworth</w:t>
      </w:r>
      <w:r>
        <w:rPr>
          <w:rFonts w:ascii="arial" w:eastAsia="arial" w:hAnsi="arial" w:cs="arial"/>
          <w:color w:val="000000"/>
          <w:sz w:val="20"/>
          <w:lang w:val="en-US" w:eastAsia="en-US" w:bidi="ar-SA"/>
        </w:rPr>
        <w:t xml:space="preserve">, at p. 560. The focus of the inquiry is not on the nature of the act which is the subject of the proceedings, but on the nature of the proceedings themselves, taking into account their purpose as well as their procedure: </w:t>
      </w:r>
      <w:r>
        <w:rPr>
          <w:rFonts w:ascii="arial" w:eastAsia="arial" w:hAnsi="arial" w:cs="arial"/>
          <w:i/>
          <w:color w:val="000000"/>
          <w:sz w:val="20"/>
          <w:lang w:val="en-US" w:eastAsia="en-US" w:bidi="ar-SA"/>
        </w:rPr>
        <w:t>Martineau</w:t>
      </w:r>
      <w:r>
        <w:rPr>
          <w:rFonts w:ascii="arial" w:eastAsia="arial" w:hAnsi="arial" w:cs="arial"/>
          <w:color w:val="000000"/>
          <w:sz w:val="20"/>
          <w:lang w:val="en-US" w:eastAsia="en-US" w:bidi="ar-SA"/>
        </w:rPr>
        <w:t xml:space="preserve">, at paras. 24 and 28-32; </w:t>
      </w:r>
      <w:r>
        <w:rPr>
          <w:rFonts w:ascii="arial" w:eastAsia="arial" w:hAnsi="arial" w:cs="arial"/>
          <w:i/>
          <w:color w:val="000000"/>
          <w:sz w:val="20"/>
          <w:lang w:val="en-US" w:eastAsia="en-US" w:bidi="ar-SA"/>
        </w:rPr>
        <w:t>R. v. Shubley</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[1990] 1 S.C.R. 3</w:t>
        </w:r>
      </w:hyperlink>
      <w:r>
        <w:rPr>
          <w:rFonts w:ascii="arial" w:eastAsia="arial" w:hAnsi="arial" w:cs="arial"/>
          <w:color w:val="000000"/>
          <w:sz w:val="20"/>
          <w:lang w:val="en-US" w:eastAsia="en-US" w:bidi="ar-SA"/>
        </w:rPr>
        <w:t xml:space="preserve">, at pp. 18-19. Proceedings have a criminal purpose when they seek to bring the subject of the proceedings "to account to society" for conduct "violating the public interest": </w:t>
      </w:r>
      <w:r>
        <w:rPr>
          <w:rFonts w:ascii="arial" w:eastAsia="arial" w:hAnsi="arial" w:cs="arial"/>
          <w:i/>
          <w:color w:val="000000"/>
          <w:sz w:val="20"/>
          <w:lang w:val="en-US" w:eastAsia="en-US" w:bidi="ar-SA"/>
        </w:rPr>
        <w:t>Shubley</w:t>
      </w:r>
      <w:r>
        <w:rPr>
          <w:rFonts w:ascii="arial" w:eastAsia="arial" w:hAnsi="arial" w:cs="arial"/>
          <w:color w:val="000000"/>
          <w:sz w:val="20"/>
          <w:lang w:val="en-US" w:eastAsia="en-US" w:bidi="ar-SA"/>
        </w:rPr>
        <w:t>, at p.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 "true penal consequence" is "imprisonment or a fine which by its magnitude would appear to be imposed for the purpose of redressing the wrong done to society at large rather than to the maintenance of internal discipline within [a] limited sphere of activity": </w:t>
      </w:r>
      <w:r>
        <w:rPr>
          <w:rFonts w:ascii="arial" w:eastAsia="arial" w:hAnsi="arial" w:cs="arial"/>
          <w:i/>
          <w:color w:val="000000"/>
          <w:sz w:val="20"/>
          <w:lang w:val="en-US" w:eastAsia="en-US" w:bidi="ar-SA"/>
        </w:rPr>
        <w:t>Wigglesworth</w:t>
      </w:r>
      <w:r>
        <w:rPr>
          <w:rFonts w:ascii="arial" w:eastAsia="arial" w:hAnsi="arial" w:cs="arial"/>
          <w:color w:val="000000"/>
          <w:sz w:val="20"/>
          <w:lang w:val="en-US" w:eastAsia="en-US" w:bidi="ar-SA"/>
        </w:rPr>
        <w:t xml:space="preserve">, at p. 561; see also </w:t>
      </w:r>
      <w:r>
        <w:rPr>
          <w:rFonts w:ascii="arial" w:eastAsia="arial" w:hAnsi="arial" w:cs="arial"/>
          <w:i/>
          <w:color w:val="000000"/>
          <w:sz w:val="20"/>
          <w:lang w:val="en-US" w:eastAsia="en-US" w:bidi="ar-SA"/>
        </w:rPr>
        <w:t>Martineau</w:t>
      </w:r>
      <w:r>
        <w:rPr>
          <w:rFonts w:ascii="arial" w:eastAsia="arial" w:hAnsi="arial" w:cs="arial"/>
          <w:color w:val="000000"/>
          <w:sz w:val="20"/>
          <w:lang w:val="en-US" w:eastAsia="en-US" w:bidi="ar-SA"/>
        </w:rPr>
        <w:t xml:space="preserve">, at para. 57. There is inevitably some overlap between the analysis of the purpose of the scheme and the purpose of the sanction, but the jurisprudence has looked at both separately to the extent that is possible, recognizing that the proceeding will be an offence for s. 11 purposes if it meets either branch of the test, and that situations in which a proceeding meets one but not both branches will be rare: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at paras. 63-64,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With respect to the process, the heart of the analysis is concerned with the extent to which it bears the traditional hallmarks of a criminal proceeding. Fish J. referred to some of the relevant considerations in </w:t>
      </w:r>
      <w:r>
        <w:rPr>
          <w:rFonts w:ascii="arial" w:eastAsia="arial" w:hAnsi="arial" w:cs="arial"/>
          <w:i/>
          <w:color w:val="000000"/>
          <w:sz w:val="20"/>
          <w:lang w:val="en-US" w:eastAsia="en-US" w:bidi="ar-SA"/>
        </w:rPr>
        <w:t>Martineau</w:t>
      </w:r>
      <w:r>
        <w:rPr>
          <w:rFonts w:ascii="arial" w:eastAsia="arial" w:hAnsi="arial" w:cs="arial"/>
          <w:color w:val="000000"/>
          <w:sz w:val="20"/>
          <w:lang w:val="en-US" w:eastAsia="en-US" w:bidi="ar-SA"/>
        </w:rPr>
        <w:t>, including whether the process involved the laying of a charge, an arrest, a summons to appear before a court of criminal jurisdiction, and whether a finding of responsibility leads to a criminal record: para. 45. The use of words traditionally associated with the criminal process, such as "guilt", "acquittal", "indictment", "summary conviction", "prosecution", and "accused", can be a helpful indication as to whether a provision refers to criminal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 fact that the penalty is imposed by a judge in a criminal court is, of course, another sign that the offence is criminal in nature. But whether a proceeding is criminal by nature does not depend on the actual penalty imposed. For example, parking tickets can involve relatively small fines, but where they are imposed in conformity with the general criminal process (e.g. pleading guilty or contesting the fine before a judge, prosecution by a Crown attorney), s. 11 rights apply: Wigglesworth, at para. 559. Offences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 the </w:t>
      </w:r>
      <w:r>
        <w:rPr>
          <w:rFonts w:ascii="arial" w:eastAsia="arial" w:hAnsi="arial" w:cs="arial"/>
          <w:i/>
          <w:color w:val="000000"/>
          <w:sz w:val="20"/>
          <w:lang w:val="en-US" w:eastAsia="en-US" w:bidi="ar-SA"/>
        </w:rPr>
        <w:t>Youth Criminal Justice Act</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S.C. 2002, c. 1</w:t>
        </w:r>
      </w:hyperlink>
      <w:r>
        <w:rPr>
          <w:rFonts w:ascii="arial" w:eastAsia="arial" w:hAnsi="arial" w:cs="arial"/>
          <w:color w:val="000000"/>
          <w:sz w:val="20"/>
          <w:lang w:val="en-US" w:eastAsia="en-US" w:bidi="ar-SA"/>
        </w:rPr>
        <w:t xml:space="preserve"> , the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xml:space="preserve"> , and quasi-criminal offences under provincial legislation are the type of proceedings which are criminal in nature: see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1867, s. 92(15) ; </w:t>
      </w:r>
      <w:r>
        <w:rPr>
          <w:rFonts w:ascii="arial" w:eastAsia="arial" w:hAnsi="arial" w:cs="arial"/>
          <w:i/>
          <w:color w:val="000000"/>
          <w:sz w:val="20"/>
          <w:lang w:val="en-US" w:eastAsia="en-US" w:bidi="ar-SA"/>
        </w:rPr>
        <w:t>Wigglesworth</w:t>
      </w:r>
      <w:r>
        <w:rPr>
          <w:rFonts w:ascii="arial" w:eastAsia="arial" w:hAnsi="arial" w:cs="arial"/>
          <w:color w:val="000000"/>
          <w:sz w:val="20"/>
          <w:lang w:val="en-US" w:eastAsia="en-US" w:bidi="ar-SA"/>
        </w:rPr>
        <w:t xml:space="preserve">, at p. 560; </w:t>
      </w:r>
      <w:r>
        <w:rPr>
          <w:rFonts w:ascii="arial" w:eastAsia="arial" w:hAnsi="arial" w:cs="arial"/>
          <w:i/>
          <w:color w:val="000000"/>
          <w:sz w:val="20"/>
          <w:lang w:val="en-US" w:eastAsia="en-US" w:bidi="ar-SA"/>
        </w:rPr>
        <w:t>Martineau</w:t>
      </w:r>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am not satisfied the adjudication process or the issuance of a bylaw notice qualify as "an offence". The procedure is purely administrative and the penalty is minor. I need not consider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The Other Remedies Sought by the Petitioner</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or in the alternative, an order of prohibition, barring the RDCK from any further prosecution of the petitioner or imposing any fines, costs, levies or other charges upon the petitioner with regard to RDCK Building Bylaw and Bylaw Offence Notice No. 1027.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petitioner seeks protection from the RDCK's exercise of its authority under statute. He is not entitled to such a remedy.</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any adjudicator presiding over any hearing regarding this or a related matter is required to consider any argument regarding a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issue; and an order that any adjudicator presiding over any hearing regarding this matter is required to consider any argument regarding a challenge to the validity of the bylaw that is alleged to have been contravened.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adjudicator's role in this case is prescribed by a valid statute and regulations. A court cannot order an adjudicator to exceed his or her jurisdiction.</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Adjudicator Marylin Mellis's decision, made the 10th day of December 2018, that the petitioner, Nathan Lundquist, has contravened the Regional District of Central Kootenay Building Bylaw 2200,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test on judicial review is reasonableness, per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Reasonableness is a deferential standard animated by the principle that underlies the development of the two previous standards of reasonableness: certain questions that come before administrative tribunals do not lend themselves to one specific, particular result. Instead, they may give rise to a number of possible, reasonable conclusions. Tribunals have a margin of appreciation within the range of acceptable and rational solutions. A court conducting a review for reasonableness inquires into the qualities that make a decision reasonable, referring both to the process of articulating the reasons and to outcomes. In judicial review, reasonableness is concerned mostly with the existence of justification, transparency and intelligibility within the decision-making process. But it is also concerned with whether the decision falls within a range of possible, acceptable outcomes which are defensible in respect of the facts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petitioner admitted he did not have a permit. He focussed on other remedies which were not available to him in the adjudication. The outcome of the adjudication was a reasonable one. It is entitled to deference.</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prohibiting the RDCK from putting any notice on the title of the petitioner's property regarding building without a permit or any order of prohibition to that effect; or if they have already put such notice on title an order that they remove it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RDCK has removed the s. 57 notice from the petitioner's title. The petitioner is not entitled to an injunction against the RDCK's use of its valid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summary, the petitioner's judicial review and constitutional challenge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AGBC does not seek costs. The RDCK has filed a draft bill of costs in the amount of $9389.42. Mr. Voell submits that a lump sum costs order in the amount of $7,500 is appropriate. Mr. Lundquist considered this during a short adjournment and agrees with this manner of dealing with costs rather than an appearance before a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order lump sum costs in the amount of $7,500 to be paid by Mr. Lundquist to the RDCK under Rule 14-1(15).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Lundquist's signature is not required on the order dismissing this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Lund v. Dey, [2015] B.C.J. No. 1151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7-10, 2015.</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10,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S49180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Kamloops</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1151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953</w:t>
      </w:r>
    </w:p>
    <w:p>
      <w:pPr>
        <w:spacing w:before="120" w:line="260" w:lineRule="atLeast"/>
        <w:rPr>
          <w:lang w:val="en-US" w:eastAsia="en-US" w:bidi="ar-SA"/>
        </w:rPr>
      </w:pPr>
      <w:r>
        <w:rPr>
          <w:rFonts w:ascii="arial" w:eastAsia="arial" w:hAnsi="arial" w:cs="arial"/>
          <w:color w:val="000000"/>
          <w:sz w:val="20"/>
          <w:lang w:val="en-US" w:eastAsia="en-US" w:bidi="ar-SA"/>
        </w:rPr>
        <w:t>Between Malvin George Lund and Richard Patrick Camacho, Plaintiffs, and Thomas Dey, Upcott Enterprises Ltd. and Jerry R. Dichrow,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(64 paras.)</w:t>
      </w:r>
    </w:p>
    <w:p>
      <w:pPr>
        <w:jc w:val="both"/>
        <w:rPr>
          <w:lang w:val="en-US" w:eastAsia="en-US" w:bidi="ar-SA"/>
        </w:rPr>
      </w:pPr>
      <w:bookmarkStart w:id="119" w:name="Counsel_32"/>
      <w:bookmarkEnd w:id="11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9" style="position:absolute;z-index:2516992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their own behalf: M.G. Lund, R.P. Camacho.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F.R. Scordo, T.W. McNeill-Hay.</w:t>
      </w:r>
      <w:r>
        <w:rPr>
          <w:lang w:val="en-US" w:eastAsia="en-US" w:bidi="ar-SA"/>
        </w:rPr>
        <w:cr/>
      </w:r>
    </w:p>
    <w:p>
      <w:pPr>
        <w:spacing w:after="240"/>
        <w:rPr>
          <w:lang w:val="en-US" w:eastAsia="en-US" w:bidi="ar-SA"/>
        </w:rPr>
      </w:pPr>
      <w:bookmarkStart w:id="120" w:name="Judgment_32"/>
      <w:bookmarkEnd w:id="120"/>
      <w:r>
        <w:pict>
          <v:line id="_x0000_s1140" style="position:absolute;z-index:25175040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1" w:name="W. EHRCKE J. (orally)"/>
            <w:bookmarkEnd w:id="121"/>
            <w:r>
              <w:rPr>
                <w:rFonts w:ascii="arial" w:eastAsia="arial" w:hAnsi="arial" w:cs="arial"/>
                <w:b/>
                <w:color w:val="000000"/>
                <w:sz w:val="30"/>
                <w:lang w:val="en-US" w:eastAsia="en-US" w:bidi="ar-SA"/>
              </w:rPr>
              <w:t>W. EHRCKE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two large trailers or vans that went missing along with their contents. The plaintiffs seek the return of their property or, in the alternative, damages. Mr. Lund claims he is entitled to $115,000, and Mr. Camacho claims $100,000. In these reasons, I will use the words "trailer" or "van" interchangeably to refer to the two trailers in question. They are the sort of large, commercial trailers that can only be moved with a truck or 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evidence at trial consisted of the testimony of the two plaintiffs, Malvin Lund and Richard Camacho, as well as the testimony of Shawn Henry, and the entry of various paper exhibits in a tabbed binder that was marked Exhibit 1. Exhibit 1 includes, among other things, itemized lists prepared by both plaintiffs of the property they say has gone missing and the value they attribute to that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defence case consists of the testimony of Thomas Dey, Jerry Dichrow, Craig Dichrow, Bob Shimoyama, and Gary Granoff, along with a number of paper exhibits and photographs contained in a tabbed binder that was marked Exhibit 6. As well, Exhibit 2 is an aerial photograph of Mr. Dey's ranch. Exhibit 3 is a 2011 calendar with Mr. Dey's notations. Exhibit 4 consists of two receipts of Upcott Enterprises. Exhibit 5 is Mr. Dey's 2012 calendar. Exhibit 7 is a binder with two expert reports on the valuation of the missing property prepared by Gary Granoff.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Based on the evidence that I heard at trial, I find the facts to be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Lund testified that he had a trucking company up until 2009. When that business shut down in 2009, he loaded all of his equipment into his two trailers. He also allowed a friend, Mr. Camacho, to put equipment from his business in Burnaby into Mr. Lund's two trailers.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Camacho testified that he too had a business that shut down around the same time, and he too loaded all of his equipment into Mr. Lund's trailers. As well, he said he loaded all of his receipts and files into the trailer, with the result that he no longer has them available. He said he loaded the trailers in August 2009. He said he locked the trailers and kept the keys.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Lund agreed in cross-examination that the vans in question were actually owned by a company called Thompson Nicola Road Transport Inc. That company was incorporated June 8, 2009, by Mr. Lund's wife, Cathy Radies. She is the sole shareholder and officer of the company. In August 2009, the company entered into a lease to purchase the two vans.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early autumn of 2009, Mr. Lund needed somewhere to store his two vans, as well as a truck, so he spoke to Mr. Dey about storing them on his ranch. At that time, Mr. Dey was the owner, through a company, of Noble Creek Ranch. The ranch had been in his family since 1946. He sold it in January 2013, but it was listed for sale for many years before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Over the years, the ranch was used to raise livestock, but more recently to grow hay. Mr. Dey has known and been friends with the Radies family for decades. He went to high school with Cathy Radies, and he has known her husband, the plaintiff, Mr. Lund, for about 10 years. Mr. Lund's father-in-law, Elmer Radies, is a neighbour of Mr. Dey who lives about half a mile away from Mr. Dey's ranch.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Sometime around September 2009, Mr. Lund asked Mr. Dey if he could store the two vans and a truck on his ranch. Mr. Dey agreed to allow this, and because of his friendship with Mr. Lund's in-laws, he agreed there would be no charge. According to Mr. Lund, Mr. Dey told him he could keep the vans there for a year or up to five years, but with the stipulation that if he sold the ranch, he would have to move the items on short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testimony, Mr. Dey gave a more detailed account of their oral agreement. He testified that in speaking to Mr. Lund, he stipulated three conditions for allowing him to store his vans and truck: first, that the items must not be stolen property; second, that he might require Mr. Lund to move the items off his property on short notice; and third, that he would be in no way responsible for the property. I accept Mr. Dey's testimony that these three stipulations were part of the oral agreement between him and Mr. Lund.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accordance with this oral agreement, Mr. Lund and Mr. Camacho moved the two vans and a truck onto Mr. Dey's ranch, and Mr. Dey showed them where to put them. Mr. Lund told Mr. Dey that the vans were filled with shop equipment, but he did not provide a list of the contents or their value. I am satisfied that Mr. Dey did not have any detailed knowledge of what was in the trailers. The trailers had no windows and they were locked. Mr. Dey did not have the keys. It was impossible, therefore, for Mr. Dey to see what was in the trailers.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some point, Mr. Lund told Mr. Dey that he needed tires, and someone from Kal-Tire came and removed the rear tires from Mr. Lund's truck, leaving the rear axles on blocks.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Lund testified that since the ranch was so near to his in-laws' residence, he checked a couple of times each month to see that the vans were still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spring of 2011, Mr. Dey wanted the truck and the trailers removed from his ranch. He was concerned about the trailers sitting there and the truck with no tires, as he felt this would not look good if someone were looking to buy the ranch. He wanted things cleaned up. As well, he was concerned to have the trailers and truck removed before putting the sprinklers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some inconsistency between the testimony of the plaintiffs and the testimony of Mr. Dey concerning both the content and the timing of communications about removing the vans and truck, but where there is inconsistency, I accept the evidence of Mr. Dey over that of Mr. Lund and Mr. Camacho. I find that Mr. Dey was a straightforward and credible witness, and the accuracy of his recollection is confirmed by notes that he made on his calendars, which were entered in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contrast, I find that Mr. Lund was sometimes confused, particularly about dates. This is illustrated by the fact that during his examination for discovery, Mr. Lund thought the conversations about removal of the vans took place in 2012, not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Mr. Dey's testimony that on April 25, 2011, he spoke on the telephone to Mr. Lund's wife, Cathy Radies, who, as noted above, was the shareholder and principal of Thompson Nicola Road Transport Inc., the owner of the trailers. He told her that he wanted the truck and trailers gone. On April 27, 2011, he spoke to Mr. Lund and told him to have them out by Wednesday, May 4. I accept Mr. Dey's testimony that he told Mr. Lund to hire a wrecker if necessary to remove the trailers, but Mr. Lund told him it was not worth it. On Sunday, May 1, 2011, Mr. Dey talked to Mr. Lund again and told him he had three days left, and he must get the truck and trailers out by Wednesday.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Mr. Lund's testimony, he told Mr. Dey in that telephone conversation that he could have the truck out by May 10, but he needed more time to get the vans, because his hauling equipment was in Winnipeg and would not be back by then. He testified that he told Mr. Dey that he would remove the vans with his own equipment on May 14. According to Mr. Lund, Mr. Dey initially agreed to this, but at 6:00 a.m. on the morning of May 14, Mr. Dey phoned him and said, "Don't bring the trucks out, the gates are locked, the party's over. I will let you know when you can pick the vans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Mr. Lund, Mr. Dey never phoned him back and he did not realize the vans had been removed until February or March 2012, when he sent someone over to the ranch to pick up Mr. Camacho's washer and dryer from one of the vans, and that person informed him that the vans were no longer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Dey denies agreeing that Mr. Lund could remove the vans on May 14, and I accept Mr. Dey's evidence in this regard. Mr. Dey was growing increasingly frustrated that the vans had not been removed by the May 4 deadline that he had set for Mr. Lund, and so on May 5, he called the bailiff for advice. He then called Marilyn, the sister of Mr. Lund's wife. Mr. Lund then phoned Mr. Dey and said he could get a truck there to remove the trailers in two to three weeks, but Mr. Dey told him that was too late.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Dey called Jerry Dichrow, the owner of Upcott Enterprises, to remove the vans. At Mr. Dichrow's suggestion, Mr. Dey locked the gate of his fence. Mr. Dey was concerned about damage to the irrigation pipes. On the evening of May 6, 2011, Mr. Dey took some photographs that are in Tab 8 of Exhibit 6. They show the two vans and the truck on the ranch behind the locked 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Jerry Dichrow and his son, Craig Dichrow, went to the ranch to look the equipment over to see how it could be removed. In addition to Mr. Dey's request for them to remove the vans, Mr. Lund had called and asked the Dichrows to remove his truck. The Dichrows determined that they would have to move the vans first, before they could remove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Dichrows removed the two vans on May 9, 2011, and took them to a secure compound owned by Bob Shimoyama. They removed Mr. Lund's truck on May 10, 2011, and took it to Coldstream Auto. This is confirmed by the written sales book slips of Upcott Enterprises dated May 9 and May 10, 2011, that were entered as Exhibit 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Dichrows did not charge Mr. Dey any fee for the removal of the vans, but Upcott Enterprises sent an invoice to Mr. Lund for the removal of his dead 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Shawn Henry testified that he saw one of Mr. Lund's vans being pulled by a red truck near the Lac Le Jeune inspection station sometime in the second week of May 2011. He said it was coming from the direction of Logan Lake and going in the direction of Kamloops.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Shimoyama testified that he owns the compound to which the Dichrows hauled the two vans. It is a vacant lot about one acre in size, located at Iron Mask near Lac Road. It has a fence and a locked gate. The lock is a Cat lock that can be opened by those in the heavy equipment industry who have a key. Mr. Shimoyama allows Upcott to use his secure lot for storage of equipment free of charge. He testified that he does not know how long the trailers were in his compound before they went missing, but he said that he had never before had a problem with equipment being stolen or going missing from his lot. He said that he did not know who the owner of the vans was. The Cat lock was not broken, so he agreed in cross-examination that whoever took the vans probably had a key for the Cat lock.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Mr. Lund, he did not learn that his vans had been removed from Mr. Dey's ranch until February or March 2012, when he sent Jim Whaley out to pick up Mr. Camacho's washer and dryer. At paragraph 13 of his statement of claim, he said this was March 20,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Lund testified that he then called Mr. Dey, who told him that he had the vans removed by Upcott Enterprises. He then phoned Mr. Dichrow, who told him the vans were hauled to the storage lot on Iron Mask Road. He drove there to look for the vans, but they were not there. He spoke to Mr. Shimoyama, who said the vans had been brought there, but he did not know where they were. Mr. Lund said he reported the missing vans to the RCMP on March 24,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the evidence, I have made certain findings of fact which are important to this case. To summarize: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I find that none of the defendants received any remuneration for their dealings with the two trailers. Mr. Dey did not charge anything for allowing Mr. Lund to store the items on his ranch, and neither the Dichrows nor Upcott Enterprises charged anything for removing the trailers from the ranch to Mr. Shimoyama's secure lot. As well, Mr. Shimoyama did not charge anything for allowing the trailers to be brought to his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Second, I find that Mr. Dey told Mr. Lund that he would only allow the trailers to be put on his property on the condition that he would have no responsibility for them and that Mr. Lund would remove them on short notice when requested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Third, I find that Mr. Dey gave Mr. Lund ample notice that he needed Mr. Lund to remove the vans by May 4, 2011. He never agreed that Mr. Lund could have an extension of that May 4 deadline.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Fourth, I find that neither Mr. Dey nor the Dichrows had any detailed knowledge of the contents of the vans or their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Fifth, I find that Mr. Dey and the Dichrows believed that the vans were being removed to a reasonably secure compound. I accept Mr. Shimoyama's evidence that he considered his compound secure enough to store some of his own equipment there, and he never had a problem with items being stolen or going missing, except for these two vans.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PLAINTIFFS'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their notice of civil claim, the plaintiffs seek the return of their property or, in the alternative, an order against the defendants jointly for payment of $115,000 for the value of Mr. Lund's property and $100,000 for the value of Mr. Camacho's property, damages,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legal basis for the claim, as set out in the notice of civil claim, is that the defendants owed the plaintiffs a duty not to convert the plaintiffs' property to their own use, and that the defendant Thomas Dey owed a duty to the plaintiffs as a gratuitous bailee to secure and ensure the return of the plaintiffs' property to the plaintiffs, which he breached by arranging for its removal from his property by the defendants Jerry Dichrow and Upcott Enterprises Ltd.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nothing in the evidence before me to suggest that any of the defendants have any knowledge of where the vans and their contents have gone, who took them, or where they are now. There is no basis, therefore, upon which I could order the defendants to return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question then is whether the defendants or any of them are liable to the plaintiffs for their loss, and if so, the quantum or value of that loss. On the question of value, the plaintiffs presented lists of the contents of the vans and the values they attributed to each item. Unfortunately, those values are largely unsubstantiated by original receipts. We do not even have photographs of the items.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led the evidence of a property evaluator, Mr. Granoff. He gave an expert opinion that the liquidation value of Mr. Lund's property was $10,552 and that of Mr. Camacho was $17,971. Although that evidence was admitted as expert evidence, I cannot put a great deal of weight on it for the purposes of the present case, because liquidation value is not a proper measure of damages for property that is stolen or missing.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adopt the remarks of Houghton J. in </w:t>
      </w:r>
      <w:r>
        <w:rPr>
          <w:rFonts w:ascii="arial" w:eastAsia="arial" w:hAnsi="arial" w:cs="arial"/>
          <w:i/>
          <w:color w:val="000000"/>
          <w:sz w:val="20"/>
          <w:lang w:val="en-US" w:eastAsia="en-US" w:bidi="ar-SA"/>
        </w:rPr>
        <w:t>Katzel v. Tolo Enterprises Ltd.</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1991 CanLII 473</w:t>
        </w:r>
      </w:hyperlink>
      <w:r>
        <w:rPr>
          <w:rFonts w:ascii="arial" w:eastAsia="arial" w:hAnsi="arial" w:cs="arial"/>
          <w:color w:val="000000"/>
          <w:sz w:val="20"/>
          <w:lang w:val="en-US" w:eastAsia="en-US" w:bidi="ar-SA"/>
        </w:rPr>
        <w:t xml:space="preserve"> (BC SC), at p. 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G.H. Ingham &amp; Co. v. Fedesove</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(1956), 5 D.L.R. (2d) 640</w:t>
        </w:r>
      </w:hyperlink>
      <w:r>
        <w:rPr>
          <w:rFonts w:ascii="arial" w:eastAsia="arial" w:hAnsi="arial" w:cs="arial"/>
          <w:color w:val="000000"/>
          <w:sz w:val="20"/>
          <w:lang w:val="en-US" w:eastAsia="en-US" w:bidi="ar-SA"/>
        </w:rPr>
        <w:t>, Lett C.S.J.C. considered the basis upon which damages are to be assessed upon conversion of goods by a defendant. The definition of conversion by detention apply in this case. At page 642, Lett C.J.S.C. said:</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"Accordingly, the plaintiff is entitled to damages on the basis of conversion, which I understand to be 'the value of the thing converted and any special damage which the plaintiff can prove': </w:t>
      </w:r>
      <w:r>
        <w:rPr>
          <w:rFonts w:ascii="arial" w:eastAsia="arial" w:hAnsi="arial" w:cs="arial"/>
          <w:i/>
          <w:color w:val="000000"/>
          <w:sz w:val="20"/>
          <w:lang w:val="en-US" w:eastAsia="en-US" w:bidi="ar-SA"/>
        </w:rPr>
        <w:t>Mellis v. Blair</w:t>
      </w:r>
      <w:r>
        <w:rPr>
          <w:rFonts w:ascii="arial" w:eastAsia="arial" w:hAnsi="arial" w:cs="arial"/>
          <w:color w:val="000000"/>
          <w:sz w:val="20"/>
          <w:lang w:val="en-US" w:eastAsia="en-US" w:bidi="ar-SA"/>
        </w:rPr>
        <w:t xml:space="preserve"> (1916), 27 D.L.R. 165 at p. 168, 11 B.C.R. 450,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Macdonald C.J.A.; </w:t>
      </w:r>
      <w:r>
        <w:rPr>
          <w:rFonts w:ascii="arial" w:eastAsia="arial" w:hAnsi="arial" w:cs="arial"/>
          <w:i/>
          <w:color w:val="000000"/>
          <w:sz w:val="20"/>
          <w:lang w:val="en-US" w:eastAsia="en-US" w:bidi="ar-SA"/>
        </w:rPr>
        <w:t>J. &amp; E. Hall Ltd. v. Barclay</w:t>
      </w:r>
      <w:r>
        <w:rPr>
          <w:rFonts w:ascii="arial" w:eastAsia="arial" w:hAnsi="arial" w:cs="arial"/>
          <w:color w:val="000000"/>
          <w:sz w:val="20"/>
          <w:lang w:val="en-US" w:eastAsia="en-US" w:bidi="ar-SA"/>
        </w:rPr>
        <w:t>, [1937] 3 All E.R. 620. . . .</w:t>
      </w:r>
    </w:p>
    <w:p>
      <w:pPr>
        <w:spacing w:before="120" w:line="260" w:lineRule="atLeast"/>
        <w:ind w:left="1080"/>
        <w:rPr>
          <w:lang w:val="en-US" w:eastAsia="en-US" w:bidi="ar-SA"/>
        </w:rPr>
      </w:pPr>
      <w:r>
        <w:rPr>
          <w:rFonts w:ascii="arial" w:eastAsia="arial" w:hAnsi="arial" w:cs="arial"/>
          <w:color w:val="000000"/>
          <w:sz w:val="20"/>
          <w:lang w:val="en-US" w:eastAsia="en-US" w:bidi="ar-SA"/>
        </w:rPr>
        <w:t>Neither basis of valuation contended for by the respective parties is, in my view, in accordance with the accepted principles of determination of the 'value of things converted.' The plaintiff is not entitled to the cost of replacing used tools by new tools, nor is he compelled to accept the equivalent of the price which such a miscellaneous assortment of articles might fetch at public auction."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delving further into the question of the quantification of loss, however, it is necessary to determine whether any of the defendants are in law liable for that loss as claimed by the plaintiffs. The plaintiffs allege two bases for liability: bailment and conversion.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1. Bailment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say that Mr. Dey was a bailee of the two vans, and as such, he had a duty of care to the plaintiffs, which he breached.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concept of bailment was explained by Estey J.A. in </w:t>
      </w:r>
      <w:r>
        <w:rPr>
          <w:rFonts w:ascii="arial" w:eastAsia="arial" w:hAnsi="arial" w:cs="arial"/>
          <w:i/>
          <w:color w:val="000000"/>
          <w:sz w:val="20"/>
          <w:lang w:val="en-US" w:eastAsia="en-US" w:bidi="ar-SA"/>
        </w:rPr>
        <w:t>Heffron v. Imperial Parking Co. Ltd.</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(1974), 46 D.L.R. (3d) 642</w:t>
        </w:r>
      </w:hyperlink>
      <w:r>
        <w:rPr>
          <w:rFonts w:ascii="arial" w:eastAsia="arial" w:hAnsi="arial" w:cs="arial"/>
          <w:color w:val="000000"/>
          <w:sz w:val="20"/>
          <w:lang w:val="en-US" w:eastAsia="en-US" w:bidi="ar-SA"/>
        </w:rPr>
        <w:t xml:space="preserve"> (Ont. C.A.), in this way at p. 647: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Bailment has been defined as "a delivery of personal chattels in trust, on a contract, express or implied, that the trust shall be duly executed, and the chattels redelivered in either their original or an altered form, as soon as the time or use for, or condition on which they were bailed, shall have elapsed or been performed": </w:t>
      </w:r>
      <w:r>
        <w:rPr>
          <w:rFonts w:ascii="arial" w:eastAsia="arial" w:hAnsi="arial" w:cs="arial"/>
          <w:i/>
          <w:color w:val="000000"/>
          <w:sz w:val="20"/>
          <w:lang w:val="en-US" w:eastAsia="en-US" w:bidi="ar-SA"/>
        </w:rPr>
        <w:t>Bacon's Abridgement</w:t>
      </w:r>
      <w:r>
        <w:rPr>
          <w:rFonts w:ascii="arial" w:eastAsia="arial" w:hAnsi="arial" w:cs="arial"/>
          <w:color w:val="000000"/>
          <w:sz w:val="20"/>
          <w:lang w:val="en-US" w:eastAsia="en-US" w:bidi="ar-SA"/>
        </w:rPr>
        <w:t xml:space="preserve">, adopted in </w:t>
      </w:r>
      <w:r>
        <w:rPr>
          <w:rFonts w:ascii="arial" w:eastAsia="arial" w:hAnsi="arial" w:cs="arial"/>
          <w:i/>
          <w:color w:val="000000"/>
          <w:sz w:val="20"/>
          <w:lang w:val="en-US" w:eastAsia="en-US" w:bidi="ar-SA"/>
        </w:rPr>
        <w:t>Re S. Davis &amp; Co., Ltd.,</w:t>
      </w:r>
      <w:r>
        <w:rPr>
          <w:rFonts w:ascii="arial" w:eastAsia="arial" w:hAnsi="arial" w:cs="arial"/>
          <w:color w:val="000000"/>
          <w:sz w:val="20"/>
          <w:lang w:val="en-US" w:eastAsia="en-US" w:bidi="ar-SA"/>
        </w:rPr>
        <w:t xml:space="preserve"> [1945] Ch. 402 at p. 405.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same paragraph, Estey J.A. went on to distinguish the bailment relationship from that of licence: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licence on the other hand is simply the grant of such authority to another to enter upon land for an agreed purpose as to justify that which otherwise would be a trespass and its only legal effect is that the licensor until the licence is revoked is precluded from bringing an action for trespass. Romer, L.J., speaking at p. 844 in the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distinguished a bailment from all other relationships when he stated: "... in order that there shall be a bailment there must be a delivery by the bailor, that is to say, he must part with his possession of the chattel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If Mr. Dey was a bailee, he was a gratuitous bailee, because he did not receive any consideration. A gratuitous bailee is held to a lower standard of care than a bailee for reward. Traditionally, it was said that a gratuitous bailee does not breach his standard of care except where there is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in more recent cases the standard of care of a gratuitous bailee has been described as the duty to take reasonable care in light of all the circumstances: </w:t>
      </w:r>
      <w:r>
        <w:rPr>
          <w:rFonts w:ascii="arial" w:eastAsia="arial" w:hAnsi="arial" w:cs="arial"/>
          <w:i/>
          <w:color w:val="000000"/>
          <w:sz w:val="20"/>
          <w:lang w:val="en-US" w:eastAsia="en-US" w:bidi="ar-SA"/>
        </w:rPr>
        <w:t>Robertson v. Stang,</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1997 CanLII 2122</w:t>
        </w:r>
      </w:hyperlink>
      <w:r>
        <w:rPr>
          <w:rFonts w:ascii="arial" w:eastAsia="arial" w:hAnsi="arial" w:cs="arial"/>
          <w:color w:val="000000"/>
          <w:sz w:val="20"/>
          <w:lang w:val="en-US" w:eastAsia="en-US" w:bidi="ar-SA"/>
        </w:rPr>
        <w:t xml:space="preserve"> (BC SC) at para. 67.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defendants submits that in the circumstances of this case, Mr. Dey was not a bailee of Mr. Lund's and Mr. Camacho's goods, because he never took possession of them. Rather, in the defendants' submission, Mr. Dey merely granted a temporary licence to Mr. Lund to place his vans and their contents on his property until such time as he required Mr. Lund to remove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distinction between bailment and licence was discussed in some depth by Parrett J. in </w:t>
      </w:r>
      <w:r>
        <w:rPr>
          <w:rFonts w:ascii="arial" w:eastAsia="arial" w:hAnsi="arial" w:cs="arial"/>
          <w:i/>
          <w:color w:val="000000"/>
          <w:sz w:val="20"/>
          <w:lang w:val="en-US" w:eastAsia="en-US" w:bidi="ar-SA"/>
        </w:rPr>
        <w:t>Robertson v. Stang</w:t>
      </w:r>
      <w:r>
        <w:rPr>
          <w:rFonts w:ascii="arial" w:eastAsia="arial" w:hAnsi="arial" w:cs="arial"/>
          <w:color w:val="000000"/>
          <w:sz w:val="20"/>
          <w:lang w:val="en-US" w:eastAsia="en-US" w:bidi="ar-SA"/>
        </w:rPr>
        <w:t>, and particularly at para. 62: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[62] N.E. Palmer, in </w:t>
      </w:r>
      <w:r>
        <w:rPr>
          <w:rFonts w:ascii="arial" w:eastAsia="arial" w:hAnsi="arial" w:cs="arial"/>
          <w:i/>
          <w:color w:val="000000"/>
          <w:sz w:val="20"/>
          <w:lang w:val="en-US" w:eastAsia="en-US" w:bidi="ar-SA"/>
        </w:rPr>
        <w:t>Bailment</w:t>
      </w:r>
      <w:r>
        <w:rPr>
          <w:rFonts w:ascii="arial" w:eastAsia="arial" w:hAnsi="arial" w:cs="arial"/>
          <w:color w:val="000000"/>
          <w:sz w:val="20"/>
          <w:lang w:val="en-US" w:eastAsia="en-US" w:bidi="ar-SA"/>
        </w:rPr>
        <w:t>, 2nd ed (Sydney: The Law Book Company Ltd., 1991) at 382, describes the distinction between bailments and licenses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The law has repeatedly drawn a distinction between bailments and licences; the former requiring a transfer of possession and a voluntary acceptance of the common law duty of safekeeping, the latter amounting to no more than a grant of permission to the user of a chattel to leave it upon the licensor's land on the understanding that neither possession shall be transferred nor responsibility for guarding the chattel accepted.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[63] The significance of the distinction between bailments and licenses is discussed by Schroeder J.A. in </w:t>
      </w:r>
      <w:r>
        <w:rPr>
          <w:rFonts w:ascii="arial" w:eastAsia="arial" w:hAnsi="arial" w:cs="arial"/>
          <w:i/>
          <w:color w:val="000000"/>
          <w:sz w:val="20"/>
          <w:lang w:val="en-US" w:eastAsia="en-US" w:bidi="ar-SA"/>
        </w:rPr>
        <w:t>Bata v. City Parking Canada Ltd.</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(1973), 2 O.R. (2d) 446</w:t>
        </w:r>
      </w:hyperlink>
      <w:r>
        <w:rPr>
          <w:rFonts w:ascii="arial" w:eastAsia="arial" w:hAnsi="arial" w:cs="arial"/>
          <w:color w:val="000000"/>
          <w:sz w:val="20"/>
          <w:lang w:val="en-US" w:eastAsia="en-US" w:bidi="ar-SA"/>
        </w:rPr>
        <w:t xml:space="preserve"> at 448 (C.A.):</w:t>
      </w:r>
    </w:p>
    <w:p>
      <w:pPr>
        <w:spacing w:before="120" w:line="260" w:lineRule="atLeast"/>
        <w:ind w:left="1080"/>
        <w:rPr>
          <w:lang w:val="en-US" w:eastAsia="en-US" w:bidi="ar-SA"/>
        </w:rPr>
      </w:pPr>
      <w:r>
        <w:rPr>
          <w:rFonts w:ascii="arial" w:eastAsia="arial" w:hAnsi="arial" w:cs="arial"/>
          <w:color w:val="000000"/>
          <w:sz w:val="20"/>
          <w:lang w:val="en-US" w:eastAsia="en-US" w:bidi="ar-SA"/>
        </w:rPr>
        <w:t>There is a very wide divergence between the relationship of bailor and bailee and that of licensor and licensee in that the latter, in the absence of some special contractual provision, carries no obligation on the part of the licensor towards the licensee with respect to the chattel subject to the licence.</w:t>
      </w:r>
    </w:p>
    <w:p>
      <w:pPr>
        <w:spacing w:before="120" w:line="260" w:lineRule="atLeast"/>
        <w:ind w:left="720"/>
        <w:rPr>
          <w:lang w:val="en-US" w:eastAsia="en-US" w:bidi="ar-SA"/>
        </w:rPr>
      </w:pPr>
      <w:r>
        <w:rPr>
          <w:rFonts w:ascii="arial" w:eastAsia="arial" w:hAnsi="arial" w:cs="arial"/>
          <w:color w:val="000000"/>
          <w:sz w:val="20"/>
          <w:lang w:val="en-US" w:eastAsia="en-US" w:bidi="ar-SA"/>
        </w:rPr>
        <w:t>[64] These cases establish the principle that control over the subject chattels is the key to distinguishing between bailments and licenses.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present case, the vans and their contents were brought to Mr. Dey's ranch by the plaintiffs. Mr. Dey took no part in their transport onto his property. The vans were locked by Mr. Camacho, and he retained the key. Mr. Dey did not have a key, and he had no access to the contents of the vans. At the time when the plaintiffs transported the vans to Mr. Dey's ranch, Mr. Dey told Mr. Lund that he would take no responsibility for them. He also told Mr. Lund that he would have to be prepared to move them off the ranch on short notice if Mr. Dey asked him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That in fact occurred at the end of April 2011, when Mr. Dey notified Mr. Lund and his wife that the vans must be removed by May 4, 2011. Up until that time, the vans were not behind a locked fence, and there is no evidence that the plaintiffs' access to the vans was limited in any way by Mr. Dey. It was not until May 6, 2011, that Mr. Dey put a lock on the gate, but by that time Mr. Dey had already revoked his permission for the vans to remain on his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these circumstances, I am satisfied that Mr. Dey was not a bailee of the plaintiffs' goods, because the plaintiffs never delivered possession of their goods to Mr. Dey. The plaintiffs retained access to the vans and their contents, whereas Mr. Dey had no access to the contents of the vans. All that Mr. Dey had done was to grant the plaintiffs a licence to put the vans on his land for a limited period of time, which could be terminated on short notice by Mr. Dey.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licence was in fact terminated by Mr. Dey as of May 4, 2011, and he gave ample advance notice of the termination to Mr. Lund. Accordingly, Mr. Dey did not owe to the plaintiffs the duty of care of a bailee, and the plaintiffs' claim that he breached that duty of care must therefore fail.</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2. Conversion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alternative claim is that the defendants wrongfully converted the plaintiffs' property to their own use. The tort of conversion was discussed in </w:t>
      </w:r>
      <w:r>
        <w:rPr>
          <w:rFonts w:ascii="arial" w:eastAsia="arial" w:hAnsi="arial" w:cs="arial"/>
          <w:i/>
          <w:color w:val="000000"/>
          <w:sz w:val="20"/>
          <w:lang w:val="en-US" w:eastAsia="en-US" w:bidi="ar-SA"/>
        </w:rPr>
        <w:t>Robertson v. Stang</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[36] The tort of conversion was defined by Martin J.A. of the Saskatchewan Court of Appeal in </w:t>
      </w:r>
      <w:r>
        <w:rPr>
          <w:rFonts w:ascii="arial" w:eastAsia="arial" w:hAnsi="arial" w:cs="arial"/>
          <w:i/>
          <w:color w:val="000000"/>
          <w:sz w:val="20"/>
          <w:lang w:val="en-US" w:eastAsia="en-US" w:bidi="ar-SA"/>
        </w:rPr>
        <w:t>Driedger v. Schmidt</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[1931] 3 W.W.R. 514</w:t>
        </w:r>
      </w:hyperlink>
      <w:r>
        <w:rPr>
          <w:rFonts w:ascii="arial" w:eastAsia="arial" w:hAnsi="arial" w:cs="arial"/>
          <w:color w:val="000000"/>
          <w:sz w:val="20"/>
          <w:lang w:val="en-US" w:eastAsia="en-US" w:bidi="ar-SA"/>
        </w:rPr>
        <w:t xml:space="preserve"> at 519:</w:t>
      </w:r>
    </w:p>
    <w:p>
      <w:pPr>
        <w:spacing w:before="120" w:line="260" w:lineRule="atLeast"/>
        <w:ind w:left="1080"/>
        <w:rPr>
          <w:lang w:val="en-US" w:eastAsia="en-US" w:bidi="ar-SA"/>
        </w:rPr>
      </w:pPr>
      <w:r>
        <w:rPr>
          <w:rFonts w:ascii="arial" w:eastAsia="arial" w:hAnsi="arial" w:cs="arial"/>
          <w:color w:val="000000"/>
          <w:sz w:val="20"/>
          <w:lang w:val="en-US" w:eastAsia="en-US" w:bidi="ar-SA"/>
        </w:rPr>
        <w:t>Conversion consists of any act of wilful interference with a chattel, done without lawful justification, whereby any person entitled thereto is deprived of the use and possession of it.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[37] The Ontario Court of Appeal adopted a similar definition in </w:t>
      </w:r>
      <w:r>
        <w:rPr>
          <w:rFonts w:ascii="arial" w:eastAsia="arial" w:hAnsi="arial" w:cs="arial"/>
          <w:i/>
          <w:color w:val="000000"/>
          <w:sz w:val="20"/>
          <w:lang w:val="en-US" w:eastAsia="en-US" w:bidi="ar-SA"/>
        </w:rPr>
        <w:t>Ashfield v. Edgell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(1891), 21 O.R. 195</w:t>
        </w:r>
      </w:hyperlink>
      <w:r>
        <w:rPr>
          <w:rFonts w:ascii="arial" w:eastAsia="arial" w:hAnsi="arial" w:cs="arial"/>
          <w:color w:val="000000"/>
          <w:sz w:val="20"/>
          <w:lang w:val="en-US" w:eastAsia="en-US" w:bidi="ar-SA"/>
        </w:rPr>
        <w:t xml:space="preserve"> at 203:</w:t>
      </w:r>
    </w:p>
    <w:p>
      <w:pPr>
        <w:spacing w:before="120" w:line="260" w:lineRule="atLeast"/>
        <w:ind w:left="1080"/>
        <w:rPr>
          <w:lang w:val="en-US" w:eastAsia="en-US" w:bidi="ar-SA"/>
        </w:rPr>
      </w:pPr>
      <w:r>
        <w:rPr>
          <w:rFonts w:ascii="arial" w:eastAsia="arial" w:hAnsi="arial" w:cs="arial"/>
          <w:color w:val="000000"/>
          <w:sz w:val="20"/>
          <w:lang w:val="en-US" w:eastAsia="en-US" w:bidi="ar-SA"/>
        </w:rPr>
        <w:t>[A] conversion is there defined to be "a wrongful interference with goods, as by taking, using or destroying them, inconsistent with the owner's right of possession."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[38] Other definitions are summarized by G.H.L. Fridman in the following passage from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vol 1 (Toronto: Carswell, 1990) at 95:</w:t>
      </w:r>
    </w:p>
    <w:p>
      <w:pPr>
        <w:spacing w:before="120" w:line="260" w:lineRule="atLeast"/>
        <w:ind w:left="1080"/>
        <w:rPr>
          <w:lang w:val="en-US" w:eastAsia="en-US" w:bidi="ar-SA"/>
        </w:rPr>
      </w:pPr>
      <w:r>
        <w:rPr>
          <w:rFonts w:ascii="arial" w:eastAsia="arial" w:hAnsi="arial" w:cs="arial"/>
          <w:color w:val="000000"/>
          <w:sz w:val="20"/>
          <w:lang w:val="en-US" w:eastAsia="en-US" w:bidi="ar-SA"/>
        </w:rPr>
        <w:t>Conversion consists in a wrongful taking, using or destroying of goods or the exercise of dominion over them that is inconsistent with the title of the owner. It is an intentional exercise of control over a chattel which seriously interferes with the right of another to control it. There must be a voluntary act in respect of another's goods amounting to a usurpation of the owner's proprietary or possessory rights in them . . . Succinctly put, conversion is "a positive wrongful act or dealing with the goods in a manner, and with an intention, inconsistent with the owner's rights".</w:t>
      </w:r>
    </w:p>
    <w:p>
      <w:pPr>
        <w:spacing w:before="120" w:line="260" w:lineRule="atLeast"/>
        <w:ind w:left="720"/>
        <w:rPr>
          <w:lang w:val="en-US" w:eastAsia="en-US" w:bidi="ar-SA"/>
        </w:rPr>
      </w:pPr>
      <w:r>
        <w:rPr>
          <w:rFonts w:ascii="arial" w:eastAsia="arial" w:hAnsi="arial" w:cs="arial"/>
          <w:color w:val="000000"/>
          <w:sz w:val="20"/>
          <w:lang w:val="en-US" w:eastAsia="en-US" w:bidi="ar-SA"/>
        </w:rPr>
        <w:t>[39] Fridman goes on to summarize the essential features of the tort of conversion as including: (i) a wrongful act; (ii) involving a chattel; (iii) consisting of handling, disposing or destruction of the chattel; (iv) with the intention or effect of denying or negating the title of another person to such chattel.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defendants submits that Mr. Dey never handled the trailers, and therefore he could not be liable for conversion. Nevertheless, Jerry Dichrow and Upcott Enterprises handled the trailers at Mr. Dey's behest, so in my view liability for conversion with respect to all three defendants comes down to the question of whether there was a wrongful act, and if so, whether such act was done with the intention or effect of denying the plaintiffs title to their goods.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the circumstances of this case, Mr. Dey did not commit any wrongful act. He was entitled to terminate Mr. Lund's licence to keep the vans on his ranch on short notice. That was clearly a term of the licence when it was originally granted. The licence was terminated as of May 4, 2011, and Mr. Dey gave Mr. Lund ample advance notice of the termination. He also gave Mr. Lund a reasonable opportunity to remove the vans, but Mr. Lund told Mr. Dey that it was not worth it. In these circumstances, Mr. Dey did not commit any wrongful act by taking steps to have the trailers removed from his property and transferred to a place that he reasonably believed was a secure compound: see </w:t>
      </w:r>
      <w:r>
        <w:rPr>
          <w:rFonts w:ascii="arial" w:eastAsia="arial" w:hAnsi="arial" w:cs="arial"/>
          <w:i/>
          <w:color w:val="000000"/>
          <w:sz w:val="20"/>
          <w:lang w:val="en-US" w:eastAsia="en-US" w:bidi="ar-SA"/>
        </w:rPr>
        <w:t>Stewart v. Gustafson</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1998 CanLII 14001</w:t>
        </w:r>
      </w:hyperlink>
      <w:r>
        <w:rPr>
          <w:rFonts w:ascii="arial" w:eastAsia="arial" w:hAnsi="arial" w:cs="arial"/>
          <w:color w:val="000000"/>
          <w:sz w:val="20"/>
          <w:lang w:val="en-US" w:eastAsia="en-US" w:bidi="ar-SA"/>
        </w:rPr>
        <w:t xml:space="preserve"> (SK QB).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Similarly, Mr. Dichrow and Upcott Enterprises committed no wrongful act by moving the trailers off Mr. Dey's ranch in accordance with Mr. Dey's instructions: see </w:t>
      </w:r>
      <w:r>
        <w:rPr>
          <w:rFonts w:ascii="arial" w:eastAsia="arial" w:hAnsi="arial" w:cs="arial"/>
          <w:i/>
          <w:color w:val="000000"/>
          <w:sz w:val="20"/>
          <w:lang w:val="en-US" w:eastAsia="en-US" w:bidi="ar-SA"/>
        </w:rPr>
        <w:t>Clow v. Gershman Transport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ABQB 360</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any event, none of the actions of any of the defendants was done with the intention of depriving the plaintiffs of their use and possession of their goods. The intention was simply to get the goods off Mr. Dey's land. While it is true that the plaintiffs were ultimately deprived of the possession of their goods, the cause of their deprivation is not any wrongful act of the defendants, but rather the act of whoever removed the vans and their contents from Mr. Shimoyama's compound.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reasonably believed that Mr. Shimoyama's compound was secure. Nothing had ever previously been stolen or gone missing from it. There is no basis in the evidence for concluding that any of the defendants is legally responsible for the unfortunate fact that the trailers and their contents were taken from that compound by persons unknown.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liability in any of the defendants, either in bailment or for conversion. Accordingly, the plaintiffs' case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Are there any submissions on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UNIDENTIFIED COUNSEL: Simple costs to follow the event,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Mr. Lund, Mr. Camacho, the ordinary rule, unless there is some extraordinary circumstance, is that, the way it is put by lawyers, is that costs follow the event, which means that the party who is successful on a trial is entitled to their costs to be paid by the losing parties. Is there any extraordinary circumstance here why I should not make the usual order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UNIDENTIFIED PLAINTIFF: We're broke.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Well, that is a matter of enforcing the order rather than whether the order should be made, I think, so there will be the usual order that the defendants are entitled to their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 EHRCKE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Matharu v. Canadian Ramgarhia Society, [2020] B.C.J. No. 485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Winteringham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and November 19, 2019; January 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S208884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Amarjit Singh Matharu and Manjit Singh Panesar, Petitioners, and The Canadian Ramgarhia Society,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jc w:val="both"/>
        <w:rPr>
          <w:rFonts w:ascii="arial" w:eastAsia="arial" w:hAnsi="arial" w:cs="arial"/>
          <w:sz w:val="20"/>
          <w:lang w:val="en-US" w:eastAsia="en-US" w:bidi="ar-SA"/>
        </w:rPr>
      </w:pPr>
      <w:bookmarkStart w:id="122" w:name="Counsel_33"/>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M. Steinbach.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33"/>
      <w:bookmarkEnd w:id="123"/>
      <w:r>
        <w:pict>
          <v:line id="_x0000_s1143"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PROCEEDINGS/BACKGROUND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WITHDRAWAL OF NOTICE OF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CONCLUSION/ORDERS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J. WINTERINGHAM J."/>
            <w:bookmarkEnd w:id="124"/>
            <w:r>
              <w:rPr>
                <w:rFonts w:ascii="arial" w:eastAsia="arial" w:hAnsi="arial" w:cs="arial"/>
                <w:b/>
                <w:color w:val="000000"/>
                <w:sz w:val="30"/>
                <w:lang w:val="en-US" w:eastAsia="en-US" w:bidi="ar-SA"/>
              </w:rPr>
              <w:t>J. WINTERINGHAM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24, 2019, without leave of the court or the consent of the respondent, the petitioners filed a notice of discontinuance attempting to discontinue their petition filed on December 6, 2018 (the "Petition"). Due to the fact that a notice of hearing had been issued and filed on April 26, 2019, the respondent contends that the Petition cannot be discontinued without consent or leave of the court. The respondent seeks an order that the petitioners: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be granted leave,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to file the notice of discontinuance, on terms that (1) the discontinuance . . . is a defence to a subsequent proceeding for the same or substantially the same cause of action. . . ; and (2) special or, in the alternative,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set out below, I grant the respondent's application allowing the petitioners to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file the notice of discontinuance on the condition that the discontinuance is a defence to a subsequent proceeding for the same or substantially the same cause of action commenced by Amarjit Singh Matharu, Manjit Singh Panesar or both against the respondent. I also grant an order for ordinary costs to the respondent up to December 14, 2018 and double costs to the respondent from December 14, 2018 to the date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PROCEEDINGS/BACKGROUND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respondent Canadian Ramgarhia Society is a Sikh religious society operating a temple known as Gurdwara Sahib Brookside in Surrey, B.C. ("Society"). The petitioners are life members of the Society.</w:t>
      </w:r>
      <w:bookmarkStart w:id="125"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2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January 2017, the executive of the Society determined that the meal hall at the temple should be expanded and took some early steps to assess the viability of such an expansion. On December 10, 2017, the Society held its annual general meeting. The Society's president reported to the membership and provided an update about the meal hall expansion project. On May 27, 2018, the Society held a special general meeting to consider, among other matters, the following special resolution (the "Special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Executive Committee is authorized and empowered to borrow from the VanCity Credit Union up to $900,000 as needed for extending the [meal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Pursuant to the Society's rules, the Special Resolution passed. On May 30, 2018, the executive committee unanimously adopted the Special Resolution. Pursuant to the Special Resolution and its passing, the Society began the work to expand the meal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petitioners complained about the propriety of the Special Resolution and its passing. On August 30, 2018, the petitioners commenced an action challenging, among other matters, the validity of the Special Resolution. The Society sought to dismiss the action and scheduled its dismissal application to be heard on October 11, 2018. On October 10, 2018, the petitioners discontinued the action by filing a discontinuance at the court registry. They emailed the notice of discontinuance to the Society at 11:46 p.m. on October 10, 2018. On November 2, 2018, the Society and its President were awarded their costs of the discontinued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action was discontinued, the petitioners took their complaints about the Society to the local media and the complaints were reported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Despite the discontinuance relating to the earlier action, the petitioners commenced filed the Petition on December 6, 2018 seeking an order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Special General Meeting held on May 27, 2018 was an improperly constituted meeting and therefore all resolutions passed at the Special General Meeting and the executive committee meeting on May 30, 2018 are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materials and relevant to its costs submissions, the Society provided some further context to the Petition alleging that it was filed three days before an election of the board was scheduled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14, 2018, the Society delivered a formal offer of settlement to the petitioners offering to waive its costs if the petitioners dismissed the petition. The offer was to stay open for acceptance until 5:00 p.m. on December 19,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Society filed its response to the Petition on January 18, 2019 disputing the allegations of impropriety. By this time, the meal hall expansion was well underway and scheduled to complete in Spring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not received a response to their formal offer, the Society's counsel attempted to schedule the Petition for hearing. On April 26, 2019, and with new counsel's agreement on behalf of the petitioners, the Society filed a notice of hearing scheduling the Petition to be heard on June 28,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24, 2019, the petitioners filed a notice of discontinuance without obtaining the consent of the Society and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Unable to resolve the dispute about the discontinuance, the Society filed this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WITHDRAWAL OF NOTICE OF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Subject to certain costs consequences and timing,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allow for proceedings to be withdrawn. Rule 9-8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Discontinuance before action set for trial</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before a notice of trial is filed in an action, a plaintiff may discontinue it in whole or in part against a defendant by filing a notice of discontinuance in Form 36 and serving a filed copy of the notice of discontinuance on all parties of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Discontinuance after action set for trial</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After a notice of trial is filed</w:t>
      </w:r>
      <w:r>
        <w:rPr>
          <w:rFonts w:ascii="arial" w:eastAsia="arial" w:hAnsi="arial" w:cs="arial"/>
          <w:color w:val="000000"/>
          <w:sz w:val="20"/>
          <w:lang w:val="en-US" w:eastAsia="en-US" w:bidi="ar-SA"/>
        </w:rPr>
        <w:t xml:space="preserve"> in an action, </w:t>
      </w:r>
      <w:r>
        <w:rPr>
          <w:rFonts w:ascii="arial" w:eastAsia="arial" w:hAnsi="arial" w:cs="arial"/>
          <w:color w:val="000000"/>
          <w:sz w:val="20"/>
          <w:u w:val="single"/>
          <w:lang w:val="en-US" w:eastAsia="en-US" w:bidi="ar-SA"/>
        </w:rPr>
        <w:t>a plaintiff may discontinue</w:t>
      </w:r>
      <w:r>
        <w:rPr>
          <w:rFonts w:ascii="arial" w:eastAsia="arial" w:hAnsi="arial" w:cs="arial"/>
          <w:color w:val="000000"/>
          <w:sz w:val="20"/>
          <w:lang w:val="en-US" w:eastAsia="en-US" w:bidi="ar-SA"/>
        </w:rPr>
        <w:t xml:space="preserve"> the action in whole or in part against a defendant </w:t>
      </w:r>
      <w:r>
        <w:rPr>
          <w:rFonts w:ascii="arial" w:eastAsia="arial" w:hAnsi="arial" w:cs="arial"/>
          <w:color w:val="000000"/>
          <w:sz w:val="20"/>
          <w:u w:val="single"/>
          <w:lang w:val="en-US" w:eastAsia="en-US" w:bidi="ar-SA"/>
        </w:rPr>
        <w:t>with the consent</w:t>
      </w:r>
      <w:r>
        <w:rPr>
          <w:rFonts w:ascii="arial" w:eastAsia="arial" w:hAnsi="arial" w:cs="arial"/>
          <w:color w:val="000000"/>
          <w:sz w:val="20"/>
          <w:lang w:val="en-US" w:eastAsia="en-US" w:bidi="ar-SA"/>
        </w:rPr>
        <w:t xml:space="preserve"> of all parties of record </w:t>
      </w:r>
      <w:r>
        <w:rPr>
          <w:rFonts w:ascii="arial" w:eastAsia="arial" w:hAnsi="arial" w:cs="arial"/>
          <w:color w:val="000000"/>
          <w:sz w:val="20"/>
          <w:u w:val="single"/>
          <w:lang w:val="en-US" w:eastAsia="en-US" w:bidi="ar-SA"/>
        </w:rPr>
        <w:t>or by leave of the court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and default procedure on discontinuance or withdrawal</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(2), a person wholly discontinuing an action against a party or wholly withdrawing his or her response to civil claim filed in response to a notice of civil claim of a party must pay the costs of that party to the date of service of the notice of discontinuance or the notice of withdrawal, as the case may be, and if a plaintiff who is liable for costs under this subrule subsequently brings a proceeding for the same or substantially the same claim before paying those costs, the court may order the proceeding to be stayed until the costs are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Discontinuance not a defence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the discontinuance of an action in whole or in part is not a defence to a subsequent proceeding for the same or substantially the same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counterclaim, third party proceeding and petition.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rule applies to</w:t>
      </w:r>
      <w:r>
        <w:rPr>
          <w:rFonts w:ascii="arial" w:eastAsia="arial" w:hAnsi="arial" w:cs="arial"/>
          <w:color w:val="000000"/>
          <w:sz w:val="20"/>
          <w:lang w:val="en-US" w:eastAsia="en-US" w:bidi="ar-SA"/>
        </w:rPr>
        <w:t xml:space="preserve"> a counterclaim, a third party proceeding and </w:t>
      </w:r>
      <w:r>
        <w:rPr>
          <w:rFonts w:ascii="arial" w:eastAsia="arial" w:hAnsi="arial" w:cs="arial"/>
          <w:color w:val="000000"/>
          <w:sz w:val="20"/>
          <w:u w:val="single"/>
          <w:lang w:val="en-US" w:eastAsia="en-US" w:bidi="ar-SA"/>
        </w:rPr>
        <w:t>a petition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submit, and I agree, that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clearly set out what is required after a notice of hearing or trial has issued. There is no dispute that the petitioners did not seek leave nor the Society's consent before filing the notice of discontinuance. The petitioners submit the court can now simply remedy the defect with regard to these provisions. The Society agrees but contends that I should only do so on the conditions it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Society contends that the irregularity can be fixed with regard to Rules 22-7 (effect of non-compliance) and 13-1(19) (orders on terms and conditions)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provide the court with powers to remedy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Rule 22-7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Non-compliance with rules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failure to comply with these Supreme Court Civil Rules must be treated as an irregularity and does not nullify</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step taken in the proceeding, or</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 or order made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Powers of court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if there has been a failure to comply with these Supreme Court Civil Rules, the court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it considers will further the object of these Supreme Court Civil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13-1(19)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Orders on terms and conditions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making an order under these Supreme Court Civil Rules, the court may impose terms and conditions and give directions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parties rely on many of the same authorities including </w:t>
      </w:r>
      <w:r>
        <w:rPr>
          <w:rFonts w:ascii="arial" w:eastAsia="arial" w:hAnsi="arial" w:cs="arial"/>
          <w:i/>
          <w:color w:val="000000"/>
          <w:sz w:val="20"/>
          <w:lang w:val="en-US" w:eastAsia="en-US" w:bidi="ar-SA"/>
        </w:rPr>
        <w:t>Steeves (Trustee of) v. Britton</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[1999] B.C.J. No. 902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Binary Environments Ltd. v. Batyka</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2014 BCSC 919</w:t>
        </w:r>
      </w:hyperlink>
      <w:r>
        <w:rPr>
          <w:rFonts w:ascii="arial" w:eastAsia="arial" w:hAnsi="arial" w:cs="arial"/>
          <w:color w:val="000000"/>
          <w:sz w:val="20"/>
          <w:lang w:val="en-US" w:eastAsia="en-US" w:bidi="ar-SA"/>
        </w:rPr>
        <w:t xml:space="preserve">. I have also considered </w:t>
      </w:r>
      <w:r>
        <w:rPr>
          <w:rFonts w:ascii="arial" w:eastAsia="arial" w:hAnsi="arial" w:cs="arial"/>
          <w:i/>
          <w:color w:val="000000"/>
          <w:sz w:val="20"/>
          <w:lang w:val="en-US" w:eastAsia="en-US" w:bidi="ar-SA"/>
        </w:rPr>
        <w:t>Moon v. Sails at the Village on False Creek Developments Corp.</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2012 BCSC 1999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Indeed, the petitioners and the respondent agree that the discontinuance should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disagreement relates to whether there ought to be terms attached to the discontinuance, including an order barring further proceedings related to the Special Resolution and whether there be special 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Regarding terms, the petitioners focused their submissions on the issue of costs and not on whether there should be a bar to further proceedings. Having reviewed the history of the proceedings, including the evidence regarding the discontinued action commenced prior to the filing of the Petition and the context surrounding the commencement of the Petition, I am satisfied that this is an appropriate case for there to be a term restricting the petitioners' right to recommence the proceedings without further order of the court. I base that determination on the earlier action, the status of the expansion project for the meal hall, and the persistent animosity between the parties evident in the affidavits filed on this application. The words of Justice Ball in </w:t>
      </w:r>
      <w:r>
        <w:rPr>
          <w:rFonts w:ascii="arial" w:eastAsia="arial" w:hAnsi="arial" w:cs="arial"/>
          <w:i/>
          <w:color w:val="000000"/>
          <w:sz w:val="20"/>
          <w:lang w:val="en-US" w:eastAsia="en-US" w:bidi="ar-SA"/>
        </w:rPr>
        <w:t>Binary Environments Ltd</w:t>
      </w:r>
      <w:r>
        <w:rPr>
          <w:rFonts w:ascii="arial" w:eastAsia="arial" w:hAnsi="arial" w:cs="arial"/>
          <w:color w:val="000000"/>
          <w:sz w:val="20"/>
          <w:lang w:val="en-US" w:eastAsia="en-US" w:bidi="ar-SA"/>
        </w:rPr>
        <w:t>. at para. 31 are apt: ". . . the only rational conclusion [that] can be drawn is that this matter must in fairness finally come to an end.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to the Society's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Society takes the position that the history of the litigation, including the discontinued action, is relevant to an assessment of its entitlement to a special costs order. In particular, the Society submits that the petitioners took steps in the litigation that were connected to a political purpose and that this Petition was doomed from the outset. The Society states, similar to other cases found to be brought for a political or improper purpose</w:t>
      </w:r>
      <w:bookmarkStart w:id="126"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26"/>
      <w:r>
        <w:rPr>
          <w:rFonts w:ascii="arial" w:eastAsia="arial" w:hAnsi="arial" w:cs="arial"/>
          <w:color w:val="000000"/>
          <w:sz w:val="20"/>
          <w:lang w:val="en-US" w:eastAsia="en-US" w:bidi="ar-SA"/>
        </w:rPr>
        <w:t>, the court should rebuke these litigants. The Society submits that the Petition was brought for an improper or collateral purpose, was meritless and that the petitioners attempted to use the courtroom as a political forum, particularly when considering the fact that the Petition was filed mere days before an election of the executive of the Society and in the context of the statements made to the local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petitioners contend that the conduct at issue does not warrant an order for special costs. The petitioners state that they retained new counsel in early April 2019 and allowing the time for counsel to familiarize themselves with the brief, quickly took steps to terminate the litigation by filing the notice of discontinuance. The petitioners submit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while the [petitioners] filed a notice of discontinuance on May 24, 2019 without the express consent of the applicant, the scheduled petition hearing was not until at least one month later. This is not a last-minute withdrawal of the petition. Further, on May 28, 2019, the [Society's] counsel had consented to an adjournment of the hearing. Accordingly, the [Society] has not suffered any loss from the [petitioner's] filing of the notice of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short, the petitioners submit that the conduct here does not rise to the level of "reprehensible conduct" required by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to the well known principles governing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Special costs are awarded as a means of penalizing a party's conduct in the litigation. In the oft-cited case of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Justice Walker provided this overview: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Special costs are awarded where a litigant engaged in reprehensible conduct. The purpose of an award of special costs is to chastise a litigant. Special costs are punitive in nature and encompass an element of deterrence. A wide meaning is given to the word "reprehensible". The term represents a general and all encompassing expression of the applicable standard for an award of special costs. "Reprehensible" conduct includes conduct that is scandalous, outrageous, or constitutes misbehaviour, as well as milder forms of misconduct that in a court's view deserves reproof or rebuke. In determining whether the conduct of a party is reprehensible, courts may consider whether the conduct complained of is a type from which it should seek to dissociate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747, Lambert J.A. described the standard to be met in order to justify an award of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need for courts to disassociate themselves from misconduct is so important that special costs may be awarded even when the successful party does not have to pay legal fees. In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at para. 29, the Court of Appeal stated that "[s]ince the rationale for the award is to penalize, it matters not that the successful party does not have any legal fees to 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Special costs may be ordered in the following circumstances: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presents a case so weak that it is bound to fail, and continues to pursue its meritless claim after it is drawn to its attention that the claim is without merit;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brings a proceeding for an improper motive;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maintains unfounded allegations of fraud or dishonesty;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claims frivolously or without 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have also considered the authorities cautioning trial judges about pre-litigation conduct and special costs awards. For example,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the Court of Appeal asked the question whether a bright line approach should be adopted and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Considering this question requires a return to basic principles. The purpose of special costs, unlike party and party costs, is not to indemnify but to deter and punish reprehensible conduct. The authorities make clear that special costs are usually reserved for misconduct during the course of the litigation. The question for determination is whether pre-litigation conduct should be considered in awarding special costs, and if so, in what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RCV argues that there is no sound judicial policy argument to support an inflexible rule precluding a special costs award on the basis of pre-litigation misconduct. With respect, that submission misses the mark. The real question is whether there is any sound judicial policy argument to support considering pre-litigation conduct in awarding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In my view, there is not. Absent any policy reason to depart from the general rule, judges must exercise their discretion in accordance with the principles of judicial comity, which call for judges to treat like cases alike.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As has been set out in many authorities reviewed here, pre-litigation conduct that gives rise to a cause of action will already be the subject of a damage award flowing from the objectionable conduct. Where a party's misconduct is so malicious, oppressive and high-handed that it offends the court's sense of decency, an award of punitive damages may also follow.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provides a principled structured framework for such awards.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Special costs are an inherently unsatisfactory mechanism to punish pre-litigation conduct. Special costs are intended to punish reprehensible conduct which as per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includes scandalous or outrageous conduct as well as milder forms of misconduct deserving of reproof or rebuke. The case law has considered a range of pre-litigation conduct, including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fraud, misappropriation, deceit, sexual assault, failure to follow a constitutionally mandated process and murder. All such conduct could be said to be deserving of rebuke. Indeed, as noted in </w:t>
      </w:r>
      <w:r>
        <w:rPr>
          <w:rFonts w:ascii="arial" w:eastAsia="arial" w:hAnsi="arial" w:cs="arial"/>
          <w:i/>
          <w:color w:val="000000"/>
          <w:sz w:val="20"/>
          <w:lang w:val="en-US" w:eastAsia="en-US" w:bidi="ar-SA"/>
        </w:rPr>
        <w:t>Kongrecki</w:t>
      </w:r>
      <w:r>
        <w:rPr>
          <w:rFonts w:ascii="arial" w:eastAsia="arial" w:hAnsi="arial" w:cs="arial"/>
          <w:color w:val="000000"/>
          <w:sz w:val="20"/>
          <w:lang w:val="en-US" w:eastAsia="en-US" w:bidi="ar-SA"/>
        </w:rPr>
        <w:t>, almost every unsuccessful litigant is deserving of reproof or rebuke.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Attempting to draw the line on a principled basis as to what pre-litigation conduct should be sanctioned by special costs and which should not is, as amply demonstrated by the case law, a near impossible task. It is also an unnecessary task as the law already provides appropriate relief and remedies for such conduct. In my respectful opinion, special costs should only be awarded to punish reprehensible conduct in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 In the result, I am of the view that a bright line can and should be drawn so that judges will be able to exercise their discretion in like cases in a like manner. Special costs should be reserved to punish and deter reprehensible conduct in the course of litigation. Pre-litigation conduct should not be considered in determining whether such an award is appropriate. There are other suitable mechanisms to censure pre-litigation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have also considered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where again the court suggested some restraint on the part of a trial judge when it comes to the assessment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apparent during the course of the submissions that once the notice of discontinuance was filed in May 2019, albeit in error, the parties continued to argue about costs and hence this application was brought. I have considered the submissions of counsel and the circumstances surrounding the commencement of the Petition, the basis for it, the months that followed and the steps taken by the petitioners to try and terminate the proceedings. In addition, ordering that the notice of discontinuance be filed on the condition that it is a defence to subsequent proceedings achieves a similar purpose to that underlying the need for special costs. I am not satisfied that this is an appropriate case for the imposition of special costs. The conduct at issue here simply does not rise to the level required by the jurisprudence to grant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such, I dismiss the application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turn then to the alternative claim of double costs. I have considered Justice Marchand's helpful review of the applicable legal principles in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2018 BCSC 528</w:t>
        </w:r>
      </w:hyperlink>
      <w:r>
        <w:rPr>
          <w:rFonts w:ascii="arial" w:eastAsia="arial" w:hAnsi="arial" w:cs="arial"/>
          <w:color w:val="000000"/>
          <w:sz w:val="20"/>
          <w:lang w:val="en-US" w:eastAsia="en-US" w:bidi="ar-SA"/>
        </w:rPr>
        <w:t>, where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purpose of Rule 9-1 is to encourage the early settlement of disputes by rewarding the party that makes a reasonable offer to settle and penalizing the party that did not accept the offer. In an oft-cited passage from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the Court of Appeal explained at para.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 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In this regard, Mr. Justice Frankel's comments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are apposite: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[74] The purposes for which costs rules exist must be kept in mind in determining whether appellate intervention is warranted. In addition to indemnifying a successful litigant, those purposes have been described as follows by this Court: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w:t>
      </w:r>
      <w:hyperlink r:id="rId387"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[1988] 1 S.C.R. ix;</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determining what order to make, the court may consider the factors listed in Rule 9-1(6), but they are not mandatory. Trial judges have the discretion to consider whatever factors they consider appropriate. Nevertheless, the discretion as to whether to award double costs "must be exercised in a just, principled, and consistent way":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this is an appropriate case pursuant to Rule 9-1(5)(b)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order double costs from December 14, 2018. I base that decision on the overall circumstances surrounding the Petition but including in particular the following:</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a week after the Petition was filed, the Society sent its formal settlement offer, agreeing to waive its costs;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 made the settlement offer even though the petitioners had discontinued a very similar proceeding only two months earlier and, in light of the petitioners' decision in that regard, the petitioners should have carefully assessed the strength or lack thereof of their case when they commenced the Petition;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did very little to advance the Petition despite being pressed by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 that this was an offer that the petitioners ought reasonably to have accepted when it was presented or very shortly thereafter. In light of the circumstances, an award of double costs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I grant the following orders: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Amarjit Singh Matharu and Manjit Singh Panesar, are granted leave to file the notice of discontinuance previously filed May 24, 2019;</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further order of the court, the notice of discontinuance is a defence to further proceedings for the same or substantially the same cause of action commenced by Amarjit Singh Matharu, Manjit Singh Panesar or both against the respondent, the Canadian Ramgarhia Society; and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pay ordinary costs up to December 14, 2018 and double costs from December 14, 2018 to the date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WINTERINGHAM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44" style="position:absolute;z-index:25179545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2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27"/>
      <w:r>
        <w:rPr>
          <w:rFonts w:ascii="arial" w:eastAsia="arial" w:hAnsi="arial" w:cs="arial"/>
          <w:sz w:val="20"/>
          <w:lang w:val="en-US" w:eastAsia="en-US" w:bidi="ar-SA"/>
        </w:rPr>
        <w:tab/>
      </w:r>
      <w:r>
        <w:rPr>
          <w:rFonts w:ascii="arial" w:eastAsia="arial" w:hAnsi="arial" w:cs="arial"/>
          <w:color w:val="6D6E71"/>
          <w:sz w:val="18"/>
          <w:lang w:val="en-US" w:eastAsia="en-US" w:bidi="ar-SA"/>
        </w:rPr>
        <w:t>Mr. Matharu is a retiree and is a life member of the Society since 1982. Mr. Panesar, also a retiree, is a life member of the Society since about 1976.</w:t>
      </w:r>
    </w:p>
    <w:p>
      <w:pPr>
        <w:spacing w:before="120" w:after="20" w:line="240" w:lineRule="atLeast"/>
        <w:ind w:left="720" w:hanging="360"/>
        <w:jc w:val="both"/>
        <w:rPr>
          <w:rFonts w:ascii="arial" w:eastAsia="arial" w:hAnsi="arial" w:cs="arial"/>
          <w:sz w:val="20"/>
          <w:lang w:val="en-US" w:eastAsia="en-US" w:bidi="ar-SA"/>
        </w:rPr>
      </w:pPr>
      <w:bookmarkStart w:id="128"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2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Canadian Coal Company Inc. v. BP Resources Canada Ltd., </w:t>
      </w:r>
      <w:hyperlink r:id="rId714" w:history="1">
        <w:r>
          <w:rPr>
            <w:rFonts w:ascii="arial" w:eastAsia="arial" w:hAnsi="arial" w:cs="arial"/>
            <w:i/>
            <w:color w:val="0077CC"/>
            <w:sz w:val="18"/>
            <w:u w:val="single"/>
            <w:shd w:val="clear" w:color="auto" w:fill="FFFFFF"/>
            <w:lang w:val="en-US" w:eastAsia="en-US" w:bidi="ar-SA"/>
          </w:rPr>
          <w:t>[1991] B.C.J. No. 329</w:t>
        </w:r>
      </w:hyperlink>
      <w:r>
        <w:rPr>
          <w:rFonts w:ascii="arial" w:eastAsia="arial" w:hAnsi="arial" w:cs="arial"/>
          <w:color w:val="6D6E71"/>
          <w:sz w:val="18"/>
          <w:lang w:val="en-US" w:eastAsia="en-US" w:bidi="ar-SA"/>
        </w:rPr>
        <w:t xml:space="preserve"> and Mayer v. Osborne Contracting Ltd., </w:t>
      </w:r>
      <w:hyperlink r:id="rId712" w:history="1">
        <w:r>
          <w:rPr>
            <w:rFonts w:ascii="arial" w:eastAsia="arial" w:hAnsi="arial" w:cs="arial"/>
            <w:i/>
            <w:color w:val="0077CC"/>
            <w:sz w:val="18"/>
            <w:u w:val="single"/>
            <w:shd w:val="clear" w:color="auto" w:fill="FFFFFF"/>
            <w:lang w:val="en-US" w:eastAsia="en-US" w:bidi="ar-SA"/>
          </w:rPr>
          <w:t>2011 BCSC 914</w:t>
        </w:r>
      </w:hyperlink>
      <w:r>
        <w:rPr>
          <w:rFonts w:ascii="arial" w:eastAsia="arial" w:hAnsi="arial" w:cs="arial"/>
          <w:color w:val="6D6E71"/>
          <w:sz w:val="18"/>
          <w:lang w:val="en-US" w:eastAsia="en-US" w:bidi="ar-SA"/>
        </w:rPr>
        <w:t xml:space="preserve"> at paras. 78-80.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McBurney v. Levesque, [2019] B.C.J. No. 2112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M196226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1897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Sebastian McBurney, Plaintiff, and Alison Levesque,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jc w:val="both"/>
        <w:rPr>
          <w:rFonts w:ascii="arial" w:eastAsia="arial" w:hAnsi="arial" w:cs="arial"/>
          <w:sz w:val="20"/>
          <w:lang w:val="en-US" w:eastAsia="en-US" w:bidi="ar-SA"/>
        </w:rPr>
      </w:pPr>
      <w:bookmarkStart w:id="129" w:name="Counsel_34"/>
      <w:bookmarkEnd w:id="1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Neil Mulholland, Sepideh Alimirzaee.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Sandy Bisla, Serf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34"/>
      <w:bookmarkEnd w:id="130"/>
      <w:r>
        <w:pict>
          <v:line id="_x0000_s1147"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E.M. BURKE J."/>
            <w:bookmarkEnd w:id="131"/>
            <w:r>
              <w:rPr>
                <w:rFonts w:ascii="arial" w:eastAsia="arial" w:hAnsi="arial" w:cs="arial"/>
                <w:b/>
                <w:color w:val="000000"/>
                <w:sz w:val="30"/>
                <w:lang w:val="en-US" w:eastAsia="en-US" w:bidi="ar-SA"/>
              </w:rPr>
              <w:t>E.M. BURKE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evening of April 5, 2016, Mr. Richard Sebastian McBurney ("Mr. McBurney") was involved in a motor vehicle accident. Mr. McBurney, 23 years old, was alone in his 2002 Mazda and proceeding northbound in the right lane on 152 Street near Fraser Highway in Surrey, British Columbia. As he approached the entrance to a shopping centre, the defendant Alison Levesque made a left turn across his path, striking him on the driver side door and pushing his vehicle up onto the curb into a bus bench in front of a Dairy Queen. Mr. McBurney recalls striking the left side of his head on the inside of his vehicle. He said he was stunned and in an altered state of consciousness for a few minutes as a result. The accident caused the write-off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third party, Insurance Corporation of British Columbia does not admit liability for the accident. It also says, while Mr. McBurney may have sustained some soft tissue injuries to his neck and upper back due to the accident, Mr. McBurney did not sustain a concussion. It maintains a range of damages from $15,000 to $25,000 is therefore appropriate. It says this should be reduced by 10-15 percent as it alleges Mr. McBurney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in this matter are:</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for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Mr. McBurney suffered in the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of non-pecuniary damages for pain and suffering?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past loss of income?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McBurney was a physically healthy 23-year-old employed full-time as a labourer by Surrey Meat Packers in Cloverdale, British Columbia. He lived in the family home and enjoyed an active social and recreational life. He was and continues to be involved in a committed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accident, Mr. McBurney regularly spent time drawing and painting, seeing movies and socializing with a group of friends. That socializing included going to pubs, and meeting at friends'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McBurney's job at Surrey Meat Packers, which produces pet food, was physically demanding. It required the sawing of certain meat products along with the lifting and regular movement of 50-pound boxes throughout the day. During that work day, Mr. McBurney would spend approximately one hour in the freezer and some time in the cooler.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living in the family home, Mr. McBurney had regular household responsibilities. This included laundry, doing the dishes, vacuuming, tidying up. When the family dog was alive, he took care of the dog including regularly walking dog. As he lived in the basement of the home, Mr. McBurney also brought up stores from the basement to other parts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McBurney described his emotional health before the motor vehicle accident as good. He was "the steady one". His brother died of cancer at a young age. While the family went through that difficult circumstance, a doctor at Canuck Place told Mr. McBurney he had a good grasp of the situation and was "the level-headed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Mr. McBurney was driving towards a shopping centre northbound on 152nd Street. He had passed the intersection with Fraser Highway and approached the entrance to the shopping centre. Traffic lights controlled the intersection. At the time Mr. McBurney proceeded northbound, the traffic light was a solid green and remained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McBurney noticed an SUV positioned to turn left into the shopping centre with a white vehicle behind it. Mr. McBurney was proceeding with the right of way when he noticed the white vehicle start to proceed east into his path. It hit his vehicle, pushing his vehicle onto the curb which destroyed a bus bench. Mr. McBurney's vehicle sheared the bus bench from its base and landed 5 feet away in front of the Dairy Queen. Mr. McBurney said he was glad his vehicle did not end up in the Dairy Queen, as it was full of people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IMPACT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McBurney recalled hitting his head on the left side of the vehicle and was dazed and stunned. After ascertaining he was okay, Mr. McBurney called family members to let them know he just had a motor vehicle accident. By chance, Michael Marusyk, Mr. McBurney's cousin, witnessed the accident, as he was driving 5 to 6 cars behind the Defendant's white car. Mr. Marusyk immediately went to the accident scene. Mr. McBurney's aunt arrived shortly after as she was also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McBurney said he felt dazed at the accident scene; dizzy and a bit foggy. His memories of the motor vehicle accident are fragmented. After first responders examined him, he checked on the others involved in the car accident. They seemed shook up but were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Michael Marusyk corroborated this description of events and the scene of the accident. Mr. Marusyk had just left a mall from work and was southbound in the left lane of 152 on his way home. He heard a loud bang and immediately thought that there must be a collision. He observed a yellow Mazda hatchback, the kind Mr. McBurney drove, spinning out. The Mazda ultimately was pushed up on the curb and hit a bus bench. Mr. Marusyk took the first left, drove around the corner, parked and walked to the scene of the accident. When he arrived, he observed his cousin dazed, confused, and in shock. Mr. McBurney's aunt, Marie Sakaki, who also attended the scene, described Mr. McBurney as visibly shaking and distraught.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McBurney's father picked up Mr. McBurney from the scene of the accident. Mr. McBurney was determined however, to complete his errand he had been undertaking and pick up a pre-ordered Blu-Ray disc at the mall. His father drove him to the mall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McBurney described his trip to the store in the mall as surreal. He said the lights were incredibly bright; he felt "out of it", dizzy, and felt like he was in a dreamlike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McBurney did not sleep well that evening. The next morning he went to work to advise that he had been in a car accident and would not be able to work that day. He felt off, had a sore neck, sore left shoulder, and felt distressed emotionally. Mr. McBurney did not, however, have any sick days to use. He was also anxious to work as soon as possible for financial reasons. He was conscious of the fact the company was a small operation that relied upon him for production. Mr. Smith, a co-worker thought Mr. McBurney had worked the morning before leaving. He was not however, definitive. The reality is that Mr. McBurney was not able to work that day due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McBurney then attended a walk-in clinic that day. The examining doctor, Dr. Nelson, advised him to take some time off work. Dr. Nelson diagnosed Mr. McBurney with soft tissue strains to the neck, upper back and left shoulder. Mr. McBurney also indicated he initially experienced frequent headaches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McBurney returned to the workplace to advise that he needed to take some time off. He had a long walk home from work, and he left tired and overheated.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McBurney suffered a fall that evening at home. I will deal with the facts associated with that fall later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McBurney returned to work approximately one week after the accident. His employer accommodated him by allowing Mr. McBurney to complete his duties at a slower pace. Mr. McBurney also did not undertake retail duties. He noted gaps in his memory with respect to filling orders and was anxious when dealing with people. He returned to this aspect of his duties one to two months after the accident. He suffered at least one migraine at work; he would find a quiet space and take an ibuprofen to deal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McBurney also initially needed assistance with the physical demands of his job. This, he was able to receive from his coworkers. Mr. McBurney indicated he was short tempered which he had previously not been. By 2018 however, he returned to his even-tempered self. Robert Smith, Mr. McBurney's co-worker at the time, corroborated this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McBurney also withdrew socially. He had difficulty reading, could not focus, and frequently had motor vehicle related nightmares two to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Shortly after the accident, in June 2016, Mr. McBurney went on a pre-planned trip to the United Kingdom with his girlfriend, Ms. Danica Reid. He described feelings of frustration, fatigue and disorganization during this trip which resulted in disappointment. He had memory lapses when visiting family members concerning previous friendships, difficulty in organizing schedules, inability to support Ms. Reid, and felt as if he was in a fog. He generally felt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Upon Mr. McBurney's return from the UK, despite assurances otherwise, his parents decided to sell the family home due to sad memories associated with the illness and death of his younger brother. Mr. McBurney was, as his father said, "blindsided by this" and became "a giant ball of stress". Mr. McBurney confirmed that he was sad and very upset at this news. He was looking for a period of respite to recover and was stressed about the move. He was irritable, had mood swings, headaches, and went for long walks during the "open houses" as he "could not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family and a co-worker corroborated these changes. Mrs. McBurney corroborated this information about his social life and his change in temperament; he was more anxious, more reserved, and his emotions triggered easily. Previously he had been calm, but he was easily short tempered for at least one year after the accident. In addition she noted that he initially had difficulty with slurring his words and was a little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Reid, as well as Mr. McBurney's aunt and cousin, Ms. Sakaki and Mr. Marusyk, agreed that the previously easygoing person had become quiet, reserved, more easily agitated, and not his usual self. This, the witnesses agreed, lasted approximately 18 months to 2 years before he returned to his old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the fall of 2017, Mr. McBurney's symptoms had significantly improved due to chiropractic treatment that he started in May 2016. Dr. Rai assessed him and Mr. McBurney attended treatment, initially three times a week. This progressed to twice a week, then once a week. Mr. McBurney now attends chiropractic treatment once every two weeks. Mr. McBurney indicates the treatment has been beneficial particularly with respect to his neck, upper back, and part of his lower back. He felt he could return to work faster and the pain in his back and shoulder, in large part, has alleviated so he could return to normal work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McBurney has felt like himself since 2018. His sleep has improved; which Mr. McBurney attributes to practising his breathing and treatment from Dr. Rai. Mr. McBurney now sleeps a full night although still gets occasional car accident related dreams. He still avoids the scene of the accident which he finds stressful. Mr. McBurney is no longer short tempered or "foggy" and is essentially back to his normal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McBurney's social life has returned to its similar level although he is somewhat less extroverted. His reading has returned to normal within the last six months. His ability to sketch and draw, something that is very important to him as he wishes to pursue art school, is also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Is the Defendant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little doubt the defendant was liable for this motor vehicle accident. Mr. McBurney was proceeding lawfully through the intersection and had the right-of-way. The defendant, Ms. Levesque, was required to yield the right-of-way to Mr. McBurney as per section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in the plaintiff's argument, Mr. McBurney was approaching the intersection closely enough to constitute an immediate hazard when the defendant initiated her left turn. She was therefore required to yield the right-of-way. Her failure to do so was negligent. There is no evidence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Liability for the collision is entirely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What are the nature, extent and duration of the injuries the plaintiff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the third party ultimately concedes that the plaintiff sustained soft tissue injuries as a result of the accident, it maintains those soft tissue injuries are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third party defendant also submits the plaintiff has not discharged his onus of establishing a causal link between the accident and the alleged mild traumatic brain injury. If there was a mild traumatic brain injury, the third party maintains that the loss of consciousness and consequent fall the next day most likely caused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noted in numerous cases the onus rests on the plaintiff to prove, on a balance of probabilities, the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occurrence of his injuries, the resulting pain and suffering, loss of enjoyment of life, and impact on his income earning capacity. The plaintiff must establish that the negligent act caused or materially contributed to the damages he sustained and prove the measure of damages (See </w:t>
      </w:r>
      <w:r>
        <w:rPr>
          <w:rFonts w:ascii="arial" w:eastAsia="arial" w:hAnsi="arial" w:cs="arial"/>
          <w:i/>
          <w:color w:val="000000"/>
          <w:sz w:val="20"/>
          <w:lang w:val="en-US" w:eastAsia="en-US" w:bidi="ar-SA"/>
        </w:rPr>
        <w:t>Jampolsky v. Shattler</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2011 BCSC 494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critical dispute between the parties is whether Mr. McBurney suffered a concussion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third party argues neither the factual evidence nor the medical evidence establishes a causal link between the accident and the mild traumatic brain injury or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will deal with the factual evidence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this point, the third party casts doubt as to whether Mr. McBurney hit his head on the inside of the vehicle as he described. It says first, the plaintiff did not need assistance exiting the vehicle. He also did not have any complaints at the accident scene, took photos of his vehicle, was functional, and admitted in cross-examination that he did not lose consciousness. The third party also pointed out Mr. McBurney's first priority was to check his vehicle for damage and to see if others involved in the accident were okay. Mr. McBurney was able to call family members and carry on conversations with family members and first responders. After the accident, he made a decision not to go to the hospital but rather continued on to a mall to pick up a Star Wars Blu-Ray movie.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recitation of events at the scene of the accident selectively ignores important evidence of the three family members who arrived at the scene. As reflected earlier, each testified that Mr. McBurney was dazed, confused, and in shock. Ms. Sakaki noted he was shaking and distraught. While the third party questioned this on the basis none of the witnesses took or recommended that Mr. McBurney go to the hospital, this alone does not cast doubt on that testimony. Rather, each asked Mr. McBurney if he was okay and once he replied yes, they did not pursue it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third party also questioned whether indeed Mr. McBurney took a few moments in the car to ascertain whether he was okay based on the fact that by the time Mr. Marusyk had driven around the block and parked, he observed Mr. McBurney standing at the scene. It would, however, at a minimum take a few minutes to drive around the block. There is no reason to doubt Mr. McBurney's evidence that he was in shock and sat in the vehicle for a few minutes to ascertain if 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does not support the picture that the third party seeks to paint of this accident and the force of the collision. That evidence includes direct testimony from witnesses as to Mr. McBurney's condition, and photographs that reflect significant damage to the vehicle in question. Furthermore, there was no dispute that Mr. McBurney's vehicle sheared off a bus bench when the vehicle slammed into it. The evidence overall establishes a forceful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also a dispute concerning a fall Mr. McBurney suffered the day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McBurney's girlfriend, Ms. Reid, came to visit him the day after the accident. When Mr. McBurney went to answer the door, he felt a little dizzy. He got up to answer the door, said hello, and then fell backwards into a pile of shoes in a delirious state. He testified he felt everything go dark as he fell backwards. Ms. Reid then drove him to Peace Arch Hospital Emergency. During this drive, Mr. McBurney felt that he was in a delirious state. Mr. McBurney was advised by a doctor that he had suffered a minor fainting spell and should take time off work and rest. Mr. McBurney did so. He stayed home, did as little as possible, avoided screens and generally felt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Elaine McBurney, the plaintiff's stepmother, and Ms. Reid described this incident. Mrs, McBurney was in the room talking to Mr. McBurney when Ms. Reid knocked on the door. Mr. McBurney, who had been sitting on the couch, got up to answer the door. As Mrs. McBurney watched him, worried about his change in behavior since the motor vehicle accident, she noted he had a blank look on his face and appeared to be still in shock. Mrs. McBurney got up as she was concerned about his appearance -- "he did not look right". As Mr. McBurney answered the door and Ms. Reid came in, Mr. McBurney fell. Mrs. McBurney said however, that she was able to catch him. He hit his head on the bi-fold closet door in the front entrance and slid down. He appeared to lose consciousness for about 10 seconds and was disoriented when he woke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Reid described the "fall" more as a slump rather than a fall. She said Mr. McBurney did not hit his head as his head was slumped forward. His body went slack and he dropped to the ground into a pile of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Mr. and Mrs. McBurney indicated that the plaintiff had not suffered from any falls or fainting episodes in the past.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third party disputes whether Mr. McBurney suffered a concussion, as Mr. McBurney was not diagnosed with a concussion until a second visit to Peace Arch Hospital on April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now turn to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day after the accident, Mr. McBurney visited a walk-in clinic as he did not have a family doctor. Dr. Nelson examined Mr. McBurney and diagnosed him with whiplash. Dr. Nelson did not diagnose him with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McBurney said however, he told Dr. Nelson that he hit his head in the motor vehicle accident and she shone a pencil light into his eyes. Mr. McBurney said Dr. Nelson was dismissive and dealt with him as fast as possible. Dr. Nelson advised him to take 2 to 3 days off work and provided no other suggestions. Dr. Nelson's clinical records reflect that Mr. McBurney was advised to see his family doctor, despite the fact he was at the clinic because he had no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McBurney then attended at Peace Arch Hospital on April 6, 2016, the day after the motor vehicle accident, after his fall at home. Both his stepmother and girlfriend suggested he go to the hospital. After an extended wait in emergency, a doctor examined Mr. McBurney. The examining doctor advised Mr. McBurney he had likely suffered a fainting spell, which the doctor described as a vasovagal episode. He was advised to take a few days off work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McBurney was off work for about a week. He was, however, encouraged to re-attend at Peace Arch Hospital as family members remained concerned because of his behaviour after the motor vehicle accident. A cousin, who was a nurse, did not agree with the doctor's view at the April 6th visit. She urged him to be properly checked out and obtain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Mr. and Mrs. McBurney, the parents of Richard Sebastian McBurney, said they were concerned; he was not himself; something was not right. He had a fainting episode, which had never happened before and they did not think the doctors were paying attention to his symptoms. Mrs. McBurney noted the plaintiff's agitation; he was not sleeping properly, had headaches, fatigue and anxiety which he did not have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April 12, 2016, Mr. McBurney again attended at Peace Arch Hospital emergency room. While initially hesitant, he agreed to attend with his stepmother and cousin. He described his history including the accident, blow to his head, and the fall the next day. Based on that history, the emergency room doctor diagnosed Mr. McBurney with a concussion and cervical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maintaining that Mr. McBurney did not suffer a concussion at the time of the motor vehicle accident, the third party points out that two doctors, Dr. Nelson and the doctor in the first visit to Peach Arch Hospital, did not diagnose Mr. McBurney with a concussion. It was not until his third visit to a doctor, in his second visit to Peach Arch Hospital, that a busy emergency room physician diagnosed Mr. McBurney at 2:00 a.m. with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third party also points out that the expert medical reports of both Dr. Faraday and Dr. Kemble who concluded that Mr. McBurney did suffer a concussion, based their findings on the plaintiff's self-reporting and did not have the complete medical records. These included those of Dr. Nelson which did not reflect that he had a concussion. Neither expert did further investigation of their own. Both had a narrow focus and were resistant to any suggestions adverse to their respective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issue of Dr. Nelson's notes and report arose on the second day of the trial. The following is the Court's ruling made that day with respect to a letter and notes of Dr. Nelson: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second day of trial, the third party purported to serve a report of Dr. Nelson pursuant to Rule 11-6. The plaintiff objected on a number of grounds; it was very late; Dr. Nelson was on leave; she could not be found and therefore is not available for cross-examination. More importantly, the plaintiff pointed out that the report did not contain an opinion. Rather, it is a recitation of her clinical notes and the conclusion that she could not provide an opinion in this matter. The plaintiff therefore says the report will not assist the court in understanding the nature of the plaintiff's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argument that service is late was not persuasive. While the plaintiff had argued it was privileged but more importantly did not indicate an opinion, the plaintiff's counsel only recently produced the material to expedite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however, find it is in the interest of justice to allow the report as an expert report in this matter. The matter is underway and while no doubt there was very late disclosure of this report, Dr. Nelson is not available for cross-examination. She is on leave and the parties are unaware of her whereabouts. Furthermore, the "opinion" as characterized by the defendant, appears to reflect her view that she was unable to draw a conclusion and provide an opinion. It is therefore unlikely to assist the Court in understanding the nature of the plaintiff's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and most importantly, I direct that the doctor's letter and notes can be utilized for the purpose of cross-examination. Similar to clinical notes, if the witness adopts the content as true, the document can be admitted on that basis. The parties can argue about the weight of that information at the end of the day. The matter will proceed with the documents to be utilized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now turn to the expert evidence filed by the plaintiff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Faraday is a general practitioner with an interest in musculoskeletal and disability management. He examined and assessed the plaintiff on August 17, 2017. He produced his medical report on September 21, 2017. In his opinion at page 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history and assessment of Mr. McBurney and the specific facts listed, it is my opinion that he sustained injuries in the April 5, 2016 motor vehicle accident which included: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with on-going symptoms of headaches, cognitive dysfunction and sleep disruption.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to the neck, with mild on-going symptoms.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to the upper back, with on-going symptoms.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symptoms, with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Faraday noted there is no objective test to confirm the diagnosis of concussion. The diagnosis is based on history, the mechanism of injury and the patient's symptoms. Dr. Faraday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particular case, it is medically plausible that the mechanism of injury in the April 5, 2016 motor vehicle accident could result in a concussion, due to the forces transmitted to the head in a side-impact collision where he struck his head on the car door/frame.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Faraday also noted that Mr. McBurney was diagnosed with a concussion by an emergency physician and had symptoms of headaches, poor memory, difficulty with multi-tasking, and sleep disruption. These, he noted, are consistent with post-concussive effects in the context of the mechanism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Dr. Faraday did not have the clinical notes of Dr. Nelson at the time of his original opinion, he was cross-examined extensively on the clinical notes and report of Dr. Nelson. He indicated these would not change his opinion. Importantly, when cross-examined as to whether the fall subsequent to the motor vehicle accident could have produced these symptoms, Dr. Faraday was very clear that the force of impact was important. In his view, the force of the impact from a motor vehicle accident where the vehicle had been pushed up onto the sidewalk was much more significant than a fall cushioned by shoes and partially stopped by someone catching Mr. McBurney. He did, however, agree that some of the symptoms post October/November, 2016 might have been caused by a mental health condition as diagnosed by Dr. Anthony.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as to why Mr. McBurney was not diagnosed with a concussion by Dr. Nelson on April 5 or on his first trip to emergency at Peace Arch Hospital on April 6, 2016, Dr. Faraday noted that it would depend on what the patient reports and what the doctor focusses on. In addition, a patient may have more persistent symptoms later; which the patient then brings to the attention of the doctor. Lingering symptoms of concern then become more important. Dr. Faraday was also clear; no doctor would simply accept a patient's report that they have a concussion. Rather, a doctor would examine the patient and make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Kemble, a neurologist, examined Mr. McBurney on October 19, 2017 and produced a report on October 20, 2017. In that report, he concluded his neurological assessment of Mr. McBurney as normal. He noted that Mr. McBurney described mood swings, apathy, depression and episodic difficulty with concentration and slow thought processes, which he had not had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Kemble noted that the significance of a minor close traumatic brain injury is assessed by loss of consciousness, amnesia, and an acute cognitive impairment at the time of the brain injury. Mr. McBurney therefore fulfills one of these three criteria with an altered state of consciousness. This altered state of consciousness, Dr. Kemble noted, is reflected by Mr. McBurney's description of walking in the shopping mall where he could not get his thoughts together and his thoughts were fragmented. Dr. Kemble indicated that he would expect recovery to start developing within three to six months and fully resolve within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Kemble concluded that it is probable that Mr. McBurney's mood swings, apathy, depression, episodic difficulty in concentration, and thought processes have all been caused by the minor close traumatic brain injury. He was of the view that the symptoms would probably fully and completely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cross-examined as to why Dr. Nelson did not diagnose a concussion, he noted the significant time pressure on family physicians, who are therefore unable to take a thorough history from the patient and do not ask the right questions. He was also of the view that family physicians are not qualified to diagnose concussions.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third party argued that any development of mood swings and any cognitive problems were a result of the loss of consciousness in the consequent fall, the stress of travel, and Mr. McBurney's inability to properly cope with the sale and move from his childhood home. In making this argument, the third party relies on the report of Dr. Anthony.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Plaintiff counsel retained Dr. Anthony, a psychologist, to conduct an independent medical examination. The third party, however, called Dr. Anthony as a witness. Dr. Anthony assessed Mr. McBurney on October 25, 2017, and delivered his report on November 25, 2017. He did not find any cognitive impairments and believed that Mr. McBurney had an adjustment disorder. This is not related to the accident but rather to the sale of the family home and relocation to the Fraser Valley subsequent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as noted by the plaintiff, Dr. Anthony links the plaintiff's anxiety and mood issues to the sale of the family home in the fall of 2016 and the associated memories of his late brother, Dr. Anthony deferred in cross-examination to the opinions of Doctors Faraday and Kemble regarding the diagnosis of concussion/mild traumatic brain injury and their opinions regarding the causation of the plaintiff's reported symptoms. Furthermore, as argued by the plaintiff, the concussion created vulnerabilities affecting his overall ability to function and deal with stress, which was greatly reduced because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third party references a period noted in the Abbotsford Regional Hospital records where the plaintiff indicates he was free from some of these symptoms. While there may be a period of time where Mr. McBurney was not suffering from some of the symptoms, this does not detract from the fact that, much of the time, he did suffer from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Ultimately, I conclude that the defendant is liable for the accident including the resulting concussion or mild traumatic brain injury. I conclude that the plaintiff suffered a concussion at the time of the motor vehicle accident based on the description of the accident, and the medical evidence set out above supporting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accept the evidence of Dr. Kemble and Dr. Faraday who have experience in this area. Dr. Anthony was clear in cross-examination that he deferred to their opinions regarding both the issue of concussion and causation. As noted by Dr. Faraday, the force of a motor vehicle accident in which the vehicle shears off a bench, would be much more significant than a fall which is broken by someone catching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I note that Mr. McBurney had soft tissue injuries to his neck and upper back, along with headaches, dizziness, fatigue, disrupted sleep, and difficulty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What is the appropriate award for non-pecuniary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principles for an award of non-pecuniary damages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In that case, the Court of Appeal outlined a number of factors to consider including age, nature of injury, severity and duration of pain, impairment of life, impairment of family and social relationships, and impairment of physical and mental abilities, amongst others. The Court of Appeal also noted that the plaintiff's stoicism should not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Prior to the accident, Mr. McBurney was a healthy 23-year-old who enjoyed an active social life with a small core group of friends. He worked at Surrey Meat Packers and had not sought any medical treatment while working in a position with regular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Immediately after the accident, Mr. McBurney suffered sleep issues, headaches, and fatigue and became withdrawn and irritable. This impacted significantly on his social life and, in particular, on a previously planned trip to the United Kingdom in 2016. Mr. McBurney and his girlfriend, Ms. Reid, both confirmed this in their testimony. His co-worker also described Mr. McBurney as "jovial" and easy-going prior to the accident. He became withdrawn afterwards and worked at a slower pace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By all accounts, the plaintiff returned to his normal self around the summer of 2018. By this time, he had suffered through the described symptoms and loss of enjoyment of life for between eighteen months and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agree that the cases of </w:t>
      </w:r>
      <w:r>
        <w:rPr>
          <w:rFonts w:ascii="arial" w:eastAsia="arial" w:hAnsi="arial" w:cs="arial"/>
          <w:i/>
          <w:color w:val="000000"/>
          <w:sz w:val="20"/>
          <w:lang w:val="en-US" w:eastAsia="en-US" w:bidi="ar-SA"/>
        </w:rPr>
        <w:t>Barta v. DaSilva</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2014 BCSC 2113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Boysen-Barstow v. ICBC</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2015 BCSC 1740</w:t>
        </w:r>
      </w:hyperlink>
      <w:r>
        <w:rPr>
          <w:rFonts w:ascii="arial" w:eastAsia="arial" w:hAnsi="arial" w:cs="arial"/>
          <w:color w:val="000000"/>
          <w:sz w:val="20"/>
          <w:lang w:val="en-US" w:eastAsia="en-US" w:bidi="ar-SA"/>
        </w:rPr>
        <w:t xml:space="preserve"> are of assistance in assessing damages. I conclude however that the appropriate range of nonpecuniary damages is $50,000. The plaintiff's symptoms, which affected his enjoyment of life, persisted for between eighteen months and two years but are now largely resolved and are not as impactful as previously to justify a larger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do not agree that the plaintiff did not take all reasonable steps to reduce his damages. The onus to prove a failure to mitigate is on the third party (see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The third party has not put forward any argument as to how the plaintiff would be any better off if he had followed any specific recommendations and is unable to establish that the plaintiff acted unreasonably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What is the appropriate award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award two weeks for past loss of income. The Plaintiff was required to take a week off work due to his injuries. As the plaintiff noted, in the pay period following the accident Mr. McBurney's gross earnings dropped to $561.00. This corroborates his testimony that he took approximately one week off work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also agree that the week of November 14, 2016, which Mr. McBurney took off when his anxiety was aggravated following the family's move to Chilliwack, should be covered. As noted, the plaintiff's injuries, including the concussion from the motor vehicle accident, created the vulnerability for anxiety and inability to deal with the sale of the house and the move resulting in his visit to the emergency room at Abbotsford Hospital on November 14, 2016. Mr. McBurney's income declined to $624.00 during the pay period ending November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calculated that Mr. McBurney's total gross income loss is the combination of $692.64 and $630.24 for a gross total of $1,322.88. Due to Mr. McBurney's level of earnings, the net income loss is estimated to be 90% of the gross, which is, approximately $1,190.00. I agree and award $1,190.00 for net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What is the appropriate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dispute between the parties is whether the court should order the chiropractic treatments to be covered. The third party points out as per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claims for special damages are subject to the standard of reasonableness but where a claimed expense is incurred in relation to treatment aimed at promoting the plaintiff's physical or mental well-being, evidence of medical justification for the expense is a factor in determining reasonableness. The third party says there was no medical recommendation to undertake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McBurney however confirmed that the chiropractic treatment was beneficial for him. It helped alleviate his symptoms and allowed him to take minimal time off work. On balance, I conclude that these expenses are reasonable for that very reason. Furthermore, clinical notes of Dr. Nelson, once she became aware that Mr. McBurney was pursuing chiropractic treatment, indicated he should continue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submitted records supporting his claim of $6,184.00 for 120 chiropractic treatments since the motor vehicle accident. At the end of the day, treatment that assists in resolving the complaints arising as a result of an accident should certainly be considered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award special damages of $6,184.00.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inclined to award costs and disbursements at scale B, subject to any further submissions on costs. While I am cognizant a claim for special costs arose at the end of the trial, I leave it to the parties to resolve and decide the wisdom of pursuing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summary, I have awarded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Non-Pecuniary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Loss of Income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$1,190.00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Special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$6,184.00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$57,374.00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McColl v. Thompson, [2015] B.C.J. No. 1243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A.J. Beames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24-25, 2015.</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28,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S149677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1243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1034</w:t>
      </w:r>
    </w:p>
    <w:p>
      <w:pPr>
        <w:spacing w:before="120" w:line="260" w:lineRule="atLeast"/>
        <w:rPr>
          <w:lang w:val="en-US" w:eastAsia="en-US" w:bidi="ar-SA"/>
        </w:rPr>
      </w:pPr>
      <w:r>
        <w:rPr>
          <w:rFonts w:ascii="arial" w:eastAsia="arial" w:hAnsi="arial" w:cs="arial"/>
          <w:color w:val="000000"/>
          <w:sz w:val="20"/>
          <w:lang w:val="en-US" w:eastAsia="en-US" w:bidi="ar-SA"/>
        </w:rPr>
        <w:t>Between Darryl McColl and JCI Holdings Ltd., Plaintiffs, And David A. Thompson, Colony Management Inc., Colony Buildings International Inc., Colony Enterprises Inc., Colony Buildings Group Corporation, Colony Alliance Corporation, Colony Construction Corporation, Colony Buildings Corporation and Jesse Atkinson, Defendants, and Jonathan D. Tweedale, Jonathan D. Tweedale Law Corporation and McLean &amp; Armstrong LLP, Defendants by way of Counterclaim</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jc w:val="both"/>
        <w:rPr>
          <w:lang w:val="en-US" w:eastAsia="en-US" w:bidi="ar-SA"/>
        </w:rPr>
      </w:pPr>
      <w:bookmarkStart w:id="132" w:name="Counsel_35"/>
      <w:bookmarkEnd w:id="1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9" style="position:absolute;z-index:2517022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all Defendants, except J. Atkinson: T.A. Kowalchuk, A.A. Alibhai, S.G. Fitzpatrick.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by way of Counterclaim: J.J.L. Hunter, Q.C., K.E., Webber.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other appearances.</w:t>
      </w:r>
      <w:r>
        <w:rPr>
          <w:lang w:val="en-US" w:eastAsia="en-US" w:bidi="ar-SA"/>
        </w:rPr>
        <w:cr/>
      </w:r>
    </w:p>
    <w:p>
      <w:pPr>
        <w:spacing w:after="240"/>
        <w:rPr>
          <w:lang w:val="en-US" w:eastAsia="en-US" w:bidi="ar-SA"/>
        </w:rPr>
      </w:pPr>
      <w:bookmarkStart w:id="133" w:name="Judgment_35"/>
      <w:bookmarkEnd w:id="133"/>
      <w:r>
        <w:pict>
          <v:line id="_x0000_s1150" style="position:absolute;z-index:2517534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4" w:name="A.J. BEAMES J. (orally)"/>
            <w:bookmarkEnd w:id="134"/>
            <w:r>
              <w:rPr>
                <w:rFonts w:ascii="arial" w:eastAsia="arial" w:hAnsi="arial" w:cs="arial"/>
                <w:b/>
                <w:color w:val="000000"/>
                <w:sz w:val="30"/>
                <w:lang w:val="en-US" w:eastAsia="en-US" w:bidi="ar-SA"/>
              </w:rPr>
              <w:t>A.J. BEAMES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by counterclaim, Jonathan Tweedale, his law corporation, and the law firm where he practices, McLean &amp; Armstrong LLP, apply pursuant to Rule 9-5 for an order striking out the counterclaim as against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and in very summary fashion: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pleadings allege that the personal plaintiff, Darryl McColl, and the defendant David Thompson, negotiated over several months for the personal plaintiff to acquire part or all of Mr. Thompson's company ("the corporate defendants"). In the course of the negotiations Mr. McColl obtained confidential information about the defendant's companies. Some of that information related to legal disputes the defendants were involved in, two companies that I will refer to as "PR" and "SSE". PR and SSE are represented by Mr. Tweedale in those disputes.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negotiations between Mr. McColl and Mr. Thompson broke down in the fall of 2014. Mr. McColl retained Mr. Tweedale and his law firms to take action against the defendants, and on December 12, 2014 the notice of civil claim in this action was filed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fraudulent misrepresentation, conspiracy, passing off and breach of confidence.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28, 2015, the defendants, other than Mr. Atkinson, filed a response and filed the counterclaim in issue. The counterclaim names, in addition to Mr. Tweedale and his law corporation and law firm, the plaintiffs, as defendants by counterclaim.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counterclaim as against Mr. Tweedale, his law corporation and his firm, allege that they have received confidential information from the plaintiffs about the defendants, and that they have or will misuse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asserted by the defendants that indeed Mr. Tweedale deliberately and needlessly pled details of the defendants' confidential information for the purpose of conveying that information to PR, which amounts, the defendants say, to an abuse of process. It is also alleged that Tweedale owed a duty of confidentiality and a duty to avoid conflict to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9-5(1)(a) provides that a pleading may be struck out or amended in whole or in part where it discloses no reasonable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9-5(2) provides that on an application under Rule 9-5(1)(a) no evidence is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facts pled are taken as true: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paras. 32-34. However, assumptions and speculation contained in a pleading are not required to be taken as true. It must be plain and obvious that a pleading discloses no reasonable cause of action before it is struck: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972. "The court must ask whether there is a reasonable prospect that the claim will succeed. The approach must be generous and err on the side of permitting a novel but arguable claim to proceed to trial.":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deal first with the submissions with respect to the communication of confidential information by the plaintiffs to Mr. Tweedale and his use of it, including incorporating the notice of civil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Obviously any client with any confidential information from another party with whom litigation is about to commence must be able to convey that confidential information to his or her lawyer of choice, and that lawyer must be able to receive it and use it in the litigation without fear of suit by the opposing party whose information it was. To conclude otherwise would be to put at risk any lawyer who ever received another parties' confidential information from a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Further, in my view, the doctrine of absolute immunity applies in this case. In </w:t>
      </w:r>
      <w:r>
        <w:rPr>
          <w:rFonts w:ascii="arial" w:eastAsia="arial" w:hAnsi="arial" w:cs="arial"/>
          <w:i/>
          <w:color w:val="000000"/>
          <w:sz w:val="20"/>
          <w:lang w:val="en-US" w:eastAsia="en-US" w:bidi="ar-SA"/>
        </w:rPr>
        <w:t>Goldberg v. Law Society of British Columbia</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2009 BCCA 147</w:t>
        </w:r>
      </w:hyperlink>
      <w:r>
        <w:rPr>
          <w:rFonts w:ascii="arial" w:eastAsia="arial" w:hAnsi="arial" w:cs="arial"/>
          <w:color w:val="000000"/>
          <w:sz w:val="20"/>
          <w:lang w:val="en-US" w:eastAsia="en-US" w:bidi="ar-SA"/>
        </w:rPr>
        <w:t xml:space="preserve"> at paras. 50-51, the Court of Appeal agreed with the New Brunswick Court of Appeal in </w:t>
      </w:r>
      <w:r>
        <w:rPr>
          <w:rFonts w:ascii="arial" w:eastAsia="arial" w:hAnsi="arial" w:cs="arial"/>
          <w:i/>
          <w:color w:val="000000"/>
          <w:sz w:val="20"/>
          <w:lang w:val="en-US" w:eastAsia="en-US" w:bidi="ar-SA"/>
        </w:rPr>
        <w:t>Penney v. New Brunswick Association of Social Workers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2002 NBCA 28</w:t>
        </w:r>
      </w:hyperlink>
      <w:r>
        <w:rPr>
          <w:rFonts w:ascii="arial" w:eastAsia="arial" w:hAnsi="arial" w:cs="arial"/>
          <w:color w:val="000000"/>
          <w:sz w:val="20"/>
          <w:lang w:val="en-US" w:eastAsia="en-US" w:bidi="ar-SA"/>
        </w:rPr>
        <w:t xml:space="preserve"> which quoted from other decisions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[24] ... In </w:t>
      </w:r>
      <w:r>
        <w:rPr>
          <w:rFonts w:ascii="arial" w:eastAsia="arial" w:hAnsi="arial" w:cs="arial"/>
          <w:i/>
          <w:color w:val="000000"/>
          <w:sz w:val="20"/>
          <w:lang w:val="en-US" w:eastAsia="en-US" w:bidi="ar-SA"/>
        </w:rPr>
        <w:t>Dooley</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[1994] O.J. No. 2328</w:t>
        </w:r>
      </w:hyperlink>
      <w:r>
        <w:rPr>
          <w:rFonts w:ascii="arial" w:eastAsia="arial" w:hAnsi="arial" w:cs="arial"/>
          <w:color w:val="000000"/>
          <w:sz w:val="20"/>
          <w:lang w:val="en-US" w:eastAsia="en-US" w:bidi="ar-SA"/>
        </w:rPr>
        <w:t xml:space="preserve"> the doctrine of absolute privilege is aptly described at p. 753:</w:t>
      </w:r>
    </w:p>
    <w:p>
      <w:pPr>
        <w:spacing w:before="120" w:line="260" w:lineRule="atLeast"/>
        <w:ind w:left="1080"/>
        <w:rPr>
          <w:lang w:val="en-US" w:eastAsia="en-US" w:bidi="ar-SA"/>
        </w:rPr>
      </w:pPr>
      <w:r>
        <w:rPr>
          <w:rFonts w:ascii="arial" w:eastAsia="arial" w:hAnsi="arial" w:cs="arial"/>
          <w:color w:val="000000"/>
          <w:sz w:val="20"/>
          <w:lang w:val="en-US" w:eastAsia="en-US" w:bidi="ar-SA"/>
        </w:rPr>
        <w:t>... [A]n absolute privilege attaches to the pleadings and they may not form the basis for a cause of action, even for abuse of process. The development of this privilege has been consistent and without exception, applying in England, Canada and other common law jurisdictions to judges, witnesses, counsel and litigants. The privilege extends to statements made in court, the evidence of witnesses, to submissions, to addresses, to statements [made] in court by counsel, to pleadings ...</w:t>
      </w:r>
    </w:p>
    <w:p>
      <w:pPr>
        <w:spacing w:before="120" w:line="260" w:lineRule="atLeast"/>
        <w:ind w:left="1080"/>
        <w:rPr>
          <w:lang w:val="en-US" w:eastAsia="en-US" w:bidi="ar-SA"/>
        </w:rPr>
      </w:pPr>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[33] In my opinion, the policy considerations underlying the immunity rule were developed to prevent legal actions for damages and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other damages, however framed.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I have indicated, I am satisfied that the document of absolute immunity, sometimes called absolute privilege, applies here. Mr. Tweedale does not have to answer to the defendants or defend what he does while acting for his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regard to the allegations in the counterclaim that Mr. Tweedale owes duties of confidentiality or duties to avoid conflicts of interest to the defendants, and that he has breached the same, the defendants have provided no case authorities to support the proposition that a lawyer owes duties, actionable duties, to an opposing party in litigation. All of the authorities provided deal with instances in which an opposing party is seeking to have a lawyer disqualified from acting, which type of application is open to, but has yet to be pursued by, the defendants in this case, or are cases within which the relationship between the lawyer and the opposing party is one of lawyer and near client, or lawyer and former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Madam Justice Wedge said in </w:t>
      </w:r>
      <w:r>
        <w:rPr>
          <w:rFonts w:ascii="arial" w:eastAsia="arial" w:hAnsi="arial" w:cs="arial"/>
          <w:i/>
          <w:color w:val="000000"/>
          <w:sz w:val="20"/>
          <w:lang w:val="en-US" w:eastAsia="en-US" w:bidi="ar-SA"/>
        </w:rPr>
        <w:t>Lawrence v. Sandilands</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[79] While a solicitor may owe an ethical duty to the court to be candid and fair, the only party to whom a solicitor owes an actionable duty is his or her client.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Neil</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2002 SCC 70</w:t>
        </w:r>
      </w:hyperlink>
      <w:r>
        <w:rPr>
          <w:rFonts w:ascii="arial" w:eastAsia="arial" w:hAnsi="arial" w:cs="arial"/>
          <w:color w:val="000000"/>
          <w:sz w:val="20"/>
          <w:lang w:val="en-US" w:eastAsia="en-US" w:bidi="ar-SA"/>
        </w:rPr>
        <w:t>, Mr. Justice Binnie, writing for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12 ... the defining principle -- the duty of loyalty -- is with us still. It endures because it is essential to the integrity of the administration of justice and it is of high public importance that public confidence in that integrity be maintained ... Unless a litigant is assured of the undivided loyalty of the lawyer, neither the public nor the litigant will have confidence that the legal system, which may appear to them to be a hostile and hideously complicated environment, is a reliable and trustworthy means of resolving their disputes and controversies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13 The value of an independent bar is diminished unless the lawyer is free from conflicting interests. Loyalty, in that sense, promotes effective representation, on which the problem-solving capability of an adversarial system rests. Other objectives, I think, can be related to the first. For example, in </w:t>
      </w:r>
      <w:r>
        <w:rPr>
          <w:rFonts w:ascii="arial" w:eastAsia="arial" w:hAnsi="arial" w:cs="arial"/>
          <w:i/>
          <w:color w:val="000000"/>
          <w:sz w:val="20"/>
          <w:lang w:val="en-US" w:eastAsia="en-US" w:bidi="ar-SA"/>
        </w:rPr>
        <w:t xml:space="preserve">MacDonald Estate, </w:t>
      </w:r>
      <w:hyperlink r:id="rId741"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Sopinka J. Speaks of the "countervailing value that a litigant should not be deprived of his or her choice of counsel without good cause"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15 ... Yet it is important to link the duty of loyalty to the policies it is intended to further. An unnecessary expansion of the duty may be as inimical to the proper functioning of the legal system as would its attenuation. The issue always is to determine what rules are sensible and necessary and how best to achieve an appropriate balance among the competing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counterclaim in this case discloses no reasonable cause of action against Mr. Tweedale, his law corporation, or the law firm where he practices. Mr. Tweedale owes no actionable duty to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Given the intertwining of the allegations against Mr. Tweedale, and the allegations against the plaintiffs contained in the counterclaim, I order that the counterclaim be struck with leave to the defendants to refile as against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unable to conclude that the defendants filed a counterclaim as against Mr. Tweedale, his law corporation and his firm for an improper purpose. And therefore I will order that Mr. Thompson and the Colony defendants pay one set of taxable costs on Scale B to Mr. Tweedale, the law corporation and the firm.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A.J. BEAMES J.</w:t>
      </w:r>
      <w:r>
        <w:rPr>
          <w:lang w:val="en-US" w:eastAsia="en-US" w:bidi="ar-SA"/>
        </w:rPr>
        <w:cr/>
      </w:r>
    </w:p>
    <w:p>
      <w:pPr>
        <w:spacing w:line="260" w:lineRule="atLeast"/>
        <w:ind w:left="2520"/>
        <w:rPr>
          <w:lang w:val="en-US" w:eastAsia="en-US" w:bidi="ar-SA"/>
        </w:rPr>
      </w:pPr>
      <w:r>
        <w:rPr>
          <w:rFonts w:ascii="arial" w:eastAsia="arial" w:hAnsi="arial" w:cs="arial"/>
          <w:color w:val="000000"/>
          <w:sz w:val="20"/>
          <w:lang w:val="en-US" w:eastAsia="en-US" w:bidi="ar-SA"/>
        </w:rPr>
        <w:t>* * *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Corrected Judgment: The text of the judgment was corrected at paragraph 15 on June 9, 2015</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McGowan v. Forster, [2019] B.C.J. No. 1829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S182937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1647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B.C.L.R. (6th)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2856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Tydel McGowan, Petitioner, and James M. Forster and Steven Lee Doane also know as Steven L. Doane,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135" w:name="Case Summary_6"/>
            <w:bookmarkEnd w:id="135"/>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judicial review from an order of the Workers' Compensation Appeal Tribunal, dated June 27, 2016 (WCAT Decision No. A1603218).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Counsel_36"/>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E.P.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O.L.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Workers' Compensation Appeal Tribunal: M. Bennett.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36"/>
      <w:bookmarkEnd w:id="137"/>
      <w:r>
        <w:pict>
          <v:line id="_x0000_s1154"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F.V. MARZARI J._0"/>
            <w:bookmarkEnd w:id="138"/>
            <w:r>
              <w:rPr>
                <w:rFonts w:ascii="arial" w:eastAsia="arial" w:hAnsi="arial" w:cs="arial"/>
                <w:b/>
                <w:color w:val="000000"/>
                <w:sz w:val="30"/>
                <w:lang w:val="en-US" w:eastAsia="en-US" w:bidi="ar-SA"/>
              </w:rPr>
              <w:t>F.V. MARZARI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Ms. McGowan for judicial review of a decision of the Workers' Compensation Appeal Tribunal that Ms. McGowan's injuries in a motor vehicle accident arose out of and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McGowan was in a motor vehicle accident that took place on June 30, 2011 in Surrey, BC. At the time of the accident, Ms. McGowan was not working, though she was anticipating full-time employment as a care worker. Ms. McGowan commenced an action with respect to the accident, and the defendants in that action, who are also respondents in this judicial review, admitted liability. The matter was set to proceed to trial on damages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Less than one month before trial, the defendants obtained an adjournment to refer the question of whether the accident arose out of and in the course of Ms. McGowan's employment to the Tribunal. The defendants then made the referral application to the Tribunal in early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June 2016, almost two years after the application was made, the Tribunal determined that Ms. McGowan's injuries in the motor vehicle accident arose out of and in the course of her employment, thereby providing the defendants with a complete defence to tort liability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McGowan argues that the Tribunal's decision was patently unreasonable in the face of her unemployment at the time of the accident. She asks that the Tribunal decision be quashed and seeks a declaration that the accident did not arise out of and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 standard of review for finding that a decision of the Tribunal interpreting and applying its home statute is patent unreasonableness, and it is and should be exceedingly rare that such a decision would be overturned on this standard, I find that this is such a case. I find that the Tribunal's decision was manifestly and patently unreasonable, and must be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LEGISLATIVE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benefits to workers who are disabled because of an injury arising out of and in the course of their employment. The benefits provided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funded by employers in the province. In exchange, employers gain freedom from actions for damages arising from work-related injuries, which are barred pursuant to s.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This has become known as the "historic trade-off" or "historic compromise". The Supreme Court of Canada has noted that this historic trade-off is necessary to the effective operation of the Worker's Compensation scheme: </w:t>
      </w:r>
      <w:r>
        <w:rPr>
          <w:rFonts w:ascii="arial" w:eastAsia="arial" w:hAnsi="arial" w:cs="arial"/>
          <w:i/>
          <w:color w:val="000000"/>
          <w:sz w:val="20"/>
          <w:lang w:val="en-US" w:eastAsia="en-US" w:bidi="ar-SA"/>
        </w:rPr>
        <w:t>Pasiechnyk v. Saskatchewan (Workers' Compensation Board)</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[1997] 2 S.C.R. 890</w:t>
        </w:r>
      </w:hyperlink>
      <w:r>
        <w:rPr>
          <w:rFonts w:ascii="arial" w:eastAsia="arial" w:hAnsi="arial" w:cs="arial"/>
          <w:color w:val="000000"/>
          <w:sz w:val="20"/>
          <w:lang w:val="en-US" w:eastAsia="en-US" w:bidi="ar-SA"/>
        </w:rPr>
        <w:t xml:space="preserve"> at paras. 24-27.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Tribunal's primary function within this scheme is to hear and decide appeals from decisions of the Worker's Compensation Board (the "Board"). However, it also has the exclusive jurisdiction to certify facts in actions where the s. 10 bar might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complete statutory bar to any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cause of action) where an employer or a worker causes an injury that "arose out of and in the course of employment." Section 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uses the same language for the purposes of determining coverage to a worker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This is therefore a key phrase determining the scope and limits of the workers' compensation scheme in British Columbia and the extent of the statutory bar to recovery for tort liability in the courts. The relevant provisions and definitions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employer</w:t>
      </w:r>
      <w:r>
        <w:rPr>
          <w:rFonts w:ascii="arial" w:eastAsia="arial" w:hAnsi="arial" w:cs="arial"/>
          <w:color w:val="000000"/>
          <w:sz w:val="20"/>
          <w:lang w:val="en-US" w:eastAsia="en-US" w:bidi="ar-SA"/>
        </w:rPr>
        <w:t xml:space="preserve">" includes every person </w:t>
      </w:r>
      <w:r>
        <w:rPr>
          <w:rFonts w:ascii="arial" w:eastAsia="arial" w:hAnsi="arial" w:cs="arial"/>
          <w:color w:val="000000"/>
          <w:sz w:val="20"/>
          <w:u w:val="single"/>
          <w:lang w:val="en-US" w:eastAsia="en-US" w:bidi="ar-SA"/>
        </w:rPr>
        <w:t>having in their service under a contract of hiring or apprenticeship</w:t>
      </w:r>
      <w:r>
        <w:rPr>
          <w:rFonts w:ascii="arial" w:eastAsia="arial" w:hAnsi="arial" w:cs="arial"/>
          <w:color w:val="000000"/>
          <w:sz w:val="20"/>
          <w:lang w:val="en-US" w:eastAsia="en-US" w:bidi="ar-SA"/>
        </w:rPr>
        <w:t xml:space="preserve">, written or oral, express or implied, </w:t>
      </w:r>
      <w:r>
        <w:rPr>
          <w:rFonts w:ascii="arial" w:eastAsia="arial" w:hAnsi="arial" w:cs="arial"/>
          <w:color w:val="000000"/>
          <w:sz w:val="20"/>
          <w:u w:val="single"/>
          <w:lang w:val="en-US" w:eastAsia="en-US" w:bidi="ar-SA"/>
        </w:rPr>
        <w:t>a person engaged in work</w:t>
      </w:r>
      <w:r>
        <w:rPr>
          <w:rFonts w:ascii="arial" w:eastAsia="arial" w:hAnsi="arial" w:cs="arial"/>
          <w:color w:val="000000"/>
          <w:sz w:val="20"/>
          <w:lang w:val="en-US" w:eastAsia="en-US" w:bidi="ar-SA"/>
        </w:rPr>
        <w:t xml:space="preserve"> in or about an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worker</w:t>
      </w:r>
      <w:r>
        <w:rPr>
          <w:rFonts w:ascii="arial" w:eastAsia="arial" w:hAnsi="arial" w:cs="arial"/>
          <w:color w:val="000000"/>
          <w:sz w:val="20"/>
          <w:lang w:val="en-US" w:eastAsia="en-US" w:bidi="ar-SA"/>
        </w:rPr>
        <w:t>" includes</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w:t>
      </w:r>
      <w:r>
        <w:rPr>
          <w:rFonts w:ascii="arial" w:eastAsia="arial" w:hAnsi="arial" w:cs="arial"/>
          <w:color w:val="000000"/>
          <w:sz w:val="20"/>
          <w:u w:val="single"/>
          <w:lang w:val="en-US" w:eastAsia="en-US" w:bidi="ar-SA"/>
        </w:rPr>
        <w:t>who has entered into or works under a contract of service</w:t>
      </w:r>
      <w:r>
        <w:rPr>
          <w:rFonts w:ascii="arial" w:eastAsia="arial" w:hAnsi="arial" w:cs="arial"/>
          <w:color w:val="000000"/>
          <w:sz w:val="20"/>
          <w:lang w:val="en-US" w:eastAsia="en-US" w:bidi="ar-SA"/>
        </w:rPr>
        <w:t xml:space="preserve"> or apprenticeship, written or oral, express or implied, whether by way of manual labour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Compensation for personal injury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(1) Where, in an industry within the scope of this Part, </w:t>
      </w:r>
      <w:r>
        <w:rPr>
          <w:rFonts w:ascii="arial" w:eastAsia="arial" w:hAnsi="arial" w:cs="arial"/>
          <w:color w:val="000000"/>
          <w:sz w:val="20"/>
          <w:u w:val="single"/>
          <w:lang w:val="en-US" w:eastAsia="en-US" w:bidi="ar-SA"/>
        </w:rPr>
        <w:t>personal injury</w:t>
      </w:r>
      <w:r>
        <w:rPr>
          <w:rFonts w:ascii="arial" w:eastAsia="arial" w:hAnsi="arial" w:cs="arial"/>
          <w:color w:val="000000"/>
          <w:sz w:val="20"/>
          <w:lang w:val="en-US" w:eastAsia="en-US" w:bidi="ar-SA"/>
        </w:rPr>
        <w:t xml:space="preserve"> or death </w:t>
      </w:r>
      <w:r>
        <w:rPr>
          <w:rFonts w:ascii="arial" w:eastAsia="arial" w:hAnsi="arial" w:cs="arial"/>
          <w:color w:val="000000"/>
          <w:sz w:val="20"/>
          <w:u w:val="single"/>
          <w:lang w:val="en-US" w:eastAsia="en-US" w:bidi="ar-SA"/>
        </w:rPr>
        <w:t>arising out of and in the course of the employment is caused to a worker</w:t>
      </w:r>
      <w:r>
        <w:rPr>
          <w:rFonts w:ascii="arial" w:eastAsia="arial" w:hAnsi="arial" w:cs="arial"/>
          <w:color w:val="000000"/>
          <w:sz w:val="20"/>
          <w:lang w:val="en-US" w:eastAsia="en-US" w:bidi="ar-SA"/>
        </w:rPr>
        <w:t>, compensation as provided by this Part must be paid by the Board out of the accident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of actions, election and subrogation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 </w:t>
      </w:r>
      <w:r>
        <w:rPr>
          <w:rFonts w:ascii="arial" w:eastAsia="arial" w:hAnsi="arial" w:cs="arial"/>
          <w:color w:val="000000"/>
          <w:sz w:val="20"/>
          <w:u w:val="single"/>
          <w:lang w:val="en-US" w:eastAsia="en-US" w:bidi="ar-SA"/>
        </w:rPr>
        <w:t>The provisions of this Part are in lieu of any right and rights of action, statutory or otherwise, founded on a breach of duty of care or any other cause of action</w:t>
      </w:r>
      <w:r>
        <w:rPr>
          <w:rFonts w:ascii="arial" w:eastAsia="arial" w:hAnsi="arial" w:cs="arial"/>
          <w:color w:val="000000"/>
          <w:sz w:val="20"/>
          <w:lang w:val="en-US" w:eastAsia="en-US" w:bidi="ar-SA"/>
        </w:rPr>
        <w:t xml:space="preserve">, whether that duty or cause of action is imposed by or arises by reason of law or contract, express or implied, to which a worker, dependant or member of the family of the worker is or may be entitled against the employer of the worker, or against any employer within the scope of this Part, or against any worker, </w:t>
      </w:r>
      <w:r>
        <w:rPr>
          <w:rFonts w:ascii="arial" w:eastAsia="arial" w:hAnsi="arial" w:cs="arial"/>
          <w:color w:val="000000"/>
          <w:sz w:val="20"/>
          <w:u w:val="single"/>
          <w:lang w:val="en-US" w:eastAsia="en-US" w:bidi="ar-SA"/>
        </w:rPr>
        <w:t>in respect of any personal injury</w:t>
      </w:r>
      <w:r>
        <w:rPr>
          <w:rFonts w:ascii="arial" w:eastAsia="arial" w:hAnsi="arial" w:cs="arial"/>
          <w:color w:val="000000"/>
          <w:sz w:val="20"/>
          <w:lang w:val="en-US" w:eastAsia="en-US" w:bidi="ar-SA"/>
        </w:rPr>
        <w:t xml:space="preserve">, disablement or death </w:t>
      </w:r>
      <w:r>
        <w:rPr>
          <w:rFonts w:ascii="arial" w:eastAsia="arial" w:hAnsi="arial" w:cs="arial"/>
          <w:color w:val="000000"/>
          <w:sz w:val="20"/>
          <w:u w:val="single"/>
          <w:lang w:val="en-US" w:eastAsia="en-US" w:bidi="ar-SA"/>
        </w:rPr>
        <w:t>arising out of and in the course of employment and no action in respect of it lies. This provision applies only when the action or conduct of the employer, the employer's servant or agent, or the worker, which caused the breach of duty arose out of and in the course of employment within the scope of this Part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Whether an injury "arose out of" employment and whether it occurred "in the course of employment" are two distinct requirements of coverage and the statutory bar to tort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Binding Board policy provides that the term "</w:t>
      </w:r>
      <w:r>
        <w:rPr>
          <w:rFonts w:ascii="arial" w:eastAsia="arial" w:hAnsi="arial" w:cs="arial"/>
          <w:i/>
          <w:color w:val="000000"/>
          <w:sz w:val="20"/>
          <w:lang w:val="en-US" w:eastAsia="en-US" w:bidi="ar-SA"/>
        </w:rPr>
        <w:t>arising out of</w:t>
      </w:r>
      <w:r>
        <w:rPr>
          <w:rFonts w:ascii="arial" w:eastAsia="arial" w:hAnsi="arial" w:cs="arial"/>
          <w:color w:val="000000"/>
          <w:sz w:val="20"/>
          <w:lang w:val="en-US" w:eastAsia="en-US" w:bidi="ar-SA"/>
        </w:rPr>
        <w:t xml:space="preserve"> the employment" refers to a causation issue and that in considering causation the focus is on the whether "the worker's employment was of causative significance in the occurrence of the injury...": </w:t>
      </w:r>
      <w:r>
        <w:rPr>
          <w:rFonts w:ascii="arial" w:eastAsia="arial" w:hAnsi="arial" w:cs="arial"/>
          <w:i/>
          <w:color w:val="000000"/>
          <w:sz w:val="20"/>
          <w:lang w:val="en-US" w:eastAsia="en-US" w:bidi="ar-SA"/>
        </w:rPr>
        <w:t>Rehabilitation Services and Claims Manual</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C3 - 14.00. This is a lower standard of causation than found in tort law: </w:t>
      </w:r>
      <w:r>
        <w:rPr>
          <w:rFonts w:ascii="arial" w:eastAsia="arial" w:hAnsi="arial" w:cs="arial"/>
          <w:i/>
          <w:color w:val="000000"/>
          <w:sz w:val="20"/>
          <w:lang w:val="en-US" w:eastAsia="en-US" w:bidi="ar-SA"/>
        </w:rPr>
        <w:t>British Columbia (Workers' Compensation Appeal Tribunal) v. Fraser Health Authority</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2016 SCC 25</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other hand, the term "</w:t>
      </w:r>
      <w:r>
        <w:rPr>
          <w:rFonts w:ascii="arial" w:eastAsia="arial" w:hAnsi="arial" w:cs="arial"/>
          <w:i/>
          <w:color w:val="000000"/>
          <w:sz w:val="20"/>
          <w:lang w:val="en-US" w:eastAsia="en-US" w:bidi="ar-SA"/>
        </w:rPr>
        <w:t>in the course of</w:t>
      </w:r>
      <w:r>
        <w:rPr>
          <w:rFonts w:ascii="arial" w:eastAsia="arial" w:hAnsi="arial" w:cs="arial"/>
          <w:color w:val="000000"/>
          <w:sz w:val="20"/>
          <w:lang w:val="en-US" w:eastAsia="en-US" w:bidi="ar-SA"/>
        </w:rPr>
        <w:t xml:space="preserve"> employment" refers to whether the injury "happened at a time and place and during an activity consistent with, and reasonably incidental to, the obligations and expectations of the employment":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order for an injury to be found to have "arisen out of and in the course of employment", both conditions must be met. However, in cases where the injury is caused by an accident there is a rebuttable presumption that if one is met the other will also be met, pursuant to s. 5(4)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cases where the injury is caused by accident, where the accident arose out of the employment, unless the contrary is shown, it must be presumed that it occurred in the course of the employment; and where the accident occurred in the course of the employment, unless the contrary is shown, it must be presumed that it arose out of the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decision under review is a determination made under s. 257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provision authorizes the Tribunal, upon request by a party to a civil action, to determine any matter that is relevant to the action and within the jurisdiction of the Board, and to certify that determination to the court, including whether a person is a worker, and whether an injury arose out of and in the course of that worker's employment. Section 257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Certification to court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(1) Where an action is commenced based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personal injury,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or a party to the action may request the appeal tribunal to make a determination under subsection (2) and to certify that determination to the court.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appeal tribunal may determine any matter that is relevant to the action and within the Board's jurisdiction under this Act, including determining whether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person was, at the time the cause of action arose, a worker</w:t>
      </w: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injury, disability or death of a worker </w:t>
      </w:r>
      <w:r>
        <w:rPr>
          <w:rFonts w:ascii="arial" w:eastAsia="arial" w:hAnsi="arial" w:cs="arial"/>
          <w:color w:val="000000"/>
          <w:sz w:val="20"/>
          <w:u w:val="single"/>
          <w:lang w:val="en-US" w:eastAsia="en-US" w:bidi="ar-SA"/>
        </w:rPr>
        <w:t>arose out of, and in the course of, the worker's employment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Thus, the Tribunal has exclusive authority to determine whether or not a party in an action is a worker, and, if so, whether an injury that is the subject matter of the action arose out of and in the course of the worker's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order to assist the Board and the Tribunal in interpreting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authorizes and requires the Board to make and update policies. The Tribunal is required to apply binding policies of the Board that are applicable to an appeal or application before it. The Tribunal has the authority to determine what policies are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Board has several binding policies applicable to determining the availability of compensation for workplace injuries that are contained in Chapter 3 of the Board's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which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number of preliminary issues were raised during the petition hearing, which I will briefly address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First, I note that Ms. McGowan's allegation of bias against the Tribunal was withdrawn at the hearing. In any event, there is no foundation in the evidence to support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Second, the Tribunal sought limited standing to appear and make submissions in this judicial review, acknowledging that this is a case where the defendants are actively opposing the relief sought in the petition, the decision being reviewed has an adjudicative element, and that if the petition is granted the relief sought includes remitting the matter back to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grant of standing to a tribunal whose decision is the subject of the judicial review is discretionary: </w:t>
      </w:r>
      <w:r>
        <w:rPr>
          <w:rFonts w:ascii="arial" w:eastAsia="arial" w:hAnsi="arial" w:cs="arial"/>
          <w:i/>
          <w:color w:val="000000"/>
          <w:sz w:val="20"/>
          <w:lang w:val="en-US" w:eastAsia="en-US" w:bidi="ar-SA"/>
        </w:rPr>
        <w:t>Ontario (Energy Board) v. Ontario Power Generation Inc.</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2015 SCC 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found that Tribunal could be of assistance in the hearing of this matter and granted the it standing to address the following issues: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review analysis;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Tribunal's regulatory and policy framework;</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Available remedies;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Finally, Ms. McGowan sought to rely on an affidavit filed in August 2016 for the purposes of this judicial review petition, to which the respondents objected. That affidavit is not admissible. It was not part of the record before the Tribunal, and it does not fall within any of the limited principled exceptions that would allow its admission on judicial review: </w:t>
      </w:r>
      <w:r>
        <w:rPr>
          <w:rFonts w:ascii="arial" w:eastAsia="arial" w:hAnsi="arial" w:cs="arial"/>
          <w:i/>
          <w:color w:val="000000"/>
          <w:sz w:val="20"/>
          <w:lang w:val="en-US" w:eastAsia="en-US" w:bidi="ar-SA"/>
        </w:rPr>
        <w:t>Air Canada v. British Columbia (Workers' Compensation Appeal Tribunal</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2018 BCCA 387</w:t>
        </w:r>
      </w:hyperlink>
      <w:r>
        <w:rPr>
          <w:rFonts w:ascii="arial" w:eastAsia="arial" w:hAnsi="arial" w:cs="arial"/>
          <w:color w:val="000000"/>
          <w:sz w:val="20"/>
          <w:lang w:val="en-US" w:eastAsia="en-US" w:bidi="ar-SA"/>
        </w:rPr>
        <w:t xml:space="preserve"> at paras. 39 and 40. The affidavit essentially seeks to bolster the evidence before the Tribunal and it was not necessary for Ms. McGowan to advance her case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Substantive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main substantive issue on this judicial review is whether the Tribunal's certification that Ms. McGowan was a worker and that her injuries arose out of and in the course of her employment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All parties agree that the standard of review applicable to this substantive question is patent unreasonableness. However, they disagree as to what the appropriate remedy would be should I find that the decision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therefore begin by briefly reviewing the Tribunal's findings of fact and its reasoning. I will then go on to discuss the meaning of the patent unreasonableness standard of review in the context of this decision, and then set out my reasons for finding that the Tribunal's decision was patently unreasonable. Finally, I will discuss the appropriate remedy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McGowan is the petitioner in this judicial review, and the plaintiff in New Westminster Action No. M150540. In that action, Ms. McGowan alleges that she was stopped at an intersection when she was struck from behind by a vehicle driven by the defendant James Forster and owned by the defendant Steven Doane. Liability was admitted by the defendants for that accident in their response to civil claim. The trial was set to commence September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September 4, 2014, counsel for the defendants wrote to the Tribunal seeking a determination pursuant to s. 257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entirety of the pleadings, as well as portions of the transcripts of the examination for discovery of Ms. McGowan and a series of additional affidavits were provided to the Tribunal for this purpose, including an affidavit prepared by Ms. Yousif, Ms. McGowan's alleged employer at the time of the accident. In addition, Ms. McGowan was deposed for the purpose of the Tribunal proceeding. Ms. Yousif was invited to but did not participate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Tribunal reviewed the written materials before it and made the following factual observations on the evidence before it:</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 was involved in a motor vehicle accident on Thursday, June 30, 2011. She had one passenger, who was a young adult with severe disabilities and special needs referred to as "N.".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Ms. McGowan was planning to start full-time employment with Geraldine Yousif in July 2011, the foster mother of N. Her new job would involve working with both N. and another young adult with special needs, "J.".</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 gave evidence in an examination for discovery in the underlying motor vehicle action that she had cared for young persons in Ms. Yousif's care in three different capacities in the past, including as a childcare support worker, providing respite care, and in providing autism related services through the Ministry of Children and Family Development. She had worked for Ms. Yousif on and off in the two years prior to the accident on an as needed basis caring for N. and J. Ms. McGowan had been paid for her time in the past, generally in cash. She knew Ms. Yousif as an employer, rather than as a friend. At the time of the accident she was not working for the Ministry of Children and Family Development.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2011, Ms. McGowan had met Ms. Yousif by chance, and Ms. Yousif mentioned that a full-time position had become available caring for N. and J. She offered the position to Ms. McGowan, and Ms. McGowan more or less accepted this position on the spot. She understood that she had to phone Ms. Yousif's assistant to get the details of the position. Her start date was anticipated to be July 1, 2011.</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June 30, 2011 the day before she was expecting to start, Ms. McGowan called Ms. Yousif, and Ms. Yousif indicated that she was not sure about the details of Ms. McGowan's shift the following day. Ms. McGowan heard N. upset in the background, and she offered to pick up N. and take him for a treat while she did her own grocery shopping.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Yousif accepted Ms. McGowan's offer to pick up N., and she also asked Ms. McGowan if she would pick up a few groceries Ms. Yousif had forgotten and for which Ms. Yousif would pay her back. This was the first time Ms. McGowan had offered to pick up N., and she had no expectation of being paid for picking N. up and taking him back to his home. She did not ask for any compensation for her time or her gas. However, Ms. McGowan's evidence was also that she would not have offered to pick up N. or agreed to buy some additional groceries for Ms. Yousif if she had not planned to accompany Ms. Yousif to her cabin with N. the following day. Ms. Yousif's evidence was that Ms. McGowan was doing her a favour, and she confirmed that Ms. McGowan was not compensated in any way.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occurred after Ms. McGowan picked up N. and was on her way to the grocery store to pick-up groceries for herself as well as the items Ms. Yousif had mentioned. Later that day, she was scheduled to pick up her two year old granddaughter from her preschool and bring her home, which she did five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Tribunal found that although the details of the shift were unclear on June 30, Ms. McGowan would have had a work shift on July 1, 2011. The Tribunal also accepted Ms. McGowan's evidence that when Ms. McGowan offered to take N. to the grocery store, she was not trying to make a good impression on Ms. Yousif and that it never occurred to her that she might be working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McGowan did not commence her employment on July 1, 2011 as scheduled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McGowan did not submit an application for workers' compensation benefits for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driver, Mr. Forster, was driving a work truck from a jobsite at the time of the accident, and there is no issue that he was a worker acting in the course of his employment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McGowan accepts all of the Tribunal's findings of fact, though she says some are incomplete in their description of the evidence before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TRIBUNAL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reviewing the evidence and making the above series of factual observations, the Tribunal went on to consider the applicable law and policy relating to the s. 257 reference that were applicable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Tribunal considered the following policies from the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C3-12.20 "Commencement and Termination of the Employment Relationship";</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C3-14.00 "Arising Out of and In the Course of the Employment";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C3-18.00 "Personal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Policy C3 - 12.20 provides that the commencement and termination of an employment relationship is not limited to the commencement or termination of a contract of service nor determined solely by whether the worker has commenced productive work. It provides the following elaboration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offering services to an employer will often be told to come back at a certain time in the future when work might be available. </w:t>
      </w:r>
      <w:r>
        <w:rPr>
          <w:rFonts w:ascii="arial" w:eastAsia="arial" w:hAnsi="arial" w:cs="arial"/>
          <w:b/>
          <w:color w:val="000000"/>
          <w:sz w:val="20"/>
          <w:lang w:val="en-US" w:eastAsia="en-US" w:bidi="ar-SA"/>
        </w:rPr>
        <w:t>A person may also be promised a specific job but the commencement date may be specified some weeks or months ahead. Such persons would not normally become workers under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until they actually returned to the employer's premises at the future date for the commencement of work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fact that a worker has not commenced productive work is not a bar to compensation. For example, if an injury takes place while entering the employer's premises on the way to the first day of work, coverage may be extended before the necessary hiring formalities are complete or productive work commences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temporality of employment is also addressed in Policy AP1-1-2 of the Board's </w:t>
      </w:r>
      <w:r>
        <w:rPr>
          <w:rFonts w:ascii="arial" w:eastAsia="arial" w:hAnsi="arial" w:cs="arial"/>
          <w:i/>
          <w:color w:val="000000"/>
          <w:sz w:val="20"/>
          <w:lang w:val="en-US" w:eastAsia="en-US" w:bidi="ar-SA"/>
        </w:rPr>
        <w:t>Assessment Manual</w:t>
      </w:r>
      <w:r>
        <w:rPr>
          <w:rFonts w:ascii="arial" w:eastAsia="arial" w:hAnsi="arial" w:cs="arial"/>
          <w:color w:val="000000"/>
          <w:sz w:val="20"/>
          <w:lang w:val="en-US" w:eastAsia="en-US" w:bidi="ar-SA"/>
        </w:rPr>
        <w:t xml:space="preserve">, also considered by the Tribunal. Policy AP1-1-2 provides that to fall under the definition of "worker"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is sufficient that the person have entered into a contract of service, and it is not a requirement that the person have began working under that contract in order to be considered a worker. It states that the definitions of "worker" and "employer" are complementary to each other and that the fundamental question determining their meaning is whether the relationship between parties is one of employment. It goes on to state: "Coverage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may commence for a worker even though by common law principles no contract of service yet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addition to defining what is meant by "arising out of" and "in the course of" employment as set out above,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C3-14.00 also sets out a list of three medical factors and nine non-medical factors to be considered in determining whether an injury arises out of and in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Tribunal did not consider any of the three medical factors, and it appears that none were raised by the parties. From this, I conclude that the Tribunal accepted that there were no applicable medical, physiological, or temporal connections between the injuries sustained in the motor vehicle accident and Ms. McGowan's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nine non-medical factors are:</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Employer's Premises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Employer's Benefit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Instructions from the Employer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Supplied by the Employer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Receipt of Payment or Other Consideration from Employer</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 Time Period for which the Worker was Being Paid or Receiving Other Consideration</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Activity of the Employer, a Fellow Employee or the Worker</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Job</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nine non-medical factors are referred to in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C3-14.00 as the "test of employment connection." The Policy also states that no single factor of the nine listed may be used as an "exclusive test" for deciding whether an injury arises out of an in the course of employment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C3-18.00 says, "An injury or death may be considered to arise out of and in the course of the employment if it occurs while a worker is in the process of doing something for the benefit of the employer's business generally, or for the employer personally," and that "In marginal cases, it is impossible to do better than weigh the employment features of the situation against the personal features to reach a conclusion, which can never be devoid of intuitive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Finally, the Tribunal also referenced Policy AP1-1-5 of the Board's </w:t>
      </w:r>
      <w:r>
        <w:rPr>
          <w:rFonts w:ascii="arial" w:eastAsia="arial" w:hAnsi="arial" w:cs="arial"/>
          <w:i/>
          <w:color w:val="000000"/>
          <w:sz w:val="20"/>
          <w:lang w:val="en-US" w:eastAsia="en-US" w:bidi="ar-SA"/>
        </w:rPr>
        <w:t>Assessment Manual</w:t>
      </w:r>
      <w:r>
        <w:rPr>
          <w:rFonts w:ascii="arial" w:eastAsia="arial" w:hAnsi="arial" w:cs="arial"/>
          <w:color w:val="000000"/>
          <w:sz w:val="20"/>
          <w:lang w:val="en-US" w:eastAsia="en-US" w:bidi="ar-SA"/>
        </w:rPr>
        <w:t xml:space="preserve"> which states "volunteers or other persons not receiving payment for their services are generally not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Tribunal found that the "circumstances of this case are in a grey area, as the plaintiff was not being paid and was taking N. on an outing and driving him home, and picking up groceries for Ms. Yousif, as a favour." Even though the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would ordinarily dictate that Ms. McGowan's "employment" would not have commenced until July 1, 2011, the agreed upon start date, the Tribunal found that an oral employment contract had been formed by June 30, 2011, and this was sufficient to require further consideration of the employment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Tribunal treated the fact that employment had not yet started but there was a contract for employment to be a generally neutral factor to be considered in light of the more specific factors listed in the employment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Tribunal also concluded that whether Ms. McGowan was a worker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would depend on whether the accident arose out of and in the course of her employment, as determined by the employment connection test and specifically the nine factors outlined in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C3-14.00. Therefore, both the "worker" question and the "employment" question were decided together using a single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Of the nine factors that the Tribunal was required to consider pursuant to Board policy, it found that only one supported the conclusion that Ms. McGowan's injury was connected to her employment: that Ms. Yousif benefited from the favour. The Tribunal found that the other eight factors in the policy did not favour a finding that the accident arose out of and in the course of employment, including that:</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did not occur on Ms. Yousif's premises;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McGowan's offer of assistance was voluntary and spontaneous and did not arise from any request or instructions from Ms. Yousif;</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 was not using any equipment or motor vehicles supplied by or paid for by Ms. Yousif;</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 was not in the process of obtaining or receiving any consideration at the time of the accident;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 was not being paid or receiving any other consideration on the day of the accident;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did not involve any activity of the employer, a fellow employee, or 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Ms. McGowan was performing activities that would have been part of her job had she commenced her new position, she had not yet commenced that position so "her activities were not part of her job";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McGowan was not being supervised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stating that no one factor could be determinative of the employment connection test, the Tribunal's findings that eight of the nine listed factors in the Policy did not support a finding of employment connection would seem to require a conclusion that the accident did not arise out of and in the course of Ms. McGowan's employment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However, the Tribunal goes on to consider factors not listed in the Policy on the basis that the list of factors in the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is not exhaustive.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first additional factor is one that was previously listed in the Policy but had been removed some years prior to the accident: "Whether the risk to which the employee was exposed was the same as the risk to which the employee is exposed in the normal course of production." The Tribunal found that this would support coverage, presumably for the reasons argued by the defendant that Ms. McGowan's risk of getting rear-ended was consistent with the risks that would arise from her "work duties as a childcare worker" of "grocery shopping, caring for the children, and separating a violent or misbehaving child from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Ms. McGowan argues that it was improper for the Tribunal to consider this factor when it had been previously removed from the Policy, I accept that the Policy was non-exhaustive and therefore continued to allow for the consideration of non-enumerated factors. Although the risk of being rear-ended in a motor vehicle is not particularly compelling as a risk associated with the duties of a caregiver, and therefore as an additional factor to be added to the analysis, it was within the Tribunal's jurisdiction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any event, this is not the additional factor that the Tribunal primarily relied upon. There was another non-enumerated factor that was relied upon to a great extent in the Tribunal's decision: Its characterization of the relationship between Ms. Yousif and Ms. McGowan as solely a business one of employer/employee rather than friendship, and an implication that therefore Ms. McGowan was motivated by employment related factors and not personal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Ms. McGowan that in its reasoning, the Tribunal implies a motivation on Ms. McGowan's part that is inconsistent with its factual findings in its review of the evidence and in its application of the test of employment connection. Having found repeatedly that Ms. McGowan had no expectation of compensation or personal benefit and that her employment offer to commence full-time work the following day was already firmly secured, the Tribunal goes on to consider the speculative evidence of another employee that Ms. McGowan may have been trying to impress Ms. Yousif. There is an implication in the Tribunal's reasons that Ms. McGowan would only have provided care to N. that day to impress Ms. Yousif or otherwise improve her employment situation. It is this non-enumerated consideration that ultimately leads the Tribunal to conclude that Ms. McGowan was acting for employment purposes and "in the course of her employment"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Tribunal then states there is no evidence to rebut the presumption that the accident was causally linked to Ms. McGowan's employment pursuant to s. 5(4)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is on this basis that the Tribunal also finds that the injury "arose out of" Ms. McGowan's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gives the Tribunal exclusive jurisdiction to make determinations as to whether or not an injury arises out of and in the course of employment. At the same time,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preserves a superior court's authority to review a tribunal's decision for excess of jurisdiction, even where the tribunal has been granted exclusive jurisdiction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review may take various forms, including substantive review of a finding of fact, law, or an exercise of discretion by the tribunal, and reviews of procedural fairness or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this case, the petitioner conceded that she has no procedural grounds of review and seeks review of the Tribunal's findings of fact and mixed fact and law. The petitioner concedes that the standard of review in this case is determined by s.58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and specifically that the standard is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Within that rubric, the petitioner argues that the Tribunal's decision is patently unreasonable, in part, because it is based entirely or predominantly on irrelevant factors pursuant to s. 58(3)(c)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However, the Tribunal properly points out that s. 58(3)(c) only applies to review of discretionary decision-making by the Tribunal. The decision at issue in this case is not one of discretion, but one of mixed law and fact, and therefore that subsection is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must therefore consider the meaning of the patently unreasonable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Supreme Court of Canada has recently decided two appeals involving the Tribunal's decisions and has applied the patently unreasonable standard in both cases. In </w:t>
      </w:r>
      <w:r>
        <w:rPr>
          <w:rFonts w:ascii="arial" w:eastAsia="arial" w:hAnsi="arial" w:cs="arial"/>
          <w:i/>
          <w:color w:val="000000"/>
          <w:sz w:val="20"/>
          <w:lang w:val="en-US" w:eastAsia="en-US" w:bidi="ar-SA"/>
        </w:rPr>
        <w:t>British Columbia (Workers' Compensation Appeal Tribunal) v. Fraser Health Authority</w:t>
      </w:r>
      <w:r>
        <w:rPr>
          <w:rFonts w:ascii="arial" w:eastAsia="arial" w:hAnsi="arial" w:cs="arial"/>
          <w:color w:val="000000"/>
          <w:sz w:val="20"/>
          <w:lang w:val="en-US" w:eastAsia="en-US" w:bidi="ar-SA"/>
        </w:rPr>
        <w:t>, the Court said the following at para. 30 regarding the patent unreasonableness standard as it applies to a finding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a court must defer where there is evidence </w:t>
      </w:r>
      <w:r>
        <w:rPr>
          <w:rFonts w:ascii="arial" w:eastAsia="arial" w:hAnsi="arial" w:cs="arial"/>
          <w:i/>
          <w:color w:val="000000"/>
          <w:sz w:val="20"/>
          <w:lang w:val="en-US" w:eastAsia="en-US" w:bidi="ar-SA"/>
        </w:rPr>
        <w:t>capable of supporting</w:t>
      </w:r>
      <w:r>
        <w:rPr>
          <w:rFonts w:ascii="arial" w:eastAsia="arial" w:hAnsi="arial" w:cs="arial"/>
          <w:color w:val="000000"/>
          <w:sz w:val="20"/>
          <w:lang w:val="en-US" w:eastAsia="en-US" w:bidi="ar-SA"/>
        </w:rPr>
        <w:t xml:space="preserve"> (as opposed to </w:t>
      </w:r>
      <w:r>
        <w:rPr>
          <w:rFonts w:ascii="arial" w:eastAsia="arial" w:hAnsi="arial" w:cs="arial"/>
          <w:i/>
          <w:color w:val="000000"/>
          <w:sz w:val="20"/>
          <w:lang w:val="en-US" w:eastAsia="en-US" w:bidi="ar-SA"/>
        </w:rPr>
        <w:t>conclusively demonstrating</w:t>
      </w:r>
      <w:r>
        <w:rPr>
          <w:rFonts w:ascii="arial" w:eastAsia="arial" w:hAnsi="arial" w:cs="arial"/>
          <w:color w:val="000000"/>
          <w:sz w:val="20"/>
          <w:lang w:val="en-US" w:eastAsia="en-US" w:bidi="ar-SA"/>
        </w:rPr>
        <w:t>) a finding of fact, patent unreasonableness is not established where the reviewing court considers the evidence merely to be insufficient (</w:t>
      </w:r>
      <w:r>
        <w:rPr>
          <w:rFonts w:ascii="arial" w:eastAsia="arial" w:hAnsi="arial" w:cs="arial"/>
          <w:i/>
          <w:color w:val="000000"/>
          <w:sz w:val="20"/>
          <w:lang w:val="en-US" w:eastAsia="en-US" w:bidi="ar-SA"/>
        </w:rPr>
        <w:t>Speckling v. Worker's Compensation board (B.C.)</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2005 BCCA 80</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209 B.C.A.C. 86</w:t>
        </w:r>
      </w:hyperlink>
      <w:r>
        <w:rPr>
          <w:rFonts w:ascii="arial" w:eastAsia="arial" w:hAnsi="arial" w:cs="arial"/>
          <w:color w:val="000000"/>
          <w:sz w:val="20"/>
          <w:lang w:val="en-US" w:eastAsia="en-US" w:bidi="ar-SA"/>
        </w:rPr>
        <w:t>, at para. 37). Simply put, this standard precludes curial re-weighing of evidence, or rejecting the inferences drawn by the fact-finder from that evidence, or substituting the reviewing court's preferred inferences for those drawn by the fact-finder.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 Fraser Mills Ltd. v. British Columbia (Workers' Compensation Appeal Tribunal)</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2018 SCC 22</w:t>
        </w:r>
      </w:hyperlink>
      <w:r>
        <w:rPr>
          <w:rFonts w:ascii="arial" w:eastAsia="arial" w:hAnsi="arial" w:cs="arial"/>
          <w:color w:val="000000"/>
          <w:sz w:val="20"/>
          <w:lang w:val="en-US" w:eastAsia="en-US" w:bidi="ar-SA"/>
        </w:rPr>
        <w:t>, the Court said at paras.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legal determination like the interpretation of a statute will be patently unreasonable where it "almost border[s] on the absurd."... In the workers' compensation context in British Columbia, a patently unreasonable decision is one that is "openly, clearly, evidently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By stipulating the standard of patent unreasonableness, the Legislature has indicated that courts should accord the utmost deference to the Tribunal's interpretation of the legislation and its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Supreme Court of Canada referenced our Court of Appeal's decision in </w:t>
      </w:r>
      <w:r>
        <w:rPr>
          <w:rFonts w:ascii="arial" w:eastAsia="arial" w:hAnsi="arial" w:cs="arial"/>
          <w:i/>
          <w:color w:val="000000"/>
          <w:sz w:val="20"/>
          <w:lang w:val="en-US" w:eastAsia="en-US" w:bidi="ar-SA"/>
        </w:rPr>
        <w:t>Speckling v. British Columbia (Workers' Compensation Board)</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2005 BCCA 80</w:t>
        </w:r>
      </w:hyperlink>
      <w:r>
        <w:rPr>
          <w:rFonts w:ascii="arial" w:eastAsia="arial" w:hAnsi="arial" w:cs="arial"/>
          <w:color w:val="000000"/>
          <w:sz w:val="20"/>
          <w:lang w:val="en-US" w:eastAsia="en-US" w:bidi="ar-SA"/>
        </w:rPr>
        <w:t xml:space="preserve"> in both of the above cases. In </w:t>
      </w:r>
      <w:r>
        <w:rPr>
          <w:rFonts w:ascii="arial" w:eastAsia="arial" w:hAnsi="arial" w:cs="arial"/>
          <w:i/>
          <w:color w:val="000000"/>
          <w:sz w:val="20"/>
          <w:lang w:val="en-US" w:eastAsia="en-US" w:bidi="ar-SA"/>
        </w:rPr>
        <w:t>Speckling</w:t>
      </w:r>
      <w:r>
        <w:rPr>
          <w:rFonts w:ascii="arial" w:eastAsia="arial" w:hAnsi="arial" w:cs="arial"/>
          <w:color w:val="000000"/>
          <w:sz w:val="20"/>
          <w:lang w:val="en-US" w:eastAsia="en-US" w:bidi="ar-SA"/>
        </w:rPr>
        <w:t>, Justice Levine stated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As the Chambers judge noted, a decision is not patently unreasonable because the evidence is insufficient. It is not for the court on judicial review, or for this court on appeal, to second guess the conclusions drawn from the evidence considered by the Appeal Division and substitute different findings of fact or inferences drawn from those facts. A court on review or appeal cannot reweigh the evidence. Only if there is no evidence to support the findings, or the decision is "openly, clearly, evidently unreasonable" can it be said to be patently unreasonable.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note that the petitioner accepts this articulation of the test and states that it is the latter aspect of this test that she is relying upon. That is, she is not arguing that there was no evidence or insufficient evidence for the Tribunal to reach the conclusion that it did. Rather, she is saying that the conclusion is openly, clearly, and evidently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our Court of Appeal noted that, since </w:t>
      </w:r>
      <w:r>
        <w:rPr>
          <w:rFonts w:ascii="arial" w:eastAsia="arial" w:hAnsi="arial" w:cs="arial"/>
          <w:i/>
          <w:color w:val="000000"/>
          <w:sz w:val="20"/>
          <w:lang w:val="en-US" w:eastAsia="en-US" w:bidi="ar-SA"/>
        </w:rPr>
        <w:t>Speckling</w:t>
      </w:r>
      <w:r>
        <w:rPr>
          <w:rFonts w:ascii="arial" w:eastAsia="arial" w:hAnsi="arial" w:cs="arial"/>
          <w:color w:val="000000"/>
          <w:sz w:val="20"/>
          <w:lang w:val="en-US" w:eastAsia="en-US" w:bidi="ar-SA"/>
        </w:rPr>
        <w:t>, "it is now clear that judicial review is concerned not only with the results reached by a tribunal, but also with its reasoning process" (at para. 70). In that case, this Court found that the Tribunal's reasoning was patently unreasonable, but it was not prepared to say that the results of the decision was itself patently unreasonable. The decision was set aside and the appeal was remitted to the Tribunal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McGowan argues that the Tribunal's conclusion that her injuries from the motor vehicle accident arose out of and in the course of her employment is clearly, plainly, and manifestly unreasonable in light of the uncontroverted evidence that Ms. McGowan was not yet employed by Ms. Yousif at the time of the accident. She says this result is "not in the realm of reasonable outcomes" on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 respondents argue that there was evidence to support all of the Tribunal's findings, including its ultimate findings that Ms. McGowan was a worker and that her injuries arose out of and in the course of her employment. They say also that the Tribunal's interpretations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related policies were not patently unreasonable. Given this high standard of review, this Court should not interfere with the Tribunal's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Tribunal's determination that a person who was still at least a day away from commencing a new job falls within the exclusive jurisdiction of the Board is a more expansive application of the Board's jurisdiction than any of the previous Tribunal decisions it references or the examples provided in the Board's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For example, in the decision that the Tribunal found to be most helpful, </w:t>
      </w:r>
      <w:r>
        <w:rPr>
          <w:rFonts w:ascii="arial" w:eastAsia="arial" w:hAnsi="arial" w:cs="arial"/>
          <w:i/>
          <w:color w:val="000000"/>
          <w:sz w:val="20"/>
          <w:lang w:val="en-US" w:eastAsia="en-US" w:bidi="ar-SA"/>
        </w:rPr>
        <w:t>WCAT-2009-0575, Thomas v. Lopez</w:t>
      </w:r>
      <w:r>
        <w:rPr>
          <w:rFonts w:ascii="arial" w:eastAsia="arial" w:hAnsi="arial" w:cs="arial"/>
          <w:color w:val="000000"/>
          <w:sz w:val="20"/>
          <w:lang w:val="en-US" w:eastAsia="en-US" w:bidi="ar-SA"/>
        </w:rPr>
        <w:t>, a worker was injured while walking through a parking area of an auto repair shop while picking up a company vehicle with the intention of driving it to work and working for a few hours. Like Ms. McGowan, she was doing an unpaid favour in picking up the company vehicle, but unlike Ms. McGowan there was no question that she was already employed and established as a worker at the time and that she would have been paid for her work that day. In addition, the worker immediately sought compensation from the Board. The Tribunal notes that in that case the plaintiff had extended a favour "in the context of an ongoing employment relationship" while, in this case, the plaintiff had yet to start employment pursuant to an oral contract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other decisions reviewed by the Tribunal indicate that it has denied coverage to people when their injuries occurred outside of the term of their paid employment even when that employment relationship existed in the past and was likely to exist again in the future: see </w:t>
      </w:r>
      <w:r>
        <w:rPr>
          <w:rFonts w:ascii="arial" w:eastAsia="arial" w:hAnsi="arial" w:cs="arial"/>
          <w:i/>
          <w:color w:val="000000"/>
          <w:sz w:val="20"/>
          <w:lang w:val="en-US" w:eastAsia="en-US" w:bidi="ar-SA"/>
        </w:rPr>
        <w:t>WCAT-2009-01034, Gehman v. McHatten</w:t>
      </w:r>
      <w:r>
        <w:rPr>
          <w:rFonts w:ascii="arial" w:eastAsia="arial" w:hAnsi="arial" w:cs="arial"/>
          <w:color w:val="000000"/>
          <w:sz w:val="20"/>
          <w:lang w:val="en-US" w:eastAsia="en-US" w:bidi="ar-SA"/>
        </w:rPr>
        <w:t>, April 16,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addition, the example provided in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C3-12.20 for when an employment relationship may be found to have commenced prior to the commencement of a contract for services is where an injury takes place "while entering the employer's premises on the way to the first day of work", in which case the Policy states that "coverage may be extended before the necessary hiring formalities are complete or productive work commences."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accept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Policies do not exclude the possibility that a person is a "worker" prior to the commencement of their contract of service. However, neither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nor the Policies suggest that non-commencement of employment is merely a neutral factor. Furthermore, no examples, policies, or previous decisions were referenced in which coverage was said to exist where the "worker" had yet to commence paid employment and the favour was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Further, there is no example or decision where eight of the nine indicators of a connection to employment were negative, and the Tribunal still found that the injuries arose out of and in the course of a person's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Of course, the Tribunal is not bound by the principles of precedent in relation to its previous decisions, and these decisions and examples are noted in the Tribunal's reasons only as providing "useful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they do indicate that the Tribunal's decision in this case expands the scope of Board's exclusive jurisdiction regarding workers who have not commenced work more than any other decision it has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also a decision that relies almost entirely on a non-enumerated factor that is not consistent with the Tribunal's own factual findings and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that the Tribunal can add non-enumerated factors to those listed, and that the nature of the relationship between the alleged worker and the person she is doing a favour for may be relevant to whether an injury is found to have occurred in the course of employment, particularly as it relates to whether her motivation was a personal one. However, in adding this factor, and indeed making it a central factor in its reasoning, the Tribunal ignored the evidence and findings on the evidence already made regarding Ms. McGowan's motivations.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Tribunal's decision in this regard also ignored a more consistent explanation of the relationship at play: Ms. McGowan had a relationship not only with Ms. Yousif, her anticipated employer, but also with N., a young person with disabilities to whom she had provided care to on and off on a casual basis over a period of years. Ms. McGowan's evidence was that she heard N. upset while she was talking to Ms. Yousif and offered to take him for a treat while she was running errands in the area. This additional relationship did not enter into the Tribunal's ultimately conclusive determination that Ms. McGowan's motivations arose from her solely business relationship with Ms. Yousif, and were therefore not "personal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Furthermore, at no point did the Tribunal relate this non-enumerated factor to the meaning of "in the course of employment" as defined by binding policy.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Policy C3-14.00 defines "in the course of employment." While the nine non-medical factors of the "employment connection" test are meant to elucidate this question, a "connection" to a person's employment alone is not enough to establish that an injury "happened at a time and place and during an activity consistent with, and reasonably incidental to, the obligations and expectations of the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none of the factors or facts found by the Tribunal, including the non-enumerated ones, establish that Ms. McGowan's injury occurred at a time (prior to her employment) at a place (in her own vehicle) during an activity (driving to get groceries) that were reasonably incidental to any obligations or expectation of her employment. The Tribunal specifically found that Ms. McGowan's activity at the time arose neither from obligation on her part nor from any expectations on Ms. Yousif's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leads to another deficiency in reasoning of the Tribunal: the question of whether Ms. McGowan's injuries "arose out of" her employment. The Tribunal relied solely on the rebuttable presumption in this regard, stating only that the presumption was not rebutted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However, there is considerable evidence that the fact that Ms. McGowan's pending employment at the time of the accident had no causative significance at all on her injuries. The evidence, as accepted by the Tribunal, was that Ms. McGowan's activity was "not part of her job", and she was going to be driving her car to get groceries at that time regardless of whether she picked N up or not. The Tribunal's reasoning in this respect is insufficient: see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paras. 69-74.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recognize the risks of too closely parsing a decision of an administrative tribunal with statutory jurisdiction to consider the evidence and make findings of law and fact, and mixed law and fact. A great deal of deference is owed to the Tribunal in this case and a failure to consider relevant evidence or fully set out its reasons might not alone lead to a finding that the decision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Taken as a whole, however, I find that the decision is clearly and plainly outside of the realm of reasonable outcomes in this case. The Tribunal has, through this decision, expanded the scope of its exclusive jurisdiction and precluded Ms. McGowan from recovering for her injury in tort by going in search of and relying upon factors that do not accord with its own evidentiary findings or properly relate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Policies, or the historical trade-off of workers' compensation. I find that the Tribunal's conclusion that Ms. McGowan's injuries arose out of and in the course of her employment and that she is a worker so far exceeds the meaning of those terms as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Policies, and the previous decisions of the Tribunal, that it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Initially, the petitioner sought an order that the Tribunal's decision be set aside. In argument, the petitioner elaborated upon this relief, seeking that the Tribunal's decision be quashed and substituted with a declaration that Ms. McGowan's injuries did not arise out of and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alternative, the petitioner asks that the matter be remitted back to the Tribunal with directions, including that a different Tribunal member hear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Tribunal argues that, absent exceptional circumstances, a court on judicial review does not have the power to substitute its own judgment for that of the Tribunal. The court is not an expert on matters of workers' compensation and should not be making determinations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accept the Tribunal's position that the general principle is that matters will be referred back to the Tribunal to reconsider where a decision is quashed on grounds of patent unreasonableness: </w:t>
      </w:r>
      <w:r>
        <w:rPr>
          <w:rFonts w:ascii="arial" w:eastAsia="arial" w:hAnsi="arial" w:cs="arial"/>
          <w:i/>
          <w:color w:val="000000"/>
          <w:sz w:val="20"/>
          <w:lang w:val="en-US" w:eastAsia="en-US" w:bidi="ar-SA"/>
        </w:rPr>
        <w:t>Testa v. British Columbia (Workers' Compensation Board)</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(1989), 36 B.C.L.R. (2d) 129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Allman v. Amacon Property Management Services Inc.</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2007 BCCA 302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However, there is an exception to this rule where it is not open to the Tribunal to come to any other conclusion based on the material before it: see </w:t>
      </w:r>
      <w:r>
        <w:rPr>
          <w:rFonts w:ascii="arial" w:eastAsia="arial" w:hAnsi="arial" w:cs="arial"/>
          <w:i/>
          <w:color w:val="000000"/>
          <w:sz w:val="20"/>
          <w:lang w:val="en-US" w:eastAsia="en-US" w:bidi="ar-SA"/>
        </w:rPr>
        <w:t>Allman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Hydro and Power Authority v. Workers' Compensation Board of British Columbia</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2014 BCCA 353</w:t>
        </w:r>
      </w:hyperlink>
      <w:r>
        <w:rPr>
          <w:rFonts w:ascii="arial" w:eastAsia="arial" w:hAnsi="arial" w:cs="arial"/>
          <w:color w:val="000000"/>
          <w:sz w:val="20"/>
          <w:lang w:val="en-US" w:eastAsia="en-US" w:bidi="ar-SA"/>
        </w:rPr>
        <w:t>, at para. 53, our Court of Appeal dismissed an appeal of a decision of this Court on judicial review but found that it was an error for the court to impose a particular interpretation on the Tribunal upon reconsideration: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 conclude that the chambers judge correctly applied the standard of reasonableness in concluding that the Review Decision was unreasonable and must be quashed, and that the matter must be remitted to the Review Division for reconsideration. I do not, however, adopt his remarks on the definition of "employer" at para. 71 of his reasons. While it may provide useful guidance on the reconsideration, the interpretation of that term rests with the Board and its Review Division, not with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this case, I have found that the Tribunal's decision is patently unreasonable in result. However, in coming to that conclusion, I have also found deficiencies in its reasoning process. I therefore consider that it is most appropriate to refer this matter back to the Tribunal to reconsider its decision in this case in light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My greatest concern in referring this matter back to the Tribunal is the amount of time that has lapsed since this matter was first referred to it in September 2014, five years ago. I recognize that the majority of that time has elapsed since the Tribunal issued its decision in June 2016. Nevertheless, it does a disservice to our system of justice when these issues are bounced back and forth over the course of years without a final resolution for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therefore direct the Tribunal to make every effort to proceed with its reconsideration of this decision within 60 days of this judgment and to treat this matter as a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Tribunal objects to any direction from this Court as to which Tribunal members might hear the matter should it be remitted back. There is no allegation of bias in this case nor any support for one. I agree that this is something that the Tribunal should properly determine, especially in light of the need to address this matter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McGowan is entitled to her costs in this judicial review as against the defendants in her motor vehicle claim, who were also the respondents in this judicial review. They defended her application for judicial review on its merits and have been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 costs are payable by the Tribunal in this proceeding. Its submissions were limited to the areas where it was given standing, which did not include the merits of the review, and were helpful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issue of costs in Ms. McGowan's motor vehicle claim are not before me at this time. However, I note that the adjournment granted to the defendants in September 2014 to address the s. 257 application contemplated a potential application for costs thrown away as a result of the adjournment, to be considered at the trial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Five years have now passed, and Ms. McGowan is no closer to the trial of the matter. Depending on the decision of the Tribunal on reconsideration, there may never be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therefore direct that Ms. McGowan has leave to make an application to this Court for costs thrown away up to the eve of trial in September 2014 without waiting for the trial of her motor vehicle action. Liability was admitted by the defendants up to that point, and the evidence before the Tribunal and in this judicial review establishes that Ms. McGowan had already incurred costs and disbursements, including costs for the preparation of expert reports. If the parties are unable to agree on how to deal with these costs and disbursements, I will hear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McKnight v. Hutchison, [2019] B.C.J. No. 1582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Written submissions of the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25 and July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the defendant, July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S063172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1405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Dale McKnight, Plaintiff, and John Michael Hutchison and 574316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jc w:val="both"/>
        <w:rPr>
          <w:rFonts w:ascii="arial" w:eastAsia="arial" w:hAnsi="arial" w:cs="arial"/>
          <w:sz w:val="20"/>
          <w:lang w:val="en-US" w:eastAsia="en-US" w:bidi="ar-SA"/>
        </w:rPr>
      </w:pPr>
      <w:bookmarkStart w:id="139" w:name="Counsel_37"/>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D.D. McKnight.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Hutchison,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37"/>
      <w:bookmarkEnd w:id="140"/>
      <w:r>
        <w:pict>
          <v:line id="_x0000_s1157" style="position:absolute;z-index:2517555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C.E. HINKSON C.J.S.C._0"/>
            <w:bookmarkEnd w:id="141"/>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lamentable history of this litigation is set out in my reasons for judgment that are indexed at </w:t>
      </w:r>
      <w:hyperlink r:id="rId766" w:history="1">
        <w:r>
          <w:rPr>
            <w:rFonts w:ascii="arial" w:eastAsia="arial" w:hAnsi="arial" w:cs="arial"/>
            <w:i/>
            <w:color w:val="0077CC"/>
            <w:sz w:val="20"/>
            <w:u w:val="single"/>
            <w:shd w:val="clear" w:color="auto" w:fill="FFFFFF"/>
            <w:lang w:val="en-US" w:eastAsia="en-US" w:bidi="ar-SA"/>
          </w:rPr>
          <w:t>2019 BCSC 944</w:t>
        </w:r>
      </w:hyperlink>
      <w:r>
        <w:rPr>
          <w:rFonts w:ascii="arial" w:eastAsia="arial" w:hAnsi="arial" w:cs="arial"/>
          <w:color w:val="000000"/>
          <w:sz w:val="20"/>
          <w:lang w:val="en-US" w:eastAsia="en-US" w:bidi="ar-SA"/>
        </w:rPr>
        <w:t xml:space="preserve">, and I will refrain from repeating them here. Those reasons were the second set of substantive reasons that I produced in this case. The first set of substantive reasons were indexed at </w:t>
      </w:r>
      <w:hyperlink r:id="rId767" w:history="1">
        <w:r>
          <w:rPr>
            <w:rFonts w:ascii="arial" w:eastAsia="arial" w:hAnsi="arial" w:cs="arial"/>
            <w:i/>
            <w:color w:val="0077CC"/>
            <w:sz w:val="20"/>
            <w:u w:val="single"/>
            <w:shd w:val="clear" w:color="auto" w:fill="FFFFFF"/>
            <w:lang w:val="en-US" w:eastAsia="en-US" w:bidi="ar-SA"/>
          </w:rPr>
          <w:t>2015 BCSC 1886</w:t>
        </w:r>
      </w:hyperlink>
      <w:r>
        <w:rPr>
          <w:rFonts w:ascii="arial" w:eastAsia="arial" w:hAnsi="arial" w:cs="arial"/>
          <w:color w:val="000000"/>
          <w:sz w:val="20"/>
          <w:lang w:val="en-US" w:eastAsia="en-US" w:bidi="ar-SA"/>
        </w:rPr>
        <w:t>. In those reasons I dismissed the plaintiff's claim against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litigation before me, the plaintiff sought equitable compensation for the defendants' alleged breach of fiduciary duties, damages for alleged conversion, as well as punitive damages. He also sought an order that any awards made be reduced by any amounts that he was found to owe the partnership, after taking into account advances made by the plaintiff for the benefit of the partnership, including payments of interest on a U.S. dollar loan and income tax paid on monies held in trust for the partnership. In addition, he sought an order that the defendants could set off certain expenses, specified in the order that arose from my reasons indexed at </w:t>
      </w:r>
      <w:hyperlink r:id="rId767" w:history="1">
        <w:r>
          <w:rPr>
            <w:rFonts w:ascii="arial" w:eastAsia="arial" w:hAnsi="arial" w:cs="arial"/>
            <w:i/>
            <w:color w:val="0077CC"/>
            <w:sz w:val="20"/>
            <w:u w:val="single"/>
            <w:shd w:val="clear" w:color="auto" w:fill="FFFFFF"/>
            <w:lang w:val="en-US" w:eastAsia="en-US" w:bidi="ar-SA"/>
          </w:rPr>
          <w:t>2015 BCSC 1886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At para. 186 of the reasons indexed at </w:t>
      </w:r>
      <w:hyperlink r:id="rId766" w:history="1">
        <w:r>
          <w:rPr>
            <w:rFonts w:ascii="arial" w:eastAsia="arial" w:hAnsi="arial" w:cs="arial"/>
            <w:i/>
            <w:color w:val="0077CC"/>
            <w:sz w:val="20"/>
            <w:u w:val="single"/>
            <w:shd w:val="clear" w:color="auto" w:fill="FFFFFF"/>
            <w:lang w:val="en-US" w:eastAsia="en-US" w:bidi="ar-SA"/>
          </w:rPr>
          <w:t>2019 BCSC 944</w:t>
        </w:r>
      </w:hyperlink>
      <w:r>
        <w:rPr>
          <w:rFonts w:ascii="arial" w:eastAsia="arial" w:hAnsi="arial" w:cs="arial"/>
          <w:color w:val="000000"/>
          <w:sz w:val="20"/>
          <w:lang w:val="en-US" w:eastAsia="en-US" w:bidi="ar-SA"/>
        </w:rPr>
        <w:t xml:space="preserve"> I summarized the result of the litigation between the personal parties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summary: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Grist J.'s finding that Mr. Hutchison must account for his secret profits, the amount Mr. Hutchison owes the partnership is $476,258.59.</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Hutchison should have billed $88,472.05 for work performed prior to the dissolution of the firm. By failing to bill this work, and delaying in collecting the accounts he did bill, he breached his fiduciary duties to the partnership.</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Hutchison is liable under the tort of conversion for the wrongful interference of Mr. McKnight's funds. Mr. Hutchison must pay $32,255.66 plus the consequential loss of these funds to the partnership.</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award to the plaintiff in this case the sum of $150,000 for punitive damages.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interest: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amount withheld from the partnership, net of the set off that I determined, the interest will run from the date of the termination of the partnership that I have determined; November 8, 1999;</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fees and disbursements that I have determined should have been billed and collected, but were not, the interest will run from May 8, 2000, which is six months following the termination of the partnership;</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conversion was not pleaded until December 11, 2018. In the result, interest will not run on this head of damages until the date that the claim was made;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punitive damages award, interest will run on this award from November 8, 2009.</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costs, the plaintiff proposed, and I agree that the entitlement of the parties to costs should await these reasons for judgment. Now that they are available, I will permit the plaintiff two weeks to file written submissions, not to exceed 15 pages in length, with respect to costs, and the defendants will have two weeks thereafter to file their submissions with the same 15 page limit. The plaintiff will have one week thereafter to file any written reply, not to exceed five pages in length. The parties need not file briefs of authorities, but must include full citations and paragraph references for any authorities that they rely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Having received the parties written submissions as to costs, I will set out my decision and the reasons therefore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orders that:</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pay special costs of the action from the date of commencement of this action until the conclusion of the defendants' reconsideration application;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pay "uplift" costs at Scale C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from the conclusion of the reconsideration hearing through to and including the filing of my supplementary reasons for judgment indexed at </w:t>
      </w:r>
      <w:hyperlink r:id="rId768" w:history="1">
        <w:r>
          <w:rPr>
            <w:rFonts w:ascii="arial" w:eastAsia="arial" w:hAnsi="arial" w:cs="arial"/>
            <w:i/>
            <w:color w:val="0077CC"/>
            <w:sz w:val="20"/>
            <w:u w:val="single"/>
            <w:shd w:val="clear" w:color="auto" w:fill="FFFFFF"/>
            <w:lang w:val="en-US" w:eastAsia="en-US" w:bidi="ar-SA"/>
          </w:rPr>
          <w:t>2016 BCSC 137</w:t>
        </w:r>
      </w:hyperlink>
      <w:r>
        <w:rPr>
          <w:rFonts w:ascii="arial" w:eastAsia="arial" w:hAnsi="arial" w:cs="arial"/>
          <w:color w:val="000000"/>
          <w:sz w:val="20"/>
          <w:lang w:val="en-US" w:eastAsia="en-US" w:bidi="ar-SA"/>
        </w:rPr>
        <w:t>, and dated January 29, 2016;</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pay all disbursements necessarily or properly incurred by the plaintiff in this action, including all hearing fees and transcripts;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awards made to the plaintiff be paid out of partnership funds currently held in trust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personal defendant contends that the result of the litigation between himself and the plaintiff was a mixed success, and that any cost award should be ordinary costs at Scale B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Necessity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contends that the genesis of this action was the personal defendant's unwillingness to amend his pleadings in the action before Mr. Justice Grist that is referred to in para. 186 in my reasons for judgment indexed at </w:t>
      </w:r>
      <w:hyperlink r:id="rId766" w:history="1">
        <w:r>
          <w:rPr>
            <w:rFonts w:ascii="arial" w:eastAsia="arial" w:hAnsi="arial" w:cs="arial"/>
            <w:i/>
            <w:color w:val="0077CC"/>
            <w:sz w:val="20"/>
            <w:u w:val="single"/>
            <w:shd w:val="clear" w:color="auto" w:fill="FFFFFF"/>
            <w:lang w:val="en-US" w:eastAsia="en-US" w:bidi="ar-SA"/>
          </w:rPr>
          <w:t>2019 BCSC 944</w:t>
        </w:r>
      </w:hyperlink>
      <w:r>
        <w:rPr>
          <w:rFonts w:ascii="arial" w:eastAsia="arial" w:hAnsi="arial" w:cs="arial"/>
          <w:color w:val="000000"/>
          <w:sz w:val="20"/>
          <w:lang w:val="en-US" w:eastAsia="en-US" w:bidi="ar-SA"/>
        </w:rPr>
        <w:t>, and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am unable to accept that as a basis for awarding costs in this case. Even if the personal defendant had amended his pleadings as the plaintiff says he should, the plaintiff would still have faced the obligation to prove the claims that he advanced against both of the named defendants in the style of cause, necessitating the same or similar evidence and arguments. While the ultimate result might have come about sooner, I am unable to see that the issues between the parties would have differed with the amendments that the plaintiff says ought to have been made, or that the case would have taken on a less confrontational or adversarial complexion.</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Attempts to Resolve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asserts that he attempted to settle the issues between himself and the defendants, but received no response to his efforts to do so. He also contends that he sought a resolution of the issues by way of mediation, which the personal defendant ignored, and that the conduct of the personal defendant in denying him access to file material belonging to their partnership thwarted his ability to make an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Accepting, for the sake of argument, that each of these assertions is correct, I am unable to agree that they can or should be factored into the analysis of the entitlement or obligation to pay costs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settlement offer was an effort to resolve only some of the issues between the parties, not the issues in their entirety, and was not pursued by the plaintiff when he received no response from the personal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the defendants ought to have responded to the notice to mediate served by the plaintiff, it was open to the plaintiff to pursue mediation further, and he did not do so. Given the inability of the parties to resolve much, if anything, before me, I am persuaded that mediation did not offer any real prospect of success, and would simply have added to the costs of the dispute between them. In the result, I do not see the failure to pursue mediation as a loss to the plaintiff that assists him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Insofar as the file material is concerned, the plaintiff has pointed to no settlement offer, even when it was produced, so I am not persuaded that earlier production would have brought about a settlement offer that could affect the outcome on costs in the case.</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Rule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Subrules 14-1(1) and (9)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 in part,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costs are payable to a party under these Supreme Court Civil Rules or by order, those costs must be assessed as party and party costs in accordance with Appendix B unless any of the following circumstances exist: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consent to the amount of costs and file a certificate of costs setting out that amount;</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orders that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 proceeding be assessed as special costs, or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an application, a step or any other matter in the proceeding be assessed as special costs in which event, subject to subrule (10), costs in relation to all other applications, steps and matters in the proceeding must be determined and assessed under this rule in accordance with this subrule;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Connor Estate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2017 BCSC 1341</w:t>
        </w:r>
      </w:hyperlink>
      <w:r>
        <w:rPr>
          <w:rFonts w:ascii="arial" w:eastAsia="arial" w:hAnsi="arial" w:cs="arial"/>
          <w:color w:val="000000"/>
          <w:sz w:val="20"/>
          <w:lang w:val="en-US" w:eastAsia="en-US" w:bidi="ar-SA"/>
        </w:rPr>
        <w:t>, Mr. Justice Kent held at paras. 10-12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14-1 addresses costs. Subrule 14-1(1)(9) provides that, generally speaking, "costs of a proceeding must be awarded to the successful party unless the court otherwise orders".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Success has been equated to "substantial success". In </w:t>
            </w:r>
            <w:r>
              <w:rPr>
                <w:rFonts w:ascii="arial" w:eastAsia="arial" w:hAnsi="arial" w:cs="arial"/>
                <w:i/>
                <w:color w:val="000000"/>
                <w:sz w:val="18"/>
                <w:lang w:val="en-US" w:eastAsia="en-US" w:bidi="ar-SA"/>
              </w:rPr>
              <w:t>Fotheringham v. Fotheringham</w:t>
            </w:r>
            <w:r>
              <w:rPr>
                <w:rFonts w:ascii="arial" w:eastAsia="arial" w:hAnsi="arial" w:cs="arial"/>
                <w:color w:val="000000"/>
                <w:sz w:val="18"/>
                <w:lang w:val="en-US" w:eastAsia="en-US" w:bidi="ar-SA"/>
              </w:rPr>
              <w:t xml:space="preserve">, </w:t>
            </w:r>
            <w:hyperlink r:id="rId769" w:history="1">
              <w:r>
                <w:rPr>
                  <w:rFonts w:ascii="arial" w:eastAsia="arial" w:hAnsi="arial" w:cs="arial"/>
                  <w:i/>
                  <w:color w:val="0077CC"/>
                  <w:sz w:val="18"/>
                  <w:u w:val="single"/>
                  <w:shd w:val="clear" w:color="auto" w:fill="FFFFFF"/>
                  <w:lang w:val="en-US" w:eastAsia="en-US" w:bidi="ar-SA"/>
                </w:rPr>
                <w:t>2001 BCSC 1321</w:t>
              </w:r>
            </w:hyperlink>
            <w:r>
              <w:rPr>
                <w:rFonts w:ascii="arial" w:eastAsia="arial" w:hAnsi="arial" w:cs="arial"/>
                <w:color w:val="000000"/>
                <w:sz w:val="18"/>
                <w:lang w:val="en-US" w:eastAsia="en-US" w:bidi="ar-SA"/>
              </w:rPr>
              <w:t>, the court held that, as a rule of thumb, substantial success occurs when the prevailing party succeeds on 75% of the matters in dispute, considered globally.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Offers to settle are not considered in determining substantial success. That is because substantial success is determined by comparing the positions taken by the parties at the trial or the hearing against the end result. The position taken by a party at this later date may be substantially different than that set out in any earlier offer to settle.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contends that he achieved substantial success in this case, by obtaining an order that the personal defendant pay his capital account deficit, account for the secret profits that he obtained, pay damages for his breach of fiduciary duty at roughly 80% of the amount sought by the plaintiff, pay damages to the partnership for conversion, and pay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personal defendant points out that the declaration for dissolution of the partnership sought by the plaintiff was dismissed, as was his claim for the appointment of a receiver. The plaintiff's claim that the personal defendant pay the plaintiff's capital account, the plaintiff's claim regarding the partnership's estate and corporate files, and his claim against the corporate defendant were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do not regard the refusal of a declaration for dissolution of the partnership as going against the plaintiff. That refusal was due to the timing of events in the litigation, and was unnecessary given the order for a winding up of the partnership, which favoured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Nor am I persuaded that the "traditional" approach, as described by Alison R. Manzer in </w:t>
      </w:r>
      <w:r>
        <w:rPr>
          <w:rFonts w:ascii="arial" w:eastAsia="arial" w:hAnsi="arial" w:cs="arial"/>
          <w:i/>
          <w:color w:val="000000"/>
          <w:sz w:val="20"/>
          <w:lang w:val="en-US" w:eastAsia="en-US" w:bidi="ar-SA"/>
        </w:rPr>
        <w:t>A Practical Guide to Canadian Partnership Law</w:t>
      </w:r>
      <w:r>
        <w:rPr>
          <w:rFonts w:ascii="arial" w:eastAsia="arial" w:hAnsi="arial" w:cs="arial"/>
          <w:color w:val="000000"/>
          <w:sz w:val="20"/>
          <w:lang w:val="en-US" w:eastAsia="en-US" w:bidi="ar-SA"/>
        </w:rPr>
        <w:t xml:space="preserve"> (Toronto: Thomson Reuters, 2017) (loose-leaf revision, 2018), whereby the costs of accounting and winding up procedures are charged to a partnership should be applied. The author herself commented at page 4-28.12 the traditional approach applies "[i]n the absence of special circumstances, such as misconduct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costs of an accounting among partners are payable out of the assets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reason that the partnership had to be either wound up or dissolved was due to the misconduct of the personal defendant, and I find that the circumstances of this case would be an exception to the traditional approach to the costs of accounting and winding up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the refusal to appoint a receiver did not benefit either party, and in fact, in all likelihood saved each the expense that would have been associated with such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dismissal of the plaintiff's claim that the personal defendant pay the plaintiff's capital account is of little real benefit to the personal defendant, as the other payments that I have ordered him to make to the partnership, if made, should result in the plaintiff recovering his capital account from funds paid by the personal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see the treatment of the partnership's estates and corporate files as benefiting either of the personal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dismissal of the plaintiff's claim against the corporate defendant is a rather pyrrhic victory for the personal defendant as the corporate defendant had no apparent means to make payments to the plaintiff and its joint representation by the personal defendant created no additional effort on his part, nor any additional effort on the plaintiff's part. I order that there be no costs with respect to the proceedings against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personal defendant described as neutral the outcome of the plaintiff's claim for use of the partnership's assets, my reference to the Registrar, the claim for directions of the winding up of the partnership, the consideration of the defendant's payment of accounting charges, and a determination of the use of the partnership funds by each of the personal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view the order respecting use of assets as an interim order that now accrues to the benefit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reference to the Registrar was a necessary step in the litigation that was not as productive as I had hoped for, but ultimately benefitted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parties did obtain the direction of the court that the partnership be wound up pursuant to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That direction will be of benefit to both parties, but given that the plaintiff is in a positive position with respect to his capital account, and the personal defendant is in a negative position, this direction will be of benefit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not persuaded that the consideration of the defendant's payment of accounting charges or a determination of the use of the partnership funds by each of the personal parties are issues that generated any real burden on either side in this case, and see no reason to place any weight thereon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reject the claim of the personal defendant that the storage costs he incurred for the storage of the partnership files during the litigation warrants an order of costs in his favour, either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I am satisfied that although he did not enjoy the recovery of all of the claims he advanced, the plaintiff did achieve substantial success in this case, entitling him to an order for his costs.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the plaintiff is correct in his assertion that special costs can be awarded for both compensatory and disciplinary reasons, it is my view that the personal defendant ought not to be twice penalized for the same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relies upon comments made respecting special costs at paras. 135 and 136 in my decision in </w:t>
      </w:r>
      <w:r>
        <w:rPr>
          <w:rFonts w:ascii="arial" w:eastAsia="arial" w:hAnsi="arial" w:cs="arial"/>
          <w:i/>
          <w:color w:val="000000"/>
          <w:sz w:val="20"/>
          <w:lang w:val="en-US" w:eastAsia="en-US" w:bidi="ar-SA"/>
        </w:rPr>
        <w:t>Stewart v. Stewart</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2019 BCSC 985</w:t>
        </w:r>
      </w:hyperlink>
      <w:r>
        <w:rPr>
          <w:rFonts w:ascii="arial" w:eastAsia="arial" w:hAnsi="arial" w:cs="arial"/>
          <w:color w:val="000000"/>
          <w:sz w:val="20"/>
          <w:lang w:val="en-US" w:eastAsia="en-US" w:bidi="ar-SA"/>
        </w:rPr>
        <w:t>. Those comments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Special costs are reserved for cases where the conduct of a party is scandalous, outrageous or reprehensible in the course of litigation, and is deserving of punishment or rebuke: see </w:t>
            </w:r>
            <w:r>
              <w:rPr>
                <w:rFonts w:ascii="arial" w:eastAsia="arial" w:hAnsi="arial" w:cs="arial"/>
                <w:i/>
                <w:color w:val="000000"/>
                <w:sz w:val="18"/>
                <w:lang w:val="en-US" w:eastAsia="en-US" w:bidi="ar-SA"/>
              </w:rPr>
              <w:t>Nazmdeh v. Spraggs</w:t>
            </w:r>
            <w:r>
              <w:rPr>
                <w:rFonts w:ascii="arial" w:eastAsia="arial" w:hAnsi="arial" w:cs="arial"/>
                <w:color w:val="000000"/>
                <w:sz w:val="18"/>
                <w:lang w:val="en-US" w:eastAsia="en-US" w:bidi="ar-SA"/>
              </w:rPr>
              <w:t xml:space="preserve">, </w:t>
            </w:r>
            <w:hyperlink r:id="rId771" w:history="1">
              <w:r>
                <w:rPr>
                  <w:rFonts w:ascii="arial" w:eastAsia="arial" w:hAnsi="arial" w:cs="arial"/>
                  <w:i/>
                  <w:color w:val="0077CC"/>
                  <w:sz w:val="18"/>
                  <w:u w:val="single"/>
                  <w:shd w:val="clear" w:color="auto" w:fill="FFFFFF"/>
                  <w:lang w:val="en-US" w:eastAsia="en-US" w:bidi="ar-SA"/>
                </w:rPr>
                <w:t>2010 BCCA 131</w:t>
              </w:r>
            </w:hyperlink>
            <w:r>
              <w:rPr>
                <w:rFonts w:ascii="arial" w:eastAsia="arial" w:hAnsi="arial" w:cs="arial"/>
                <w:color w:val="000000"/>
                <w:sz w:val="18"/>
                <w:lang w:val="en-US" w:eastAsia="en-US" w:bidi="ar-SA"/>
              </w:rPr>
              <w:t xml:space="preserve">; and </w:t>
            </w:r>
            <w:r>
              <w:rPr>
                <w:rFonts w:ascii="arial" w:eastAsia="arial" w:hAnsi="arial" w:cs="arial"/>
                <w:i/>
                <w:color w:val="000000"/>
                <w:sz w:val="18"/>
                <w:lang w:val="en-US" w:eastAsia="en-US" w:bidi="ar-SA"/>
              </w:rPr>
              <w:t>Smithies Holdings Inc. v. RCV Holdings Ltd.</w:t>
            </w:r>
            <w:r>
              <w:rPr>
                <w:rFonts w:ascii="arial" w:eastAsia="arial" w:hAnsi="arial" w:cs="arial"/>
                <w:color w:val="000000"/>
                <w:sz w:val="18"/>
                <w:lang w:val="en-US" w:eastAsia="en-US" w:bidi="ar-SA"/>
              </w:rPr>
              <w:t xml:space="preserve">, </w:t>
            </w:r>
            <w:hyperlink r:id="rId651" w:history="1">
              <w:r>
                <w:rPr>
                  <w:rFonts w:ascii="arial" w:eastAsia="arial" w:hAnsi="arial" w:cs="arial"/>
                  <w:i/>
                  <w:color w:val="0077CC"/>
                  <w:sz w:val="18"/>
                  <w:u w:val="single"/>
                  <w:shd w:val="clear" w:color="auto" w:fill="FFFFFF"/>
                  <w:lang w:val="en-US" w:eastAsia="en-US" w:bidi="ar-SA"/>
                </w:rPr>
                <w:t>2017 BCCA 177</w:t>
              </w:r>
            </w:hyperlink>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Garcia v. Crestbrook Forest Industries Ltd. No. 2</w:t>
            </w:r>
            <w:r>
              <w:rPr>
                <w:rFonts w:ascii="arial" w:eastAsia="arial" w:hAnsi="arial" w:cs="arial"/>
                <w:color w:val="000000"/>
                <w:sz w:val="18"/>
                <w:lang w:val="en-US" w:eastAsia="en-US" w:bidi="ar-SA"/>
              </w:rPr>
              <w:t xml:space="preserve"> </w:t>
            </w:r>
            <w:hyperlink r:id="rId20" w:history="1">
              <w:r>
                <w:rPr>
                  <w:rFonts w:ascii="arial" w:eastAsia="arial" w:hAnsi="arial" w:cs="arial"/>
                  <w:i/>
                  <w:color w:val="0077CC"/>
                  <w:sz w:val="18"/>
                  <w:u w:val="single"/>
                  <w:shd w:val="clear" w:color="auto" w:fill="FFFFFF"/>
                  <w:lang w:val="en-US" w:eastAsia="en-US" w:bidi="ar-SA"/>
                </w:rPr>
                <w:t>(1994), 9 B.C.L.R. (3d) 242</w:t>
              </w:r>
            </w:hyperlink>
            <w:r>
              <w:rPr>
                <w:rFonts w:ascii="arial" w:eastAsia="arial" w:hAnsi="arial" w:cs="arial"/>
                <w:color w:val="000000"/>
                <w:sz w:val="18"/>
                <w:lang w:val="en-US" w:eastAsia="en-US" w:bidi="ar-SA"/>
              </w:rPr>
              <w:t xml:space="preserve"> (C.A.) at para. 17, Mr. Justice Lambert, speaking for the court, concluded: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for the award of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2018 BCCA 325</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contends that the personal defendant's pre-litigation conduct, his taking secret profits amounting to fraud, breach of fiduciary duty, conversion of funds, groundless allegations respecting the plaintiff, non-disclosure of documents and information, breach of court orders, efforts to mislead the court, and conduct that prolonged the litigation are all factors that warrant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finding that the personal defendant took secret profits was one made in pervious litigation between the parties by Mr. Justice Grist. I do not consider that it is a factor that should affect any award of costs in the proceedings that were heard by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Similarly, the matters between the parties that were considered by Mr. Justice Halfyard should not be revisited with respect to costs in the case heard by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directions to the Registrar, and in my own assessment of the accounts that the personal defendant did, or ought to have rendered and collected, I addressed his non-disclosure of documents and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referred me to paragraphs 170-171 in the decision of Mr. Justice Edwards in </w:t>
      </w:r>
      <w:r>
        <w:rPr>
          <w:rFonts w:ascii="arial" w:eastAsia="arial" w:hAnsi="arial" w:cs="arial"/>
          <w:i/>
          <w:color w:val="000000"/>
          <w:sz w:val="20"/>
          <w:lang w:val="en-US" w:eastAsia="en-US" w:bidi="ar-SA"/>
        </w:rPr>
        <w:t>Golden Capital Sec. Ltd. v. Holmes et al</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2003 BCSC 1265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There is no definitive statement of law to date regarding the relationship of awards of punitive damages and special costs in terms of the same pre-litigation and litigation process conduct of a defendant. This has led the authors of McLachlin and Taylor, </w:t>
            </w:r>
            <w:r>
              <w:rPr>
                <w:rFonts w:ascii="arial" w:eastAsia="arial" w:hAnsi="arial" w:cs="arial"/>
                <w:i/>
                <w:color w:val="000000"/>
                <w:sz w:val="18"/>
                <w:lang w:val="en-US" w:eastAsia="en-US" w:bidi="ar-SA"/>
              </w:rPr>
              <w:t>British Columbia Practice</w:t>
            </w:r>
            <w:r>
              <w:rPr>
                <w:rFonts w:ascii="arial" w:eastAsia="arial" w:hAnsi="arial" w:cs="arial"/>
                <w:color w:val="000000"/>
                <w:sz w:val="18"/>
                <w:lang w:val="en-US" w:eastAsia="en-US" w:bidi="ar-SA"/>
              </w:rPr>
              <w:t>, Vol. 2, 2nd ed., looseleaf at 57 - 81.3, to state: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clear whether conduct giving rise to the cause of action can be punished by both punitive damages and by special costs, in the absence of continuing misconduct during the course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converse of this statement is obvious: where the misconduct continues during the course of litigation, the conduct giving rise to the cause of action can be punished by both punitive damages and by special costs. Thus, special costs can be ordered in addition to punitive damages where reprehensible pre-litigation conduct is combined with reprehensible conduct during the litigation process. See </w:t>
            </w:r>
            <w:r>
              <w:rPr>
                <w:rFonts w:ascii="arial" w:eastAsia="arial" w:hAnsi="arial" w:cs="arial"/>
                <w:i/>
                <w:color w:val="000000"/>
                <w:sz w:val="18"/>
                <w:lang w:val="en-US" w:eastAsia="en-US" w:bidi="ar-SA"/>
              </w:rPr>
              <w:t>International Forest Products Ltd. v. Higgs</w:t>
            </w:r>
            <w:r>
              <w:rPr>
                <w:rFonts w:ascii="arial" w:eastAsia="arial" w:hAnsi="arial" w:cs="arial"/>
                <w:color w:val="000000"/>
                <w:sz w:val="18"/>
                <w:lang w:val="en-US" w:eastAsia="en-US" w:bidi="ar-SA"/>
              </w:rPr>
              <w:t xml:space="preserve">, </w:t>
            </w:r>
            <w:hyperlink r:id="rId773" w:history="1">
              <w:r>
                <w:rPr>
                  <w:rFonts w:ascii="arial" w:eastAsia="arial" w:hAnsi="arial" w:cs="arial"/>
                  <w:i/>
                  <w:color w:val="0077CC"/>
                  <w:sz w:val="18"/>
                  <w:u w:val="single"/>
                  <w:shd w:val="clear" w:color="auto" w:fill="FFFFFF"/>
                  <w:lang w:val="en-US" w:eastAsia="en-US" w:bidi="ar-SA"/>
                </w:rPr>
                <w:t>[1997] B.C.J. No. 745</w:t>
              </w:r>
            </w:hyperlink>
            <w:r>
              <w:rPr>
                <w:rFonts w:ascii="arial" w:eastAsia="arial" w:hAnsi="arial" w:cs="arial"/>
                <w:color w:val="000000"/>
                <w:sz w:val="18"/>
                <w:lang w:val="en-US" w:eastAsia="en-US" w:bidi="ar-SA"/>
              </w:rPr>
              <w:t xml:space="preserve"> para. 12 (S.C.).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same decision, Edwards J. discussed what he described as "the double penalty" where both punitive damages and special costs are sought. At paras. 172-176 he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Shipp v. Tremblay</w:t>
            </w:r>
            <w:r>
              <w:rPr>
                <w:rFonts w:ascii="arial" w:eastAsia="arial" w:hAnsi="arial" w:cs="arial"/>
                <w:color w:val="000000"/>
                <w:sz w:val="18"/>
                <w:lang w:val="en-US" w:eastAsia="en-US" w:bidi="ar-SA"/>
              </w:rPr>
              <w:t xml:space="preserve">, </w:t>
            </w:r>
            <w:hyperlink r:id="rId774" w:history="1">
              <w:r>
                <w:rPr>
                  <w:rFonts w:ascii="arial" w:eastAsia="arial" w:hAnsi="arial" w:cs="arial"/>
                  <w:i/>
                  <w:color w:val="0077CC"/>
                  <w:sz w:val="18"/>
                  <w:u w:val="single"/>
                  <w:shd w:val="clear" w:color="auto" w:fill="FFFFFF"/>
                  <w:lang w:val="en-US" w:eastAsia="en-US" w:bidi="ar-SA"/>
                </w:rPr>
                <w:t>[1998] B.C.J. No. 2088</w:t>
              </w:r>
            </w:hyperlink>
            <w:r>
              <w:rPr>
                <w:rFonts w:ascii="arial" w:eastAsia="arial" w:hAnsi="arial" w:cs="arial"/>
                <w:color w:val="000000"/>
                <w:sz w:val="18"/>
                <w:lang w:val="en-US" w:eastAsia="en-US" w:bidi="ar-SA"/>
              </w:rPr>
              <w:t xml:space="preserve"> (S.C.), Macaulay J. considered the relationship between an award of punitive damages and an order for special costs and stated at para. 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as here, the conduct justified punitive damages, care must be taken to avoid the appearance of double punishment for the same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order to deal with the issue of "double penalty", Meiklem J. in [</w:t>
            </w:r>
            <w:r>
              <w:rPr>
                <w:rFonts w:ascii="arial" w:eastAsia="arial" w:hAnsi="arial" w:cs="arial"/>
                <w:i/>
                <w:color w:val="000000"/>
                <w:sz w:val="18"/>
                <w:lang w:val="en-US" w:eastAsia="en-US" w:bidi="ar-SA"/>
              </w:rPr>
              <w:t>Verleg v. Angeloni</w:t>
            </w:r>
            <w:r>
              <w:rPr>
                <w:rFonts w:ascii="arial" w:eastAsia="arial" w:hAnsi="arial" w:cs="arial"/>
                <w:color w:val="000000"/>
                <w:sz w:val="18"/>
                <w:lang w:val="en-US" w:eastAsia="en-US" w:bidi="ar-SA"/>
              </w:rPr>
              <w:t xml:space="preserve">, </w:t>
            </w:r>
            <w:hyperlink r:id="rId775" w:history="1">
              <w:r>
                <w:rPr>
                  <w:rFonts w:ascii="arial" w:eastAsia="arial" w:hAnsi="arial" w:cs="arial"/>
                  <w:i/>
                  <w:color w:val="0077CC"/>
                  <w:sz w:val="18"/>
                  <w:u w:val="single"/>
                  <w:shd w:val="clear" w:color="auto" w:fill="FFFFFF"/>
                  <w:lang w:val="en-US" w:eastAsia="en-US" w:bidi="ar-SA"/>
                </w:rPr>
                <w:t>[1993] B.C.J. No. 1762</w:t>
              </w:r>
            </w:hyperlink>
            <w:r>
              <w:rPr>
                <w:rFonts w:ascii="arial" w:eastAsia="arial" w:hAnsi="arial" w:cs="arial"/>
                <w:color w:val="000000"/>
                <w:sz w:val="18"/>
                <w:lang w:val="en-US" w:eastAsia="en-US" w:bidi="ar-SA"/>
              </w:rPr>
              <w:t>] at para. 13 decided: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at bar did of course involve fraud and would fall within the exceptions to the general rule set out in </w:t>
      </w:r>
      <w:r>
        <w:rPr>
          <w:rFonts w:ascii="arial" w:eastAsia="arial" w:hAnsi="arial" w:cs="arial"/>
          <w:i/>
          <w:color w:val="000000"/>
          <w:sz w:val="20"/>
          <w:lang w:val="en-US" w:eastAsia="en-US" w:bidi="ar-SA"/>
        </w:rPr>
        <w:t>Nygard</w:t>
      </w:r>
      <w:r>
        <w:rPr>
          <w:rFonts w:ascii="arial" w:eastAsia="arial" w:hAnsi="arial" w:cs="arial"/>
          <w:color w:val="000000"/>
          <w:sz w:val="20"/>
          <w:lang w:val="en-US" w:eastAsia="en-US" w:bidi="ar-SA"/>
        </w:rPr>
        <w:t xml:space="preserve"> so that even without the finding of misbehaviour in the conduct of litigation, special costs would be justified. In that event however, to avoid double penalty for the same misconduct, there should be an award of special costs less the amount ordered for punitive damages, thus avoiding an unfair penalty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However, in </w:t>
            </w:r>
            <w:r>
              <w:rPr>
                <w:rFonts w:ascii="arial" w:eastAsia="arial" w:hAnsi="arial" w:cs="arial"/>
                <w:i/>
                <w:color w:val="000000"/>
                <w:sz w:val="18"/>
                <w:lang w:val="en-US" w:eastAsia="en-US" w:bidi="ar-SA"/>
              </w:rPr>
              <w:t>J &amp; P Gourmet House Ltd. v. Li</w:t>
            </w:r>
            <w:r>
              <w:rPr>
                <w:rFonts w:ascii="arial" w:eastAsia="arial" w:hAnsi="arial" w:cs="arial"/>
                <w:color w:val="000000"/>
                <w:sz w:val="18"/>
                <w:lang w:val="en-US" w:eastAsia="en-US" w:bidi="ar-SA"/>
              </w:rPr>
              <w:t xml:space="preserve">, </w:t>
            </w:r>
            <w:hyperlink r:id="rId776" w:history="1">
              <w:r>
                <w:rPr>
                  <w:rFonts w:ascii="arial" w:eastAsia="arial" w:hAnsi="arial" w:cs="arial"/>
                  <w:i/>
                  <w:color w:val="0077CC"/>
                  <w:sz w:val="18"/>
                  <w:u w:val="single"/>
                  <w:shd w:val="clear" w:color="auto" w:fill="FFFFFF"/>
                  <w:lang w:val="en-US" w:eastAsia="en-US" w:bidi="ar-SA"/>
                </w:rPr>
                <w:t>[1993] B.C.J. No. 2459</w:t>
              </w:r>
            </w:hyperlink>
            <w:r>
              <w:rPr>
                <w:rFonts w:ascii="arial" w:eastAsia="arial" w:hAnsi="arial" w:cs="arial"/>
                <w:color w:val="000000"/>
                <w:sz w:val="18"/>
                <w:lang w:val="en-US" w:eastAsia="en-US" w:bidi="ar-SA"/>
              </w:rPr>
              <w:t xml:space="preserve"> (C.A.), Hollinrake J.A., when faced with Meiklem J.'s solution to the issue of "double penalty", wrote at para. 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appellants' position that the punitive damages should be deducted from the increased costs, we were referred to [</w:t>
      </w:r>
      <w:r>
        <w:rPr>
          <w:rFonts w:ascii="arial" w:eastAsia="arial" w:hAnsi="arial" w:cs="arial"/>
          <w:i/>
          <w:color w:val="000000"/>
          <w:sz w:val="20"/>
          <w:lang w:val="en-US" w:eastAsia="en-US" w:bidi="ar-SA"/>
        </w:rPr>
        <w:t>Verleg</w:t>
      </w:r>
      <w:r>
        <w:rPr>
          <w:rFonts w:ascii="arial" w:eastAsia="arial" w:hAnsi="arial" w:cs="arial"/>
          <w:color w:val="000000"/>
          <w:sz w:val="20"/>
          <w:lang w:val="en-US" w:eastAsia="en-US" w:bidi="ar-SA"/>
        </w:rPr>
        <w:t>], a decision of Mr. Justice Meiklem. In my opinion, that case is distinguishable on the facts before us. As I read the reasons for judgment of Mr. Justice Melnick in the case before us he awarded punitive damages on the basis of the conduct of the appellants with respect to the facts giving rise to the cause of action and the law suit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Therefore, where there is reprehensible pre-litigation conduct and conduct during the lawsuit itself, the issue of "double penalty" is not a relevant consideration, thus there is no need to deduct punitive damages from special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this case there is both pre-litigation conduct in the form of conspiracy to commit fraud which I have already found deserving of rebuke by way of punitive damages and conduct of some of the conspirators in the course of the litigation which is deserving of rebuke by way of special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While solicitor and client costs were awarded to both plaintiff's in addition to awards for punitive damages in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[1988] B.C.J. No. 644</w:t>
        </w:r>
      </w:hyperlink>
      <w:r>
        <w:rPr>
          <w:rFonts w:ascii="arial" w:eastAsia="arial" w:hAnsi="arial" w:cs="arial"/>
          <w:color w:val="000000"/>
          <w:sz w:val="20"/>
          <w:lang w:val="en-US" w:eastAsia="en-US" w:bidi="ar-SA"/>
        </w:rPr>
        <w:t xml:space="preserve"> (S.C.), rev'd on other grounds at </w:t>
      </w:r>
      <w:hyperlink r:id="rId778" w:history="1">
        <w:r>
          <w:rPr>
            <w:rFonts w:ascii="arial" w:eastAsia="arial" w:hAnsi="arial" w:cs="arial"/>
            <w:i/>
            <w:color w:val="0077CC"/>
            <w:sz w:val="20"/>
            <w:u w:val="single"/>
            <w:shd w:val="clear" w:color="auto" w:fill="FFFFFF"/>
            <w:lang w:val="en-US" w:eastAsia="en-US" w:bidi="ar-SA"/>
          </w:rPr>
          <w:t>76 D.L.R. (4th) 138</w:t>
        </w:r>
      </w:hyperlink>
      <w:r>
        <w:rPr>
          <w:rFonts w:ascii="arial" w:eastAsia="arial" w:hAnsi="arial" w:cs="arial"/>
          <w:color w:val="000000"/>
          <w:sz w:val="20"/>
          <w:lang w:val="en-US" w:eastAsia="en-US" w:bidi="ar-SA"/>
        </w:rPr>
        <w:t xml:space="preserve">, and to the plaintiff in </w:t>
      </w:r>
      <w:r>
        <w:rPr>
          <w:rFonts w:ascii="arial" w:eastAsia="arial" w:hAnsi="arial" w:cs="arial"/>
          <w:i/>
          <w:color w:val="000000"/>
          <w:sz w:val="20"/>
          <w:lang w:val="en-US" w:eastAsia="en-US" w:bidi="ar-SA"/>
        </w:rPr>
        <w:t>Dixon v. British Columbia Transit</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[1995] B.C.J. No. 2465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Dixon</w:t>
      </w:r>
      <w:r>
        <w:rPr>
          <w:rFonts w:ascii="arial" w:eastAsia="arial" w:hAnsi="arial" w:cs="arial"/>
          <w:color w:val="000000"/>
          <w:sz w:val="20"/>
          <w:lang w:val="en-US" w:eastAsia="en-US" w:bidi="ar-SA"/>
        </w:rPr>
        <w:t>], the awards were made without any consideration of the authorities that were later discussed by Edwards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Dixon</w:t>
      </w:r>
      <w:r>
        <w:rPr>
          <w:rFonts w:ascii="arial" w:eastAsia="arial" w:hAnsi="arial" w:cs="arial"/>
          <w:color w:val="000000"/>
          <w:sz w:val="20"/>
          <w:lang w:val="en-US" w:eastAsia="en-US" w:bidi="ar-SA"/>
        </w:rPr>
        <w:t xml:space="preserve">, Mr. Justice Hamilton followed the decision of Mr. Justice Cumming in </w:t>
      </w:r>
      <w:r>
        <w:rPr>
          <w:rFonts w:ascii="arial" w:eastAsia="arial" w:hAnsi="arial" w:cs="arial"/>
          <w:i/>
          <w:color w:val="000000"/>
          <w:sz w:val="20"/>
          <w:lang w:val="en-US" w:eastAsia="en-US" w:bidi="ar-SA"/>
        </w:rPr>
        <w:t>Fullerton et al v. Matsqui (District) et al</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(C.A.) who expressed the rule with respect to special costs in these terms at page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costs, or solicitor and client costs, are therefore awarded when a court seeks to disassociate itself from some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My award of significant punitive damages was made, as I described it in </w:t>
      </w:r>
      <w:hyperlink r:id="rId766" w:history="1">
        <w:r>
          <w:rPr>
            <w:rFonts w:ascii="arial" w:eastAsia="arial" w:hAnsi="arial" w:cs="arial"/>
            <w:i/>
            <w:color w:val="0077CC"/>
            <w:sz w:val="20"/>
            <w:u w:val="single"/>
            <w:shd w:val="clear" w:color="auto" w:fill="FFFFFF"/>
            <w:lang w:val="en-US" w:eastAsia="en-US" w:bidi="ar-SA"/>
          </w:rPr>
          <w:t>2019 BCSC 944</w:t>
        </w:r>
      </w:hyperlink>
      <w:r>
        <w:rPr>
          <w:rFonts w:ascii="arial" w:eastAsia="arial" w:hAnsi="arial" w:cs="arial"/>
          <w:color w:val="000000"/>
          <w:sz w:val="20"/>
          <w:lang w:val="en-US" w:eastAsia="en-US" w:bidi="ar-SA"/>
        </w:rPr>
        <w:t xml:space="preserve"> at para. 185 "to address the conduct of the defendant during and following the termination of the partnership", including the defendant's breach of fiduciary duty, conversion of funds, and breach of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Mr. Justice Goepel, writing for the court held at para. 134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Special costs should be reserved to punish and deter reprehensible conduct in the course of litigation. Pre-litigation conduct should not be considered in determining whether such an award is appropriate. There are other suitable mechanisms to censure pre-litigation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of the view that the conduct of the parties during the litigation does not entitle either to special costs, and that an award of special costs, in addition to the award to the plaintiff for punitive damages, would penalize the personal defendant twice for his pre-litigation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am not persuaded that either of the personal parties cloaked themselves in glory in the case before me, and each engaged in conduct that prolonged the litigation. While the personal defendant made unwarranted allegations against the plaintiff, in my reasons indexed at </w:t>
      </w:r>
      <w:hyperlink r:id="rId766" w:history="1">
        <w:r>
          <w:rPr>
            <w:rFonts w:ascii="arial" w:eastAsia="arial" w:hAnsi="arial" w:cs="arial"/>
            <w:i/>
            <w:color w:val="0077CC"/>
            <w:sz w:val="20"/>
            <w:u w:val="single"/>
            <w:shd w:val="clear" w:color="auto" w:fill="FFFFFF"/>
            <w:lang w:val="en-US" w:eastAsia="en-US" w:bidi="ar-SA"/>
          </w:rPr>
          <w:t>2019 BCSC 944</w:t>
        </w:r>
      </w:hyperlink>
      <w:r>
        <w:rPr>
          <w:rFonts w:ascii="arial" w:eastAsia="arial" w:hAnsi="arial" w:cs="arial"/>
          <w:color w:val="000000"/>
          <w:sz w:val="20"/>
          <w:lang w:val="en-US" w:eastAsia="en-US" w:bidi="ar-SA"/>
        </w:rPr>
        <w:t>, I found, among other concerns, that the plaintiff attempted to relitigate matters previously judicially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I decline to order special costs to the plaintiff.</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Section 2(5)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To support his claim for costs on other than the ordinary scale, the plaintiff relies upon the factors listed by Mr. Justice R.D. Wilson in </w:t>
      </w:r>
      <w:r>
        <w:rPr>
          <w:rFonts w:ascii="arial" w:eastAsia="arial" w:hAnsi="arial" w:cs="arial"/>
          <w:i/>
          <w:color w:val="000000"/>
          <w:sz w:val="20"/>
          <w:lang w:val="en-US" w:eastAsia="en-US" w:bidi="ar-SA"/>
        </w:rPr>
        <w:t>Mort v. Saanich School District No. 63 (Saanich)</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both the hearing conducted by the Master, and the latest hearing before me were protracted, the fault for that cannot be entirely visited upon the personal defendant. I decline to order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Payment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sought an order that he be paid out of partnership funds that are currently held in trust by him. In my reasons indexed at </w:t>
      </w:r>
      <w:hyperlink r:id="rId767" w:history="1">
        <w:r>
          <w:rPr>
            <w:rFonts w:ascii="arial" w:eastAsia="arial" w:hAnsi="arial" w:cs="arial"/>
            <w:i/>
            <w:color w:val="0077CC"/>
            <w:sz w:val="20"/>
            <w:u w:val="single"/>
            <w:shd w:val="clear" w:color="auto" w:fill="FFFFFF"/>
            <w:lang w:val="en-US" w:eastAsia="en-US" w:bidi="ar-SA"/>
          </w:rPr>
          <w:t>2015 BCSC 1886</w:t>
        </w:r>
      </w:hyperlink>
      <w:r>
        <w:rPr>
          <w:rFonts w:ascii="arial" w:eastAsia="arial" w:hAnsi="arial" w:cs="arial"/>
          <w:color w:val="000000"/>
          <w:sz w:val="20"/>
          <w:lang w:val="en-US" w:eastAsia="en-US" w:bidi="ar-SA"/>
        </w:rPr>
        <w:t xml:space="preserve">, I found at para. 44 that the priority of payment from the funds and assets of the partnership should be paid in accordance with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Only once those entitled to payment under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have been paid, should the partnership funds be used to pay the plaintiff's costs in this action in priority to any other payments due or owing to either the plaintiff or the defendant, based on the plaintiff's partnership interest, pursuant to para. 44(d) of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summary, I order the following:</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sought by the plaintiff for special costs is dismissed;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personal defendant is ordered to pay the plaintiff's costs at Scale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from the conclusion of the reconsideration hearing through to and including the filing of my supplementary reasons for judgment indexed at </w:t>
      </w:r>
      <w:hyperlink r:id="rId768" w:history="1">
        <w:r>
          <w:rPr>
            <w:rFonts w:ascii="arial" w:eastAsia="arial" w:hAnsi="arial" w:cs="arial"/>
            <w:i/>
            <w:color w:val="0077CC"/>
            <w:sz w:val="20"/>
            <w:u w:val="single"/>
            <w:shd w:val="clear" w:color="auto" w:fill="FFFFFF"/>
            <w:lang w:val="en-US" w:eastAsia="en-US" w:bidi="ar-SA"/>
          </w:rPr>
          <w:t>2016 BCSC 137</w:t>
        </w:r>
      </w:hyperlink>
      <w:r>
        <w:rPr>
          <w:rFonts w:ascii="arial" w:eastAsia="arial" w:hAnsi="arial" w:cs="arial"/>
          <w:color w:val="000000"/>
          <w:sz w:val="20"/>
          <w:lang w:val="en-US" w:eastAsia="en-US" w:bidi="ar-SA"/>
        </w:rPr>
        <w:t>, and dated January 29, 2016;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awards made to the plaintiff be paid out of partnership funds currently held in trust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Meade v. Armstrong (City), [2009] B.C.J. No. 2746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E.J. Adair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August 17,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S40909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Kamloops</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2746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1850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3724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186 A.C.W.S. (3d) 939</w:t>
      </w:r>
    </w:p>
    <w:p>
      <w:pPr>
        <w:spacing w:before="120" w:line="260" w:lineRule="atLeast"/>
        <w:rPr>
          <w:lang w:val="en-US" w:eastAsia="en-US" w:bidi="ar-SA"/>
        </w:rPr>
      </w:pPr>
      <w:r>
        <w:rPr>
          <w:rFonts w:ascii="arial" w:eastAsia="arial" w:hAnsi="arial" w:cs="arial"/>
          <w:color w:val="000000"/>
          <w:sz w:val="20"/>
          <w:lang w:val="en-US" w:eastAsia="en-US" w:bidi="ar-SA"/>
        </w:rPr>
        <w:t>Between Stuart Meade, Plaintiff, and City of Armstrong,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 paras.)</w:t>
      </w:r>
    </w:p>
    <w:p>
      <w:pPr>
        <w:jc w:val="both"/>
        <w:rPr>
          <w:lang w:val="en-US" w:eastAsia="en-US" w:bidi="ar-SA"/>
        </w:rPr>
      </w:pPr>
      <w:bookmarkStart w:id="142" w:name="Counsel_38"/>
      <w:bookmarkEnd w:id="14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9" style="position:absolute;z-index:2517053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his own behalf: Stuart Meade.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 Murray.</w:t>
      </w:r>
      <w:r>
        <w:rPr>
          <w:lang w:val="en-US" w:eastAsia="en-US" w:bidi="ar-SA"/>
        </w:rPr>
        <w:cr/>
      </w:r>
    </w:p>
    <w:p>
      <w:pPr>
        <w:spacing w:after="240"/>
        <w:rPr>
          <w:lang w:val="en-US" w:eastAsia="en-US" w:bidi="ar-SA"/>
        </w:rPr>
      </w:pPr>
      <w:bookmarkStart w:id="143" w:name="Judgment_38"/>
      <w:bookmarkEnd w:id="143"/>
      <w:r>
        <w:pict>
          <v:line id="_x0000_s1160" style="position:absolute;z-index:2517565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4" w:name="E.J. ADAIR J. (orally)"/>
            <w:bookmarkEnd w:id="144"/>
            <w:r>
              <w:rPr>
                <w:rFonts w:ascii="arial" w:eastAsia="arial" w:hAnsi="arial" w:cs="arial"/>
                <w:b/>
                <w:color w:val="000000"/>
                <w:sz w:val="30"/>
                <w:lang w:val="en-US" w:eastAsia="en-US" w:bidi="ar-SA"/>
              </w:rPr>
              <w:t>E.J. ADAIR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Stuart Meade, to set aside an order that was made on April 27, 2009, by Mr. Justice Groves, ordering that the Plaintiff Mr. Meade pay security for costs in the amount of $6,500 before being allowed to proceed with 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Mr. Justice Groves' order, the Defendant, the City of Armstrong, was granted leave to dismiss Mr. Meade's claim if the monies were not paid into court within nine months of the date of the order. The City was required to personally serve Mr. Justice Groves' order on Mr. Meade, and Mr. Meade was entitled to apply to set aside the order within seven days of being served with a copy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Meade was personally served with a copy of Mr. Justice Groves' order, and his application to set aside the order was made within seven days of the service. Mr. Meade concedes that he has not paid the security costs into court as ordered by Mr. Justice Groves.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Justice Groves' order was pronounced in somewhat unusual circumstances. Mr. Meade is representing himself in these proceedings against the City of Armstrong, in which he is apparently pleading a variety of torts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office, conversion and trespass to chattels. Mr. Meade has given as his address for delivery essentially a mailbox number. The material before me discloses that the City of Armstrong delivered its Motion and material in support to Mr. Meade's address for delivery in accordance with the rules. There was correspondence in advance of the hearing before Mr. Justice Groves on April 27th with respect to Mr. Meade's response and the hearing date. Notice of Hearing was delivered to Mr. Meade's address for delivery, but regrettably Mr. Meade did not check his mailbox regularly, and as a result did not attend the hearing before Mr. Justice Groves on the 27th of April.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Meade has attempted to distinguish this current action from a previous action that he filed against the City of Armstrong, which was dismissed with costs against Mr. Meade. Mr. Meade has still not paid the full amount of the costs in that proceeding. The basis on which Mr. Meade has attempted to distinguish this second action is that he has purported to name additional parties as defendants in the current action. But he has purported to do that simply by amending the Writ of Summons and Statement of Claim under Rule 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That, of course, is not sufficient where a person wishes to add parties to the litigation. So Mr. Meade's purported addition of party defendants in addition to the City of Armstrong is a nullity, as he made no application under Rule 24 and he had no court order granting leave to add those parties. That leaves the current action as essentially the same or substantially the same as the previous action that had been brought by Mr. Meade against the City of Armstrong.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An applicant under Rule 52(5) who has failed to appear on a Motion, such as Mr. Meade did in the application for security for costs before Mr. Justice Groves, despite being duly served, has the onus of establishing that the failure to appear is not blameworthy. I cite in support of that proposition a decision of the B.C. Court of Appeal in </w:t>
      </w:r>
      <w:r>
        <w:rPr>
          <w:rFonts w:ascii="arial" w:eastAsia="arial" w:hAnsi="arial" w:cs="arial"/>
          <w:b/>
          <w:i/>
          <w:color w:val="000000"/>
          <w:sz w:val="20"/>
          <w:lang w:val="en-US" w:eastAsia="en-US" w:bidi="ar-SA"/>
        </w:rPr>
        <w:t>B.C. Development Corp. v. Nab Holdings Ltd.</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[1986] B.C.J. No. 656</w:t>
        </w:r>
      </w:hyperlink>
      <w:r>
        <w:rPr>
          <w:rFonts w:ascii="arial" w:eastAsia="arial" w:hAnsi="arial" w:cs="arial"/>
          <w:color w:val="000000"/>
          <w:sz w:val="20"/>
          <w:lang w:val="en-US" w:eastAsia="en-US" w:bidi="ar-SA"/>
        </w:rPr>
        <w:t xml:space="preserve">. In that light, Mr. Meade was required to demonstrate that he was not guilty of wilful delay or default; secondly, that he has brought this application for reconsideration as soon as reasonably possible (and there is no issue with respect to that); but thirdly, that he has shown that he has a meritorious defence, or a claim at least worthy of investigation. In support of those points, counsel for the City of Armstrong has cited the </w:t>
      </w:r>
      <w:r>
        <w:rPr>
          <w:rFonts w:ascii="arial" w:eastAsia="arial" w:hAnsi="arial" w:cs="arial"/>
          <w:b/>
          <w:i/>
          <w:color w:val="000000"/>
          <w:sz w:val="20"/>
          <w:lang w:val="en-US" w:eastAsia="en-US" w:bidi="ar-SA"/>
        </w:rPr>
        <w:t>Rangi v. Rangi</w:t>
      </w:r>
      <w:r>
        <w:rPr>
          <w:rFonts w:ascii="arial" w:eastAsia="arial" w:hAnsi="arial" w:cs="arial"/>
          <w:color w:val="000000"/>
          <w:sz w:val="20"/>
          <w:lang w:val="en-US" w:eastAsia="en-US" w:bidi="ar-SA"/>
        </w:rPr>
        <w:t xml:space="preserve"> decision of the B.C. Court of Appeal indexed at </w:t>
      </w:r>
      <w:hyperlink r:id="rId788" w:history="1">
        <w:r>
          <w:rPr>
            <w:rFonts w:ascii="arial" w:eastAsia="arial" w:hAnsi="arial" w:cs="arial"/>
            <w:i/>
            <w:color w:val="0077CC"/>
            <w:sz w:val="20"/>
            <w:u w:val="single"/>
            <w:shd w:val="clear" w:color="auto" w:fill="FFFFFF"/>
            <w:lang w:val="en-US" w:eastAsia="en-US" w:bidi="ar-SA"/>
          </w:rPr>
          <w:t>2007 BCCA 352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Nevertheless, these components are not prerequisites to the order being set aside. The court must still exercise its discretion, and even if Mr. Meade failed to establish that the three components existed in this case, the court must still be satisfied on a balance of probabilities that permitting the order to stand would not constitute a miscarriage of justice. Authority for that proposition is found in </w:t>
      </w:r>
      <w:r>
        <w:rPr>
          <w:rFonts w:ascii="arial" w:eastAsia="arial" w:hAnsi="arial" w:cs="arial"/>
          <w:b/>
          <w:i/>
          <w:color w:val="000000"/>
          <w:sz w:val="20"/>
          <w:lang w:val="en-US" w:eastAsia="en-US" w:bidi="ar-SA"/>
        </w:rPr>
        <w:t>CMHC v. Bhalla</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2008 BCSC 1352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am satisfied in the circumstances here that Mr. Meade knew that there was a pending Motion by the City of Armstrong seeking security for costs. He was duly served with that Motion, and indeed delivered a response to that Motion. Nevertheless, he chose not to check his mail at his address for delivery on a daily or regular basis. The defendant, the City of Armstrong, served its Notice of Hearing and outline on the plaintiff at his address for delivery in accordance with the Rules of Court. The reason why it did not come to Mr. Meade's attention was Mr. Meade's fault. I am satisfied that the City of Armstrong did not rush into court precipitously without giving Mr. Meade a reasonable time to check his mailbox, see whether a Notice of Hearing had in fact been delivered with respect to the Motion that he knew was coming on for hearing. The hearing of the Motion did not proceed until almost two months after the Notice of Motion was served.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satisfied in the circumstances that Mr. Meade does not have a meritorious defence to the order for security for costs. The issues raised by the City of Armstrong in response to Mr. Meade's claim involve limitation issues, and Mr. Meade conceded that he still owes an outstanding judgment for costs to the City of Armstrong for litigation relating to the same incident as this second case. I am satisfied therefore that permitting Mr. Justice Groves' order to stand in the circumstances would not constitute a miscarriage of justice and I am dismissing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MURRAY: My Lady, if I may ask to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Costs will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E.J. ADAIR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05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Meadowridge School Society v. Allen, [2018] B.C.J. No. 3335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5-6 and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S170318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Meadowridge School Society, Plaintiff, and Felicia Allen and Epona Stable and Farms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jc w:val="both"/>
        <w:rPr>
          <w:rFonts w:ascii="arial" w:eastAsia="arial" w:hAnsi="arial" w:cs="arial"/>
          <w:sz w:val="20"/>
          <w:lang w:val="en-US" w:eastAsia="en-US" w:bidi="ar-SA"/>
        </w:rPr>
      </w:pPr>
      <w:bookmarkStart w:id="145" w:name="Counsel_39"/>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D.K. Georgetti.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F.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by Counterclaim: C. Cairns.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39"/>
      <w:bookmarkEnd w:id="146"/>
      <w:r>
        <w:pict>
          <v:line id="_x0000_s1163"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N. SHARMA J."/>
            <w:bookmarkEnd w:id="147"/>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Meadowridge School Society (the "School") brings a summary trial application seeking the following:</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$4,000 in "over holding" rent or, in the alternative, damages for trespass;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a settlement agreement in the amount of $9,500;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transformation of an interlocutory injunction granted by this Court on May 10, 2017, to a permanent injunction;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dismissal of the defendants' counterclaim;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that the defendant, Felicia Allen, is in contempt of court because of her noncompliance with four orders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notice of civil claim was filed on April 10, 2017; the amended response to civil claim was filed by Ms. Allen on July 31, 2017. On the same day the defendant Epona Stable Farms Ltd. ("Epona") filed an amended response to the civil claim. The defendants also filed an amended counterclaim on the same day to which the plaintiff provided an amended response on August 15,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background to the application reveals a torturous history. The application record contains 55 tabs, the majority of which are affidavits. The parties' dispute arises from a tenancy agreement and actions allegedly taken in relation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terms of the legal issues, the case is straightforward. Despite that, the School has encountered considerable difficulty bringing its claim to a hearing. In addition, it has endured a large number of outrageous allegations and accusations made by Ms. Allen against it, its employees and contractors it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material both filed and submitted during the hearing is voluminous; I have reviewed it all. I am satisfied that Ms. Allen has failed to substantiate any of the allegations that she has made about improper or inappropriate behaviour on the part of representatives of the School or its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several instances of Ms. Allen making baseless accusations. A few are worth recounting in order to understand the nature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Allen claims that she was assaulted by an employee of the School. In her original application response at paragraph 4 she stated she was "struck by [plaintiff's employee] with a large pair of sharp padlock cutters". That employee deposed in his January 23, 2017 affidavit at paragraph 9 that he did not strike her and instead, she bumped into him. He deposed he "did not retaliate or otherwise make contact with her at any time" and "immediately withdrew and called the police who arrived and removed Allen from the rental premises in handcuffs".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hearing Ms. Allen stated that a video of the incident supported her claim. I have viewed that video and it does not support her claim; it is more consistent with the employee's version of events. I find Ms. Allen was not struck by any employee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Allen also continued to allege at the hearing that the RCMP was investigating her report of break-ins at her residence and her computer getting "hacked". She accused the School of being responsible in some way for those activities. The School was forced to obtain a court order to obtain RCMP documents which made it clear that the files were closed after a brief report and with no follow-up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entirely irrelevant to the legal issues before me, Ms. Allen made allegations that trails constructed by the School next to her leased property on which children would walk were extremely dangerous. She took videos of portions of that trail in which she narrated comments about them being extremely steep and dangerous. I viewed those videos. She has exaggerated and mischaracterized the nature of the trails. Whether her description was true is not directly relevant to any legal issue, but the accuracy of her perceptions is relevant to my assessment of her reliability and credibility. Having reviewed all the material, I have concerns about her reliability. In particular, her submissions reflect a degree of paranoia that is concerning.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Based on my review of the entire file, and the number of what I have found to be spurious allegations made by Ms. Allen, I approach Ms. Allen's evidence with extreme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Even without that caution and were I to accept her evidence at face value (which I do not), I am satisfied that none of the accusations she has made against the school for improper conduct have been proven on a balance of probabilities. I emphasize that I have reviewed all the material put before me, and considered all submissions made in court. Given the clearly irrelevant nature of a large amount of Ms. Allen's submissions, I will not review most of the material put before me in this judgment. I focus instead on the relevant evidence and the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important to note that a large portion of Ms. Allen's material was not submitted in compliance with the rules of evidence or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and some material was not even properly filed. I commend plaintiff's counsel for not objecting strenuously to her doing so in order to allow the matter to conclude.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Ms. Allen was able to fully and thoroughly represent the defendants and raise all concerns about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application is a consolidation of two prior notices of application seeking judgment in the plaintiff's favour and a dismissal of the counterclaim. Unless stated to be a matter of dispute, the following narration represents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a non-profit society which operates an independent school with an enrolment of approximately 550 students from pre-kindergarten through to grade 12. The School leases land it owns adjacent to the school building (the "Property"), some of which was formerly used as an equestrian facility. One portion of the Property contains an arena (which was a covered riding area), stables and portions of a ravine and creek (the "Leased Premises"). The Property has an official civic address of 12266 - 240th Street, Maple Ridge. The School used the unofficial address of 12266B - 240th Street to distinguish the Leased Premises from other structures on the Property, which were rented to different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Allen operates a non-profit horse rescue and rehabilitation service through her company, the defendant Epona. She contacted the School because she was looking for space to operate Epona. In about March or April 2016, Ms. Allen accompanied Mark Conaghan, director of facilities for the School, onto the Property for a viewing. She expressed an interest in renting the Leased Premises and living in the apartment in the stables, which was agreeable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and Ms. Allen entered into a lease for a one-year fixed term commencing May 1, 2016. The lease is a standard form issued by the Residential Tenancy Branch (the "RTB") and it stipulated $1,700 rent per month for the first six months, $2,000 per month thereafter and a security deposit of $850. The parties also agreed to add two terms, which were handwritten on the lease: Ms. Allen had the first option to renew the lease, and Ms. Allen was responsible for maintaining the grounds. Both parties initialed those additions.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Allen alleged throughout this litigation that she leased the entire Property, or at least a much larger portion than the Leased Premises. She claimed that the lease had an addendum, which consisted of a map that outlined the area rented, consistent with her claim. The School denied that the lease had an attached map or any other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Conaghan deposed that at the time they were signing the lease, he wanted to draft an addendum to confirm that Ms. Allen had agreed to maintain the grounds, and he therefore checked the box under the heading "17C", which indicated an addendum existed. He deposed, however, that Ms. "Allen was in a hurry to finalize the tenancy agreement and requested that the tenancy agreement be finalized as soon as possible and that there was no need for an addendum". She added in handwriting at the top of the lease the two terms referenced above (paragraph 17). Mr. Conaghan deposed he was satisfied with the handwritten terms and therefore "whited out" the check mark in the box indicating there was an addendum to the lease. Both parties initialled those added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deposed at paragraph 54 of his second affidavit that the first time he saw the map that Ms. Allen claimed was part of the lease was when she provided her submissions to the RTB. The copy of the lease she provided had a check mark under box "17C". Mr. Conaghan specifically confirmed that he did not put the check mark there. I prefer his evidence on this point. I find his evidence reliable and credible. It also makes more sense. Had there been an addendum, it would have made more sense to add the hand-written terms onto that rather than writing on the lease document itself. Apart from that, the idea that the entire Property was leased to Ms. Allen is inconsistent with the fact that other tenants reside in other structures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Just prior to the commencement date of the lease, the School informed Ms. Allen that it planned to construct a network of trails throughout the ravine, part of which was located on the Property adjacent to the Leased Premises. It provided a map indicating where those trails would be built. Without conceding the point, the School did acknowledge that it might have failed to advise Ms. Allen prior to signing the lease about that construction (I make no finding about whether it did inform her prior to the signing of the lease or not). Despite the fact that construction of the trails had not begun, Ms. Allen complained that it would interfere with her use and enjoyment of the Leased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 letter to her dated May 18, 2016, the School stated that if she felt the interference with her operations was significant, it was "willing to release [her] from this lease at any time with no penalty". If she did not want to get out of the lease, the School indicated it would provide fencing. It also agreed to lower her rent to only $500 for the months of June, July and August in compensation for the interruption to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it significant that as early in the lease as mid-May, the School was wary of Ms. Allen's continued presence on the Leased Premises. Mr. Conaghan described how immediately after moving onto the Leased Premises, Ms. Allen would "incessantly (and at all hours) call or email me and my colleagues" at the School with demands for it to perform upgrades or maintenance. These types of calls would occur multiple times a day. The School did conduct significant upgrades to the Leased Premises and spent approximately $6,000 to do so. Also, starting in mid-May 2016, Ms. Allen began making threats to commence legal proceedings, though to what end she did not specify. She also began to implicitly and explicitly suggest harm might come to school property, personnel or students if certain upgrades were not done, in particular the installation of fencing.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All of these events led the school to advise Ms. Allen in the May 18 letter that her lease would not be extended beyond the one-year term. Having read all of the material and in particular the communication between the parties up to that point, I find the School's wariness at that time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it is also significant that Ms. Allen chose to accept the rent relief. I infer she was not so unhappy about conditions that she wanted to leave. This is contrary to the narrative of her submissions that she was continually mistreated by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Despite agreeing to the rent relief, Ms. Allen repeatedly interfered with trail construction. Mr. Conaghan deposed that he witnessed numerous confrontations between Ms. Allen and school contractors and school personnel including himself. He also recalled numerous instances of contractors advising him that Ms. Allen had contacted them directly in writing and by telephone. At paragraphs 33 to 35 of his affidavit he deposed the following:</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also made numerous false or exaggerated reports to governmental authorities, including the Department of Fisheries and the City of Maple Ridge, possibly among others, complaining about the trail construction, which required numerous responses by [the School].</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Allen also sent an accusatory letter to the school's parents' guild and to [the School's] board of governors as well as various employees respecting [the School] and containing accusations or suggestions of 'harassment, bullying, lying, animal endangerment, intimidation and other serious wrongdoing'.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started to escalate further as students, parents and others began using the trail network.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Conaghan then described some of the incidences which were reported to him that caused great concern to the School. His statements about some of these incidents are not based on his personal observations, but they are not offered of proof that the incidents happened. Instead, the School relies on them to show what type of information it was receiving. It is evidence that provides part of the School's explanation for why it eventually decided to evict Ms.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Ms. Allen disputed the School's characterization of her behaviour during these interactions, she did not deny that there were several unpleasant interactions between her and school staff or students. She uniformly described that her behaviour was calm and reasonable while she was harassed and bullied. Having read all the material and based on my concerns about Ms. Allen's reliability and credibility, I do not accept that Ms. Allen remained calm and reasonable during these interactions. This is supported by the RCMP report of one altercation where the RCMP wrote that it had concerns about Ms. Allen's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Conaghan also described in his affidavits discussions with members of the school community indicating to him that Ms. Allen's interference with the construction and the trails had become widely known and was causing significant anxiety and fears about student safety. He also deposed that Ms. Allen roped off portions of the trail network and put up "no trespassing signs" despite her having no authority or right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 School was justified to evict Ms. Allen and it attempted to do so in September 2016. Ms. Allen immediately filed a proceeding with the RTB. There were a number of delays and complications regarding that proceeding. Ultimately the RTB decided that it did not have jurisdiction to hear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before the RTB declined jurisdiction, the School understandably was anxious to have Ms. Allen move off the property. Ms. Allen wanted to adjourn, yet again, an upcoming proceeding before the RTB. The school was very concerned that Ms. Allen presented an immediate threat to students and others, and therefore wanted to resolve the matter. It offered to pay Ms. Allen $7,500 to deliver up vacant possession of the Leased Premises by January 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Meanwhile, Ms. Allen had started a "GoFundMe" campaign, alleging that the school's activities were harming the well-being of her horses and that she was being forced out of the Leased Premises. She was trying to raise $10,000 to relocate her business. Mr. Conaghan specifically deposed that in his view, much of the information on her GoFundMe website was "embellished or outright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explained that the offer to pay Ms. Allen $7,500 to deliver vacant possession was designed to top up her GoFundMe goal (by that point, she had raised about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Allen asked for further concessions to leave by January 1, 2017, including waving rent for the month of December 2016. The School agreed. The parties arrived at a settlement agreement on or about November 27, 2016, which was the day before the continuation of the proceeding before the RTB. That proceeding did go ahead, but the parties informed the RTB of the settlement and Ms. Allen confirmed she would vacate the premises and deliver up vacant possession by January 1, 2017. The School promptly paid her $7,500 by way of certified cheque the same day. In addition to the $7,500 payment and waiver of December rent, the settlement agreement included the parties' mutual releases and mutual non-disparagement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when the cheque was delivered to Ms. Allen, she made comments which caused the School's representative delivering the cheque to suspect she might not vacate the premises by January 1, 2017. Therefore, counsel for the School made several efforts to confirm that she would abide by the settlement agreement, and it is at that point that Ms. Allen began to suggest she had entered the agreement under duress. I accept the School's evidence that at no point prior to that correspondence had Ms. Allen expressed any sense of duress, hesitation or pressure regarding the settlement agreement. That is borne out by the transcript of the proceedings before the RTB in which she confirmed her agreement to vacate the Leased Premises by January 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Concerned that Ms. Allen would not vacate the premises given her communication, the School started another proceeding before the RTB to enforce the settlement agreement, which was set for hearing on January 11, 2017. Before that was heard, the RTB declined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Allen did not vacate the premises on January 1, 2017. The School was successful on January 25, 2017 in getting a court order granting it sole and exclusive possession of the Property on January 31, 2017 at 23:59. That order contained a police enforcement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Despite the mutual releases in the settlement agreement, Ms. Allen filed a counterclaim in this litigation arising out of the tenancy agreement. The School's position is that the counterclaim violated the settlement agreement. She repeated her argument that the settlement agreement was obtained by fraud or under duress. She included in her counterclaim serious accusations of wrongdoing against the School and its personnel, which I am satisfied were contrary to the non-disparagement clause in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Allen threatened to make her allegations public if this case was not resolved in her favour. She then began contacting members of the plaintiff's volunteer board of directors at their places of employment and making threats directly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May 10, 2017, this Court granted an interim injunction restraining Ms. Allen from "communicating, directly or indirectly, with the plaintiff, Meadowridge School Society, or its employees, directors, teachers, sponsors, students or parents of students except through counsel or otherwise". She was also prohibited from making any derogatory or disparaging remarks, whether oral, written or online or electronic statements, dealing with the reputation of the School or her dealings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action was commended January 12, 2017. The School was ultimately required by Ms. Allen's lack of diligence to seek court orders to have Ms. Allen fulfill her obligation to produce all relevant documents. The School wanted to have a summary trial application heard in early October 2017. By early September, however, Ms. Allen began making further serious, and what I find to be baseless, allegations including that she had been the subject of theft and hacking, and that the plaintiff was somehow responsible for those activities. I specifically find that there is absolutely no evidence before me to suggest that anyone involved with or connected with the School had any access to her email, committed theft, or otherwise did anything improper. I find her allegations against the School to be without any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position is that over the course of this litigation, Ms. Allen has been in contempt of court by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the May 10, 2017 court order by sending a letter dated November 1, 2016 to the Premier, certain members of RCMP, the Minister of Education and others making serious allegations against the School in contravention to the interim injunction;</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produce documents by the end of September 2017 as ordered at the case planning conference;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produce documents as required by the October 5, 2017 court order;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required documents pursuant to the directions of the court made December 7 and 8, 2017, and order made January 22,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 THE MATTER SUITABLE FOR SUMMARY TRIAL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first issue in any summary trial application is whether the matter is appropriate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basic requirement is that the court be satisfied it has sufficient material on which it can find the facts necessary to decide the application. I am satisfied that I can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test is also set out, among other places,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30. The court looks to a number of factors including the amount involved, the complexity of the matter, its urgency, any prejudice likely to arise because of delay and the cost of a conventional trial in relation to the amount involved in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on each one of these factors that it is appropriate to proceed by way of summary trial in this action. In particular, I do not find that the amount to be large nor the legal issues and disputes in the evidence about the facts material to those issues to be complex. I also find that a conventional trial would impose costs on the parties disproportionate to the gravity and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this matter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 THE SCHOOL ENTITLED TO DOUBLE RENT FOR JANUARY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Pursuant to s.15 of the </w:t>
      </w:r>
      <w:r>
        <w:rPr>
          <w:rFonts w:ascii="arial" w:eastAsia="arial" w:hAnsi="arial" w:cs="arial"/>
          <w:i/>
          <w:color w:val="000000"/>
          <w:sz w:val="20"/>
          <w:lang w:val="en-US" w:eastAsia="en-US" w:bidi="ar-SA"/>
        </w:rPr>
        <w:t>Commercial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57</w:t>
      </w:r>
      <w:r>
        <w:rPr>
          <w:rFonts w:ascii="arial" w:eastAsia="arial" w:hAnsi="arial" w:cs="arial"/>
          <w:color w:val="000000"/>
          <w:sz w:val="20"/>
          <w:lang w:val="en-US" w:eastAsia="en-US" w:bidi="ar-SA"/>
        </w:rPr>
        <w:t>, an over holding tenant who does not vacate upon demand is liable for double the period of rental payments. In this case, Ms. Allen was supposed to vacate the premises on January 1, 2017, and she failed to do so. She did not leave until the 31st of January. Because the January rent was $2,000 the School seeks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Section 15 of B.C.'s </w:t>
      </w:r>
      <w:r>
        <w:rPr>
          <w:rFonts w:ascii="arial" w:eastAsia="arial" w:hAnsi="arial" w:cs="arial"/>
          <w:i/>
          <w:color w:val="000000"/>
          <w:sz w:val="20"/>
          <w:lang w:val="en-US" w:eastAsia="en-US" w:bidi="ar-SA"/>
        </w:rPr>
        <w:t>Commercial Tenancy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case any tenant for any term of life, lives, or years</w:t>
      </w:r>
      <w:r>
        <w:rPr>
          <w:rFonts w:ascii="arial" w:eastAsia="arial" w:hAnsi="arial" w:cs="arial"/>
          <w:color w:val="000000"/>
          <w:sz w:val="20"/>
          <w:lang w:val="en-US" w:eastAsia="en-US" w:bidi="ar-SA"/>
        </w:rPr>
        <w:t xml:space="preserve"> or other person who comes into possession of any land by, from, or under, or by collusion with the tenant, </w:t>
      </w:r>
      <w:r>
        <w:rPr>
          <w:rFonts w:ascii="arial" w:eastAsia="arial" w:hAnsi="arial" w:cs="arial"/>
          <w:b/>
          <w:color w:val="000000"/>
          <w:sz w:val="20"/>
          <w:lang w:val="en-US" w:eastAsia="en-US" w:bidi="ar-SA"/>
        </w:rPr>
        <w:t>wilfully holds over any land after the determination of any such term, and after demand made and notice in writing given for delivering the possession thereof by the landlord</w:t>
      </w:r>
      <w:r>
        <w:rPr>
          <w:rFonts w:ascii="arial" w:eastAsia="arial" w:hAnsi="arial" w:cs="arial"/>
          <w:color w:val="000000"/>
          <w:sz w:val="20"/>
          <w:lang w:val="en-US" w:eastAsia="en-US" w:bidi="ar-SA"/>
        </w:rPr>
        <w:t xml:space="preserve"> or lessor, or the person to whom the remainder or reversion of such land belongs, or that person's agent thereunto lawfully authorized, then and in such case </w:t>
      </w:r>
      <w:r>
        <w:rPr>
          <w:rFonts w:ascii="arial" w:eastAsia="arial" w:hAnsi="arial" w:cs="arial"/>
          <w:b/>
          <w:color w:val="000000"/>
          <w:sz w:val="20"/>
          <w:lang w:val="en-US" w:eastAsia="en-US" w:bidi="ar-SA"/>
        </w:rPr>
        <w:t>the person so holding over shall</w:t>
      </w:r>
      <w:r>
        <w:rPr>
          <w:rFonts w:ascii="arial" w:eastAsia="arial" w:hAnsi="arial" w:cs="arial"/>
          <w:color w:val="000000"/>
          <w:sz w:val="20"/>
          <w:lang w:val="en-US" w:eastAsia="en-US" w:bidi="ar-SA"/>
        </w:rPr>
        <w:t xml:space="preserve">, for and during the time he or she holds over or keeps the person entitled out of possession of the land </w:t>
      </w:r>
      <w:r>
        <w:rPr>
          <w:rFonts w:ascii="arial" w:eastAsia="arial" w:hAnsi="arial" w:cs="arial"/>
          <w:b/>
          <w:color w:val="000000"/>
          <w:sz w:val="20"/>
          <w:lang w:val="en-US" w:eastAsia="en-US" w:bidi="ar-SA"/>
        </w:rPr>
        <w:t>pay to the person kept out of possession</w:t>
      </w:r>
      <w:r>
        <w:rPr>
          <w:rFonts w:ascii="arial" w:eastAsia="arial" w:hAnsi="arial" w:cs="arial"/>
          <w:color w:val="000000"/>
          <w:sz w:val="20"/>
          <w:lang w:val="en-US" w:eastAsia="en-US" w:bidi="ar-SA"/>
        </w:rPr>
        <w:t xml:space="preserve">, or that person's personal representatives or assignees, </w:t>
      </w:r>
      <w:r>
        <w:rPr>
          <w:rFonts w:ascii="arial" w:eastAsia="arial" w:hAnsi="arial" w:cs="arial"/>
          <w:b/>
          <w:color w:val="000000"/>
          <w:sz w:val="20"/>
          <w:lang w:val="en-US" w:eastAsia="en-US" w:bidi="ar-SA"/>
        </w:rPr>
        <w:t>at the rate of double the yearly value of the land so detained</w:t>
      </w:r>
      <w:r>
        <w:rPr>
          <w:rFonts w:ascii="arial" w:eastAsia="arial" w:hAnsi="arial" w:cs="arial"/>
          <w:color w:val="000000"/>
          <w:sz w:val="20"/>
          <w:lang w:val="en-US" w:eastAsia="en-US" w:bidi="ar-SA"/>
        </w:rPr>
        <w:t>, for so long time as the same are detained, to be recovered in any court of competent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section's rather arcane language probably stems from the fact that it is copied almost verbatim from the United Kingdom's 1730 </w:t>
      </w:r>
      <w:r>
        <w:rPr>
          <w:rFonts w:ascii="arial" w:eastAsia="arial" w:hAnsi="arial" w:cs="arial"/>
          <w:i/>
          <w:color w:val="000000"/>
          <w:sz w:val="20"/>
          <w:lang w:val="en-US" w:eastAsia="en-US" w:bidi="ar-SA"/>
        </w:rPr>
        <w:t>Landlord and Tenant Act</w:t>
      </w:r>
      <w:r>
        <w:rPr>
          <w:rFonts w:ascii="arial" w:eastAsia="arial" w:hAnsi="arial" w:cs="arial"/>
          <w:color w:val="000000"/>
          <w:sz w:val="20"/>
          <w:lang w:val="en-US" w:eastAsia="en-US" w:bidi="ar-SA"/>
        </w:rPr>
        <w:t>: A.J. Bradbrook, "The Actions for Double Rent and Double Value Against Overholding Tenants" (1978) 13:4 University of Western Australia L Rev 420 at 420 (HeinOnline). It is my understanding that legislation in other provinces has taken a similar approach, meaning that something resembling s. 15 is law in most of Canada. Despite this, s. 15 or equivalent provisions do not appear to have arisen often in actions before Canadian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phrase "term of life, lives, or years" may have a meaning beyond its literal interpretation. It has been established that a week to week or month to month lease is immune to this provision: </w:t>
      </w:r>
      <w:r>
        <w:rPr>
          <w:rFonts w:ascii="arial" w:eastAsia="arial" w:hAnsi="arial" w:cs="arial"/>
          <w:i/>
          <w:color w:val="000000"/>
          <w:sz w:val="20"/>
          <w:lang w:val="en-US" w:eastAsia="en-US" w:bidi="ar-SA"/>
        </w:rPr>
        <w:t>Sami's Restaurant Corp. v. W. Hanley &amp; Co.</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2003 BCSC 1181</w:t>
        </w:r>
      </w:hyperlink>
      <w:r>
        <w:rPr>
          <w:rFonts w:ascii="arial" w:eastAsia="arial" w:hAnsi="arial" w:cs="arial"/>
          <w:color w:val="000000"/>
          <w:sz w:val="20"/>
          <w:lang w:val="en-US" w:eastAsia="en-US" w:bidi="ar-SA"/>
        </w:rPr>
        <w:t xml:space="preserve"> at para. 21. The lease in this case was originally for a one-year term; it was certainly never a month to month lease. I am satisfied on that basis that it meets this requirement. Given that the legislation has its roots in an 18th century statute in the United Kingdom, it is helpful to note that Blackstone was of the view that "[e]very estate which must expire at a period certain and prefixed, by whatever words created, is an estate for years.": William Blackstone et. al, </w:t>
      </w:r>
      <w:r>
        <w:rPr>
          <w:rFonts w:ascii="arial" w:eastAsia="arial" w:hAnsi="arial" w:cs="arial"/>
          <w:i/>
          <w:color w:val="000000"/>
          <w:sz w:val="20"/>
          <w:lang w:val="en-US" w:eastAsia="en-US" w:bidi="ar-SA"/>
        </w:rPr>
        <w:t>Blackstone, Commentaries on the Laws of England Applicable to Real Property</w:t>
      </w:r>
      <w:r>
        <w:rPr>
          <w:rFonts w:ascii="arial" w:eastAsia="arial" w:hAnsi="arial" w:cs="arial"/>
          <w:color w:val="000000"/>
          <w:sz w:val="20"/>
          <w:lang w:val="en-US" w:eastAsia="en-US" w:bidi="ar-SA"/>
        </w:rPr>
        <w:t>, 2d ed. (Toronto: Rowsell &amp; Hutchison, 1880) at 162 (HeinOnline).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Two other requirements exist for s. 15 to apply. The landlord must have made a written demand for possession of the premises, and the tenant must have "wilfully"</w:t>
      </w:r>
      <w:bookmarkStart w:id="148"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8"/>
      <w:r>
        <w:rPr>
          <w:rFonts w:ascii="arial" w:eastAsia="arial" w:hAnsi="arial" w:cs="arial"/>
          <w:color w:val="000000"/>
          <w:sz w:val="20"/>
          <w:lang w:val="en-US" w:eastAsia="en-US" w:bidi="ar-SA"/>
        </w:rPr>
        <w:t xml:space="preserve"> remained in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 is no doubt the first condition was met. Ms. Allen negotiated and signed a settlement agreement acknowledging she would vacate the premises by January 1, 2017. The School became concerned immediately upon making payment whether Ms. Allen would abide by the settlement (see paragraph 36) and thereafter followed written communication seeking confirmation that she would leave. Even if that was not clear, I would have been satisfied that the notice of eviction that was served in this case (even though it purported to be under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qualified as a written demand for possession under s. 15 of the </w:t>
      </w:r>
      <w:r>
        <w:rPr>
          <w:rFonts w:ascii="arial" w:eastAsia="arial" w:hAnsi="arial" w:cs="arial"/>
          <w:i/>
          <w:color w:val="000000"/>
          <w:sz w:val="20"/>
          <w:lang w:val="en-US" w:eastAsia="en-US" w:bidi="ar-SA"/>
        </w:rPr>
        <w:t>Commercial Tenancy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remaining condition is that Ms. Allen "wilfully" refused to leave the property. The following definition of "wilful" was provided in a decision of England's Court of Queen's Bench, and quoted with approval by the New Brunswick Court of Appeal in </w:t>
      </w:r>
      <w:r>
        <w:rPr>
          <w:rFonts w:ascii="arial" w:eastAsia="arial" w:hAnsi="arial" w:cs="arial"/>
          <w:i/>
          <w:color w:val="000000"/>
          <w:sz w:val="20"/>
          <w:lang w:val="en-US" w:eastAsia="en-US" w:bidi="ar-SA"/>
        </w:rPr>
        <w:t>Saint John (City) v. New Brunswick Fish &amp; Game Protective Association (Saint John Branch) Inc.</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[1999] N.B.J. No. 87</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moment of time a tenant may say: "I shall stay on. I think I have a right to do so." His staying on is not wilful. On the other hand, a tenant may say: "I will stay on, although I know I have no right to do so." That is wilful, and well illustrates the now sometimes forgotten distinction between "I shall" and the insistent "I will." In this case there was, in my judgement, a sufficient muddle on both sides to prevent the wilfulness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broad terms, use of the word wilful in legal context refers to an act or omission done voluntarily and intentionally, as opposed out of mistake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is whether Ms. Allen was wilful in remaining on the Leased Premises after December 31, 2016. For the reasons explained below, I find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Allen did not provide any reasonable explanation for why she did not leave on January 1, 2017 that was consistent with her position in the litigation. She claimed that it was very difficult for her to find a place suitable for the number of horses, and the type of facility that she was looking for. She also described that travel conditions were especially difficult with more snow than usual and freezing conditions around the time period that she would have had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none of those reasons explain or justify why she was unable to organize her affairs in time. Given the scale of operations required to remove her business with the number of horses, she would have known at least a week (if not more) in advance of January 1, 2017 whether she could meet the deadline. She could have at least given notice about her difficulties to the School or sought an extension. She did not do so, which raises the distinct possibility that she did not intend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That possibility is buttressed by the fact that no explanation related to the weather or difficulties finding movers was raised by her when the School sought to enforce the eviction. Instead, Ms. Allen repeated false allegations that she entered the settlement under duress or on the basis of blackmail and fraud. As noted above, based on my review of all the material, I am satisfied that there is no admissible or reliable evidence to support Ms. Allen's allegations of duress, blackmail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What is clear is that she simply failed to arrange her affairs to abide by the settlement, or seek relief from the January 1, 2017 deadline. I do not find that she was mistaken, careless, negligent, or under the impression she did not have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All three conditions being met, I conclude that she is liable for over holding rent in the amount of $4,000 payable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DID MS. ALLEN BREACH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school also seeks damages for breach of the settlement agreement. The school submits that a fundamental principle of contract law is that the non-breaching party should be placed in the position it would have been had the contract been performed: </w:t>
      </w:r>
      <w:r>
        <w:rPr>
          <w:rFonts w:ascii="arial" w:eastAsia="arial" w:hAnsi="arial" w:cs="arial"/>
          <w:i/>
          <w:color w:val="000000"/>
          <w:sz w:val="20"/>
          <w:lang w:val="en-US" w:eastAsia="en-US" w:bidi="ar-SA"/>
        </w:rPr>
        <w:t>IBM Canada Limited v. Waterman</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2013 SCC 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School submits it has been deprived of all, or substantially all, of the benefit of the settlement agreement. It notes that it paid Ms. Allen $7,500 and waived the $2,000 December rent. In exchange, the School was entitled to vacant possession of the Leased Premises by January 1, 2017, to be free of disparagement by Ms. Allen and to be released from any legal action based on its tenancy with Ms.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that basis the School seeks $9,500 for breach of the settlement agreement (in the alternative, it seeks $2,375 representing approximately one quarter of what it says was its actual loss) With respect, I do not understand the School's logic here. That claim is more consistent with the School seeking restitution, but restitution was not plead or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Contract damages are measured by the position the School would have been in had Ms. Allen not breached the settlement agreement. The School still would have paid Ms. Allen $7,500 and still would not have received rent for December 2016. While it is true that because of Ms. Allen's breach, the school was unable to rent the Leased Premises to anyone else for January 2017, there was no evidence that it had made any efforts to find another tenant. Thus, its financial position was no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Nonetheless, I agree the School suffered some harm by Ms. Allen's breach. I am satisfied on a balance of probabilities by the evidence that continued presence on the Leased Premises during January 2017 prolonged the School's legitimate concerns for the safety of students and the character of the School community in general. The School was motivated to offer the settlement because of its concern about the impact that its dispute with Ms. Allen was having. In particular, her statements published in the Vancouver Sun, would have been understood by specifically naming the School identified to people who lived in the neighbourhood to be about the School notwithstanding its name was not mentioned in the article. She also disparaged the school in the letter she wrote on November 1, 2016 and in other communications. It is not difficult to see how its reputation would continue to be negatively impacted as long as the dispute existed by her presence on the Leased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short, Ms. Allen's actions undermined one of the benefits that Meadowridge sought to enjoy under the settlement agreement: the protection of its reputation by bringing an end to its dispute. Although there is very little evidence or law before me to assist in quantifying the extent of the harm suffered by the School, I believe that a nominal award of $1000 for breach of contract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Allen filed the counterclaim seeking the same or substantially the same relief that she had agreed to release the School from when she signed the settlement agreement. Ms. Allen's counterclaim is a direct contradiction of the settlement agreement that she agreed to, and therefore I dismiss it on that basis without a consideration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Even if I am wrong to dismiss it on that basis, however, I am satisfied by reviewing the entire record and considering the claims that she made that she has not provided sufficient evidence on any of the claims to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School also sought to make the interim injunction permanent. Given my review of this file, I find the School has a reasonable basis to be concerned that Ms. Allen will continue to disparage the school in violation of the settlement agreement, and court order. I am concerned by her history of not complying with court orders. Accordingly, I do grant the permanent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 all the reasons in this judgment, I grant judgment in favour of the plaintiff and specifically order:</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Allen is liable for $4,000 to the School for over holding pursuant to the </w:t>
      </w:r>
      <w:r>
        <w:rPr>
          <w:rFonts w:ascii="arial" w:eastAsia="arial" w:hAnsi="arial" w:cs="arial"/>
          <w:i/>
          <w:color w:val="000000"/>
          <w:sz w:val="20"/>
          <w:lang w:val="en-US" w:eastAsia="en-US" w:bidi="ar-SA"/>
        </w:rPr>
        <w:t>Commercial Residency Act</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Allen is liable for $1000 to the School for breach of contract;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is dismissed;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interlocutory injunction granted by this Court on May 10, 2017 is now a permanent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notice of application also sought a declaration of contempt for Ms. Allen's noncompliance with a number of court orders, but that was not pursued vigorously at the hearing and I decline to grant that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School seeks special costs in a fixed amount, or alternatively costs at the highest allowable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Special costs are typically awarded in order to denunciate certain conduct on the part of one of the litigants, and they are intended to indemnify the successful litigant: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paras. 90-91. It is also true that special costs should only be awarded in exceptional circumstances where the court concludes that an element of deterrence or punishment is necessary based on the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Hirji v. Owners Strata Corporation VR44</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2016 BCSC 548</w:t>
        </w:r>
      </w:hyperlink>
      <w:r>
        <w:rPr>
          <w:rFonts w:ascii="arial" w:eastAsia="arial" w:hAnsi="arial" w:cs="arial"/>
          <w:color w:val="000000"/>
          <w:sz w:val="20"/>
          <w:lang w:val="en-US" w:eastAsia="en-US" w:bidi="ar-SA"/>
        </w:rPr>
        <w:t xml:space="preserve"> this Court summarize the jurisprudence discussing the test for special costs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It is also recognized that an award of special costs should only be made in exceptional circumstances where the court concludes that an element of deterrence or punishment is necessary because of the reprehensible conduct.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Madam Justice Gropper summarized the jurisprudence discussing the test for special costs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[73] I have undertaken a thorough review of the cases involving special costs. Having examined the authorities provided by both sides, it is apparent to me that the courts have been somewhat inconsistent in their determination of what amounts to reprehensible conduct and that those authorities must be reconciled. Based upon my review of the authorities, I have derived the following principles for awarding special costs: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specials costs;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Justice Walker also articulated a number of circumstances where special costs could be awarded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 11:</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presents a case so weak that it is bound to fail, and continues to pursue its meritless claim after it is drawn to its attention that the claim is without merit;</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brings a proceeding for an improper motive;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maintains unfounded allegations of fraud or dishonesty;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claims frivolously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It is insufficient to show that a party's allegations of bad faith or malice were not substantiated by the evidence. The party also must demonstrate that the litigant on the other side acted improperly in bringing forward claims that were obviously unfounded: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2003 BCSC 285</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Although I have grave concerns about Ms. Allen's conduct in this case and the impact it has had on the School, and even though I have concluded that her allegations were unfounded, I am left with some doubt whether she was aware in her own mind that there was no basis for her accusations. In particular, the paranoid nature of some of her communications and accusations raises genuine concerns about her state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is one of those cases where it is possible that a litigant, despite the lack of any reasonable or sensible foundation for allegations made, genuinely felt she had been wronged by the other party. There is the distinct possibility that through a sincere but paranoid perspective, the litigant has exaggerated circumstances and perceived wrongs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specifically exclude from the preceding comments her decision to remain on the Leased Premises after December 31, 2016. As noted above, I find that she did so "wilfully". In other words, I find that Ms. Allen did not genuinely think she had entered the settlement agreement under duress or fraud. In part, my finding stems from her contradictory statements made about her refusal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when I look to the whole of the litigation, and her conduct throughout her relationship with the School, there are indications of unorthodox thought patterns that concern me. For example, her assertion that the School was responsible for breaking into her residence and "hacking" her computer were extreme. At one point during the hearing she stated she believed she had been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I do not find this is a case were special costs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the alternative, the School sought costs at the highest possible scale. Section 2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allows the to court fix the scale under which costs will be assessed from A to C, with C reserved for cases of more than ordinary difficulty. Section 2(3) describes the factors to take into account to determine the appropriate scale. Keeping those factors in mind, I do find that this case was of greater than ordinary difficulty because of the actions of Ms. Allen. In particular, her conduct in raising what I find to be false allegations, her breach of a settlement agreement and her failure to abide by court orders for production of documents put the School through extra time and expense which deserves to be reflected in fixing costs at Scale C for all steps in the litigation relating to pursuing the claim and defending against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64" style="position:absolute;z-index:25180160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49"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49"/>
      <w:r>
        <w:rPr>
          <w:rFonts w:ascii="arial" w:eastAsia="arial" w:hAnsi="arial" w:cs="arial"/>
          <w:sz w:val="20"/>
          <w:lang w:val="en-US" w:eastAsia="en-US" w:bidi="ar-SA"/>
        </w:rPr>
        <w:tab/>
      </w:r>
      <w:r>
        <w:rPr>
          <w:rFonts w:ascii="arial" w:eastAsia="arial" w:hAnsi="arial" w:cs="arial"/>
          <w:color w:val="6D6E71"/>
          <w:sz w:val="18"/>
          <w:lang w:val="en-US" w:eastAsia="en-US" w:bidi="ar-SA"/>
        </w:rPr>
        <w:t>Throughout, I use the spelling which appears in the legislation notwithstanding that it does not accord with common usage.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Meagher v. Telep, [2005] B.C.J. No. 3233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S084023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1932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793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Bruce Meagher and Karen Ruth Meagher, Plaintiffs, and Ralph Telep, Tri-Tel Realty Ltd. and Marlene Fraser,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jc w:val="both"/>
        <w:rPr>
          <w:rFonts w:ascii="arial" w:eastAsia="arial" w:hAnsi="arial" w:cs="arial"/>
          <w:sz w:val="20"/>
          <w:lang w:val="en-US" w:eastAsia="en-US" w:bidi="ar-SA"/>
        </w:rPr>
      </w:pPr>
      <w:bookmarkStart w:id="150" w:name="Counsel_40"/>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Telep and Tri-Tel: K.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1" w:name="Judgment_40"/>
      <w:bookmarkEnd w:id="151"/>
      <w:r>
        <w:pict>
          <v:line id="_x0000_s1167" style="position:absolute;z-index:2517585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2" w:name="J.D. TRUSCOTT J. (orally)"/>
            <w:bookmarkEnd w:id="152"/>
            <w:r>
              <w:rPr>
                <w:rFonts w:ascii="arial" w:eastAsia="arial" w:hAnsi="arial" w:cs="arial"/>
                <w:b/>
                <w:color w:val="000000"/>
                <w:sz w:val="30"/>
                <w:lang w:val="en-US" w:eastAsia="en-US" w:bidi="ar-SA"/>
              </w:rPr>
              <w:t>J.D. TRUSCOTT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bring application under Rule 18A for judgment against the defendants Ralph Telep and Tri-Tel Realty Ltd. for damages for negligent misrepresentation concerning the square footage of the house they purchased from the defendant Marlene Fraser by interim agreement dated August 27, 2003. The plaintiffs say they relied upon the representation of Mr. Telep that the house had a total finished area of 2,706 square feet. This figure was found in the listing agreement that Mr. Meagher reviewed online on approximately August 17, 2003. The listing agreement sets out the sizes of the different rooms in the house, which I understand are accurate dimensions, but the total of 2,706 square feet for the finished area is in error as being approximately 500 square feet more than its actual size. Mr. Meagher deposes in an affidavit that had he known of the discrepancy in the square footage of the property, he would not have been interested in purchasing it for $340,000, the price that the plaintiffs in fact paid. He does not say in his affidavit what he would have paid for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Meagher deposes in her affidavit that she adopts as true all the contents of her husband's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listing agent, Mr. Telep, admits that the square footage of the finished area of 2,706 square feet was a misstatement negligently made by his office. However, he submits that the plaintiffs did not rely upon this misstatement in purchasing the property or, if they did, they did not reasonably rely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of Mr. Meagher on his examination for discovery was that the real estate market was very hot at the time; that he and his wife were looking at a house in the range of $320,000 to $340,000; that their biggest priority in their search was to find a house that they were happy in; that he knew that he had to make an offer on any house they wanted very quickly because of the hot market; that the house that he did find he determined met the requirements for location, privacy, number of bedrooms and bathrooms, size of rooms and price range; and that he felt an urgency to put in an offer because places were selling like hotcakes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house was listed for $329,800, but on the advice of Mr. Meagher's realtor he offered $340,000 in an offer with no subject clauses. He thought that the vendors at that time were expecting to get a little bit more than the list price and he was prepared to pay above the value of the property as reflected in the listing agreement on the basis that it was a hot market and that's what had to be done in order to secure a place. Prior to making his offer on the house, he said he did nothing else to assess its value except to view it. The plaintiffs are still living in the house today because they are content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Subsequent to their purchase, when the plaintiff's were arranging mortgage financing, they obtained an appraisal that said the house had a value, by the direct comparison approach, of $320,000 as of October 17, 2003. It was this appraisal upon which they rely to establish their claim for damages of $20,000, being the difference between their purchase price of $340,000 and the appraised value of $320,000.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on the evidence that the plaintiffs did not rely on the total square footage in making their offer. They relied upon the location and appearance to them of the house, as Mr. Meagher viewed it. They are still satisfied with the house today as it meets their needs. Mr. Meagher was prepared to pay $10,000 over the list price of $329,800 because to him it had that value. It is only subsequently that he suggests the total square footage had any meaning to him. The room sizes themselves are correct and I do not find that the total square footage of the house was of any consequence to him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recognize that Mr. Meagher deposes in affidavit form that he relied upon the total square footage, but the evidence that he gave on examination for discovery convinces me that this statement should not be accepted. Although this is an 18A application on affidavits and I have not had the opportunity to assess Mr. Meagher's credibility in the witness box, I am able to conclude, as I consider I am entitled to do, that such a statement is completely inconsistent with the rest of his evidence and should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find the defendants' authorities in </w:t>
      </w:r>
      <w:r>
        <w:rPr>
          <w:rFonts w:ascii="arial" w:eastAsia="arial" w:hAnsi="arial" w:cs="arial"/>
          <w:b/>
          <w:i/>
          <w:color w:val="000000"/>
          <w:sz w:val="20"/>
          <w:lang w:val="en-US" w:eastAsia="en-US" w:bidi="ar-SA"/>
        </w:rPr>
        <w:t>Guy v. Wagner</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[1987] B.C.J. No. 138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Sleightholm v. East Kootenay Realty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[1999] B.C.J. No. 462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Tabakis v. Villarosa</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[1986] B.C.J. No. 2456</w:t>
        </w:r>
      </w:hyperlink>
      <w:r>
        <w:rPr>
          <w:rFonts w:ascii="arial" w:eastAsia="arial" w:hAnsi="arial" w:cs="arial"/>
          <w:color w:val="000000"/>
          <w:sz w:val="20"/>
          <w:lang w:val="en-US" w:eastAsia="en-US" w:bidi="ar-SA"/>
        </w:rPr>
        <w:t xml:space="preserve">, to be helpful on disposition of this case. In </w:t>
      </w:r>
      <w:r>
        <w:rPr>
          <w:rFonts w:ascii="arial" w:eastAsia="arial" w:hAnsi="arial" w:cs="arial"/>
          <w:b/>
          <w:i/>
          <w:color w:val="000000"/>
          <w:sz w:val="20"/>
          <w:lang w:val="en-US" w:eastAsia="en-US" w:bidi="ar-SA"/>
        </w:rPr>
        <w:t>Guy v. Wagner</w:t>
      </w:r>
      <w:r>
        <w:rPr>
          <w:rFonts w:ascii="arial" w:eastAsia="arial" w:hAnsi="arial" w:cs="arial"/>
          <w:color w:val="000000"/>
          <w:sz w:val="20"/>
          <w:lang w:val="en-US" w:eastAsia="en-US" w:bidi="ar-SA"/>
        </w:rPr>
        <w:t>, Wood J. referred to evidence of the plaintiffs that they were looking for a house which was large enough to accommodate them and both testified that their inspection satisfied them that it was adequate for their purposes. They purchased the home because they liked it and they were not aware of property values, construction costs, and made no calculations based upon square footage when they made their offer. While it was concluded that the plaintiffs paid too much for the property in that case in terms of its appraised value, the court could not conclude that they would have offered any less if told the square footage was 300 square feet less. I conclude that is the same situation before me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Sleightholm</w:t>
      </w:r>
      <w:r>
        <w:rPr>
          <w:rFonts w:ascii="arial" w:eastAsia="arial" w:hAnsi="arial" w:cs="arial"/>
          <w:color w:val="000000"/>
          <w:sz w:val="20"/>
          <w:lang w:val="en-US" w:eastAsia="en-US" w:bidi="ar-SA"/>
        </w:rPr>
        <w:t>, the claim was dismissed for the following reasons:</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respecting the size of the house was contained in a document the accuracy of which was specifically not warranted or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the listing agreement states that "all measurements are approximate" and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information is provided by members of the Real Estate Board of Greater Vancouver or the Fraser Valley Real Estate Board and is from sources believed reliable, but should not be relied upon without verification.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Drost J. said in </w:t>
      </w:r>
      <w:r>
        <w:rPr>
          <w:rFonts w:ascii="arial" w:eastAsia="arial" w:hAnsi="arial" w:cs="arial"/>
          <w:b/>
          <w:i/>
          <w:color w:val="000000"/>
          <w:sz w:val="20"/>
          <w:lang w:val="en-US" w:eastAsia="en-US" w:bidi="ar-SA"/>
        </w:rPr>
        <w:t>Tabakis</w:t>
      </w:r>
      <w:r>
        <w:rPr>
          <w:rFonts w:ascii="arial" w:eastAsia="arial" w:hAnsi="arial" w:cs="arial"/>
          <w:color w:val="000000"/>
          <w:sz w:val="20"/>
          <w:lang w:val="en-US" w:eastAsia="en-US" w:bidi="ar-SA"/>
        </w:rPr>
        <w:t>, in a statement in that case which said in bold type: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"ABOVE INFORMATION IS FROM SOURCES BELIEVED TO BE RELIABLE BUT SHOULD NOT BE RELIED UPON WITHOUT VERIFICATION. NRS ASSUMES NO RESPONSIBILITY FOR ITS ACCURACY."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constitutes a clear disclaimer or warning to anyone reading that catalogue that the provider of the information was not assuming a duty of care (and a consequent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toward the reader.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consider that to be much the same situation here, although the wording is somewhat different, but still, in my conclusion, to the same effect. It is stronger wording than was considered in the case of </w:t>
      </w:r>
      <w:r>
        <w:rPr>
          <w:rFonts w:ascii="arial" w:eastAsia="arial" w:hAnsi="arial" w:cs="arial"/>
          <w:b/>
          <w:i/>
          <w:color w:val="000000"/>
          <w:sz w:val="20"/>
          <w:lang w:val="en-US" w:eastAsia="en-US" w:bidi="ar-SA"/>
        </w:rPr>
        <w:t>Olympia and York Development Ltd. v. Marshall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counsel submits that the wording of the listing agreement that I have referred to, the disclaimer clause, at least the disclaimer portion of it, is in such small writing that it probably was not even seen by Mr. Meagher. Mr. Meagher himself does not give that evidence and I do not take that submission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One of the other reasons why in </w:t>
      </w:r>
      <w:r>
        <w:rPr>
          <w:rFonts w:ascii="arial" w:eastAsia="arial" w:hAnsi="arial" w:cs="arial"/>
          <w:b/>
          <w:i/>
          <w:color w:val="000000"/>
          <w:sz w:val="20"/>
          <w:lang w:val="en-US" w:eastAsia="en-US" w:bidi="ar-SA"/>
        </w:rPr>
        <w:t>Sleightholm</w:t>
      </w:r>
      <w:r>
        <w:rPr>
          <w:rFonts w:ascii="arial" w:eastAsia="arial" w:hAnsi="arial" w:cs="arial"/>
          <w:color w:val="000000"/>
          <w:sz w:val="20"/>
          <w:lang w:val="en-US" w:eastAsia="en-US" w:bidi="ar-SA"/>
        </w:rPr>
        <w:t xml:space="preserve"> the case was dismissed was that the evidence there disclosed no specific reliance on any estimate of size except the plaintiff's after-the-fact assertions, and I find that again to be the same situation before me. There, as well, the plaintiff had ample opportunity to inspect what he was in fact getting. Again, I consider that to be the same situation here. Finally, the conclusion in that case was that the plaintiff's argument on damages proceeded from an unrealistic equation of size with value. The plaintiff did not buy 1,120 square feet of house at so much per square foot. The evidence was that he bought a house he had inspected and was prepared to pay $72,000 on the basis of his requirements and the reality of the marketplace. I find that, again, to be the same situation here. The plaintiffs here did not buy their house on the basis of so much per square foot. They bought their house on an inspection and were prepared to pay $340,000 on the basis of their requirements and the realities of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dismiss the plaintiffs' claims and I award the defendants Telep and Tri-Tel Realty Ltd.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MOBE Ltd. v. Loudoun, [2017] B.C.J. No. 2901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11-12, June 5-6, 8 and 19, July 24, August 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S1510710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2901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2668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MOBE Ltd., Plaintiff, and Kyle James Loudoun, Carson Randall Lim, and Niche Marketing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jc w:val="both"/>
        <w:rPr>
          <w:rFonts w:ascii="arial" w:eastAsia="arial" w:hAnsi="arial" w:cs="arial"/>
          <w:sz w:val="20"/>
          <w:lang w:val="en-US" w:eastAsia="en-US" w:bidi="ar-SA"/>
        </w:rPr>
      </w:pPr>
      <w:bookmarkStart w:id="153" w:name="Counsel_41"/>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Crerar, K. Withers.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D.F. Sutherland,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41"/>
      <w:bookmarkEnd w:id="154"/>
      <w:r>
        <w:pict>
          <v:line id="_x0000_s1170" style="position:absolute;z-index:2517596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Amend MOBE, Ltd. to MOBE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Strike the Amended Consolidated Notice of Civil Claim</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Application to Amend the Amended Consolidated Notice of Civil Claim by Removing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Remove Carson Lim as a Defendant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Plaintiff's Application to Compel Answers and Continue Discovery of Mr. Lim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Tender Evidence through Affidavit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Application to Compel Answers and for Document Production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Further Examination of Mr. Lloyd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of the Appeal of Master Taylor's Order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Application to Strike Response to the Amended Consolidated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G. CHOI J. (orally)"/>
            <w:bookmarkEnd w:id="155"/>
            <w:r>
              <w:rPr>
                <w:rFonts w:ascii="arial" w:eastAsia="arial" w:hAnsi="arial" w:cs="arial"/>
                <w:b/>
                <w:color w:val="000000"/>
                <w:sz w:val="30"/>
                <w:lang w:val="en-US" w:eastAsia="en-US" w:bidi="ar-SA"/>
              </w:rPr>
              <w:t>G. CHOI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nine notices of application before the court, which I will broadly describe below in the order that I will address the applications: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to amend the style of cause from MOBE, Ltd. to MOBE Ltd. without the comma;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seek to strike the amended consolidated notice of civil claim;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applies to amend the amended consolidated notice of civil claim to remove some paragraphs;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apply to remove Carson Lim as a defendant;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to compel Mr. Lim to answer questions from his examination for discovery, and seeks an order that Leah Thomas' affidavit can stand as her evidence at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apply to seek answers to unanswered questions and to compel documentation from the examination for discovery of Matt Lloyd;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seek an extension of time for the examination for discovery of Matt Lloyd;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seek costs from the appeal from an order of Master Taylor;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to strike the defendants'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MOBE Ltd., sues in defamation against its competitor Niche Marketing, operating as thewealthyaffiliate.com and its principals, Mr. Kyle Loudoun and Mr. Carson Lim. The sole shareholder, officer, and director of MOBE Ltd. is Mr. Matt Lloyd. I shall refer to MOBE Ltd. as MOBE.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MOBE and Niche Marketing operate online businesses which purport to educate their customers in creating and operating their own online businesses. Both companies offer customers financial incentives for referring new customers to their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MOBE alleges the defendants posted defamatory comments about it and its business. All parties agree that Mr. Loudoun wrote an article called "Ways to Avoid Scams Online", posted January 30, 2014, on the Internet about a company called My Online Business Empire, referred to as MOBE. MOBE alleges the article was defamatory and that the defendants encouraged and required Wealthy Affiliate customers to write defamatory reviews online about the plaintiff. According to MOBE, the defendants provided a template of a negative review written by Mr. Loudoun so that its customers could write their own negative reviews of others, including MOBE.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MOBE commenced Action S1510710 on December 23, 2015, and then Action S165737 on June 2, 2016. The two actions were consolidated pursuant to my order of January 13, 2017. Until August 1, 2017, the trial was to commence on September 11, 2017, for eight weeks. It is now scheduled to begin three weeks later on October 10, 2017, for the same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court ordered extensive production of documents against the defendants on August 31, 2016, as well as affidavits by each defendant confirming the thoroughness of the search and setting out particulars of the steps and locations searched for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sought to extend the deadline to comply with the August 31, 2016 order. That application, among others, was heard on October 11 and 13, and December 2, 2016. Reasons were issued on January 13, 2017, whereby that extension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have produced eight documents pursuant to the order. The plaintiff alleges both the document production and affidavits are woefully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Examinations for discovery have taken place as follows: June 8, 2016, and March 9, 2017, of Mr. Loudoun; October 18, 2016, of Mr. Lim; November 21 and 22, 2016, of Mr. Lloyd.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March 9, 2017 discovery of Mr. Loudoun ended when he had been examined in total for seven hours and one minute, when Mr. Loudoun left the discovery. The sevenhour total allowed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had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Lloyd's examination for discovery spanned seven hours and 30 minutes over the two days noted. Mr. Lloyd was to be further discovered on June 6, 2017, but that was postponed to later in that month due to these applications taking longer than originally estimated. The plaintiff is now refusing to allow further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20, 2017, the defendants brought an application to extend Mr. Lloyd's discovery. In the course of the discoveries of Mr. Lloyd, it was discovered that the name MOBE, Ltd. did not exist in Malaysia. Rather, a company named MOBE Ltd. was incorporated. The defendants argue that MOBE Ltd. cannot continue with an action in which MOBE, Ltd. is the plaintiff, and that it is not as simple as removing the comma. Thus, they seek to strike the amended consolidated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assignment of intellectual property between MOBE Ltd., Matt Lloyd Publishing.com, and Matt Lloyd-McPhee, dated July 14, 2014, was recently produced. The defendants argue that MOBE, Ltd. has never existed, and MOBE Ltd. was incorporated on July 2014, six months after the original "Ways to Avoid Scams Online" article was written by Mr. Loudoun.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seeks answers to outstanding requests from the October 18, 2016 discovery of Mr. Lim and seeks further discovery of Mr. Lim. The defendants seek to remove Mr. Lim as a defendant on the basis that he has no personal involvement, liability, or knowledge separate from Niche Marketing Inc. They contend that it is Mr. Loudoun, not Mr. Lim, who wrote the "Ways to Avoid Scams Online" article. Additionally, they claim that Mr. Loudoun is the best representative of Niche Marketing Inc., and that Mr. Lim will provide nothing additional.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opposes removing Mr. Lim as a defendant and alleges that he is one of the two principals of Niche Marketing Inc. and is a central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general terms, MOBE alleges the defendants are liable not only by encouraging their customers to publish defamatory reviews, but also by providing web pages that it hosts for those defamatory statements. Therefore, the plaintiff alleges the relationship between the defendants and the customers are of central importance. Most of the documents relevant to the defamatory reviews by these customers are within the sole possession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demonstrate the documentary evidence available, MOBE asserts that it had to resort to investigative searches. The affidavits of Leah Thomas, Eric Braun, and Melanie Boomhower contain extensive evidence of these searches. Leah Thomas and Melanie Boomhower are paralegals at the plaintiff's counsel's firm. The defendants say Mr. Braun is a private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affidavits of Eric Braun and Melanie Boomhower contain some evidence of the education and information provided to Wealthy Affiliate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Leah Thomas' affidavit of September 14, 2016, is 651 pages long and sets out the results of her searches into the authors of various articles alleged by MOBE to be defamatory copycat articles from the "Obvious Scam" article. MOBE argues that Ms. Thomas' affidavit establishes links between the defendants and these authors.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Braun set up two memberships in Wealthy Affiliate whereby one member referred the other. He deposes that by creating a member profile, he had access to a series of statistics attached to his profile, including the number of raw clicks and unique clicks that his profile received, new and recurring sales, referrals and overall revenue. Mr. Braun then created a second profile from an invitation referral that he sent out from his first profile. Immediately after creating the second profile, the first profile received an email congratulating it having a new member in its following. There was also a notification on both profiles indicating that they were being followed by the other. This new referral activity was immediately recorded in the statistics for each profile. Prominently displayed on many customers' pages is the number of referrals needed to get to a Wealthy Affiliate conference in Las Vegas. The conference was a chance to meet the defendants, Mr. Loudoun and Mr. Lim. The customers' activity set out clearly the progress needed to achieve the goal of attending this all-expenses-paid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depose that they do not have any communication with the people particularized in the claim, and they do not know who owns or operates any of the alleged defamatory websites.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Amend MOBE, Ltd. to MOBE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submits that it is entitled to amend the style of proceedings in the amended consolidated notice of civil claim to change the plaintiff's name from MOBE, Ltd. to MOBE Ltd., as this is a minor change and this change will cause no prejudice to the defendant. For this amendment, the plaintiff relies on R. 6-1, as they say this change will only work to clarify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Jackson v. Bubela</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(1972), 28 D.L.R. (3d) 500</w:t>
        </w:r>
      </w:hyperlink>
      <w:r>
        <w:rPr>
          <w:rFonts w:ascii="arial" w:eastAsia="arial" w:hAnsi="arial" w:cs="arial"/>
          <w:color w:val="000000"/>
          <w:sz w:val="20"/>
          <w:lang w:val="en-US" w:eastAsia="en-US" w:bidi="ar-SA"/>
        </w:rPr>
        <w:t xml:space="preserve"> (B.C.C.A.), the court said that it will allow a party to correct a party's name if two conditions exist: a reasonable person would know who the original name is referring to, and there is no prejudice to the other party caused by granting the name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Myer v. Saxton</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2008 BCSC 1685</w:t>
        </w:r>
      </w:hyperlink>
      <w:r>
        <w:rPr>
          <w:rFonts w:ascii="arial" w:eastAsia="arial" w:hAnsi="arial" w:cs="arial"/>
          <w:color w:val="000000"/>
          <w:sz w:val="20"/>
          <w:lang w:val="en-US" w:eastAsia="en-US" w:bidi="ar-SA"/>
        </w:rPr>
        <w:t xml:space="preserve"> at para. 19, the court set out a test for amending a mistake as being: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correction of a misnomer is this: "how would a reasonable person receiving the document take the document?" If, in all the circumstances of the case and looking at the document as a whole, he would say to himself, "of course it must be me, but they have got my name wrong," then there is a case of mere misnomer.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have opposed this application on two main bases: that failure to properly register a corporation is fatal to the maintenance of the action, and that a cause of action in tort is not assignable.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first deal with the argument focused on the failure to register.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have relied on </w:t>
      </w:r>
      <w:r>
        <w:rPr>
          <w:rFonts w:ascii="arial" w:eastAsia="arial" w:hAnsi="arial" w:cs="arial"/>
          <w:i/>
          <w:color w:val="000000"/>
          <w:sz w:val="20"/>
          <w:lang w:val="en-US" w:eastAsia="en-US" w:bidi="ar-SA"/>
        </w:rPr>
        <w:t>Island Seafoods, LLC v. R. &amp; L. Fisheries Ltd.</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2012 NSSC 348</w:t>
        </w:r>
      </w:hyperlink>
      <w:r>
        <w:rPr>
          <w:rFonts w:ascii="arial" w:eastAsia="arial" w:hAnsi="arial" w:cs="arial"/>
          <w:color w:val="000000"/>
          <w:sz w:val="20"/>
          <w:lang w:val="en-US" w:eastAsia="en-US" w:bidi="ar-SA"/>
        </w:rPr>
        <w:t xml:space="preserve">. Here, an action was dismissed due to the corporation's failure to properly register before commencing an action. While the plaintiff in this case did eventually register a corporation under the </w:t>
      </w:r>
      <w:r>
        <w:rPr>
          <w:rFonts w:ascii="arial" w:eastAsia="arial" w:hAnsi="arial" w:cs="arial"/>
          <w:i/>
          <w:color w:val="000000"/>
          <w:sz w:val="20"/>
          <w:lang w:val="en-US" w:eastAsia="en-US" w:bidi="ar-SA"/>
        </w:rPr>
        <w:t>Corporations Registration Act</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R.S.N.S. 1989, c. 101</w:t>
        </w:r>
      </w:hyperlink>
      <w:r>
        <w:rPr>
          <w:rFonts w:ascii="arial" w:eastAsia="arial" w:hAnsi="arial" w:cs="arial"/>
          <w:color w:val="000000"/>
          <w:sz w:val="20"/>
          <w:lang w:val="en-US" w:eastAsia="en-US" w:bidi="ar-SA"/>
        </w:rPr>
        <w:t>, this was not done until after the action was commenced. The court found this to be fatal to the claim and struck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do not find </w:t>
      </w:r>
      <w:r>
        <w:rPr>
          <w:rFonts w:ascii="arial" w:eastAsia="arial" w:hAnsi="arial" w:cs="arial"/>
          <w:i/>
          <w:color w:val="000000"/>
          <w:sz w:val="20"/>
          <w:lang w:val="en-US" w:eastAsia="en-US" w:bidi="ar-SA"/>
        </w:rPr>
        <w:t>Island Seafoods, LLC</w:t>
      </w:r>
      <w:r>
        <w:rPr>
          <w:rFonts w:ascii="arial" w:eastAsia="arial" w:hAnsi="arial" w:cs="arial"/>
          <w:color w:val="000000"/>
          <w:sz w:val="20"/>
          <w:lang w:val="en-US" w:eastAsia="en-US" w:bidi="ar-SA"/>
        </w:rPr>
        <w:t xml:space="preserve"> helpful in this case. The facts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suggestion that the company referenced in the original article was an unregistered company when the original notice of civil claim was filed in this case. The only issue here is surrounding the name that is recorded on the notice of civil claim. MOBE Ltd. was a properly registered company when this claim began; however, the plaintiff was improperly listed as MOBE, Ltd. I will not speculate on the reason for this; this appears to be very different than a case in which an unregistered company begins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second submission that the defendants have brought forward in opposing the plaintiff's application to remove the comma from MOBE, Ltd. centres around the notion that a cause of action in tort is not assignable.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agreed that MOBE Ltd. was not incorporated when the "Obvious Scam" article was published. It was incorporated approximately six months after the article's publication. To recoup for any damages suffered during this period, these damages would need to be assigned to MOBE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point to </w:t>
      </w:r>
      <w:r>
        <w:rPr>
          <w:rFonts w:ascii="arial" w:eastAsia="arial" w:hAnsi="arial" w:cs="arial"/>
          <w:i/>
          <w:color w:val="000000"/>
          <w:sz w:val="20"/>
          <w:lang w:val="en-US" w:eastAsia="en-US" w:bidi="ar-SA"/>
        </w:rPr>
        <w:t>Fredrickson v. I.C.B.C.</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[1986] 4 W.W.R. 504</w:t>
        </w:r>
      </w:hyperlink>
      <w:r>
        <w:rPr>
          <w:rFonts w:ascii="arial" w:eastAsia="arial" w:hAnsi="arial" w:cs="arial"/>
          <w:color w:val="000000"/>
          <w:sz w:val="20"/>
          <w:lang w:val="en-US" w:eastAsia="en-US" w:bidi="ar-SA"/>
        </w:rPr>
        <w:t xml:space="preserve"> (B.C.C.A), to support their submission that one cannot assign a cause of action in tort. In some cases, a cause of action in tort cannot be assigned. </w:t>
      </w:r>
      <w:r>
        <w:rPr>
          <w:rFonts w:ascii="arial" w:eastAsia="arial" w:hAnsi="arial" w:cs="arial"/>
          <w:i/>
          <w:color w:val="000000"/>
          <w:sz w:val="20"/>
          <w:lang w:val="en-US" w:eastAsia="en-US" w:bidi="ar-SA"/>
        </w:rPr>
        <w:t>Fredrickson</w:t>
      </w:r>
      <w:r>
        <w:rPr>
          <w:rFonts w:ascii="arial" w:eastAsia="arial" w:hAnsi="arial" w:cs="arial"/>
          <w:color w:val="000000"/>
          <w:sz w:val="20"/>
          <w:lang w:val="en-US" w:eastAsia="en-US" w:bidi="ar-SA"/>
        </w:rPr>
        <w:t xml:space="preserve"> makes it clear that this is not an absolute. In </w:t>
      </w:r>
      <w:r>
        <w:rPr>
          <w:rFonts w:ascii="arial" w:eastAsia="arial" w:hAnsi="arial" w:cs="arial"/>
          <w:i/>
          <w:color w:val="000000"/>
          <w:sz w:val="20"/>
          <w:lang w:val="en-US" w:eastAsia="en-US" w:bidi="ar-SA"/>
        </w:rPr>
        <w:t>Fredrickson</w:t>
      </w:r>
      <w:r>
        <w:rPr>
          <w:rFonts w:ascii="arial" w:eastAsia="arial" w:hAnsi="arial" w:cs="arial"/>
          <w:color w:val="000000"/>
          <w:sz w:val="20"/>
          <w:lang w:val="en-US" w:eastAsia="en-US" w:bidi="ar-SA"/>
        </w:rPr>
        <w:t>, Justice McLachlin provides a relevant summary of assigning actions in tort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assignment of a cause of action for non-personal tort is generally valid if the assignee has a sufficient pre-existing interest in the litigation to negate any taint of champerty or maintenance. In determining if this test is met, the court should look at the totality of the transaction: </w:t>
      </w:r>
      <w:r>
        <w:rPr>
          <w:rFonts w:ascii="arial" w:eastAsia="arial" w:hAnsi="arial" w:cs="arial"/>
          <w:i/>
          <w:color w:val="000000"/>
          <w:sz w:val="20"/>
          <w:lang w:val="en-US" w:eastAsia="en-US" w:bidi="ar-SA"/>
        </w:rPr>
        <w:t>Trendtex</w:t>
      </w:r>
      <w:r>
        <w:rPr>
          <w:rFonts w:ascii="arial" w:eastAsia="arial" w:hAnsi="arial" w:cs="arial"/>
          <w:color w:val="000000"/>
          <w:sz w:val="20"/>
          <w:lang w:val="en-US" w:eastAsia="en-US" w:bidi="ar-SA"/>
        </w:rPr>
        <w:t>, per Lord Roskill at p. 531. A property interest ancillary to the cause of action assigned is sufficient to support an assignment, but not essential. A genuine pre-existing commercial interest will suffice. The term "commercial interest" is used in the sense of financial interest; it need not arise from commercial dealings in the narrow sense. Assignment of a cause of action to a stranger will not be permitted, nor will the court uphold an assignment made for the purpose of obtaining more than what the assignee is legally entitled to. The conditions necessary to support the assignment of a cause of action in tort will be held to have been met where one party to litigation assigns to the other a cause of action arising out of the conduct of that litigation, with a view to enabling the assignee to recover the judgment which the court has previously pronounced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application, I am not dealing with whether an assignment is appropriate in this case. I am simply dealing with the removal of a comma from the plaintiff's name. This may be an important issue, but the time to do so is at the trial. That is when a determination should be made whether an assignment for damages for defamation for these months before MOBE Ltd.'s incorporation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defendants have provided me with nothing suggesting that a tort action can never be assigned, but even if that was so, the assignment would only affect any damages that accrue over these months between the article's publication and MOBE's incorporation. There is no need to assign any damages that occurred after MOBE became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cases cited by the defendants are distinguishable and do not assist them. I am not satisfied that any prejudice will flow to the defendants if this amendment is allowed. The test for allowing a correction of a misnomer as set out at para. 19 in </w:t>
      </w:r>
      <w:r>
        <w:rPr>
          <w:rFonts w:ascii="arial" w:eastAsia="arial" w:hAnsi="arial" w:cs="arial"/>
          <w:i/>
          <w:color w:val="000000"/>
          <w:sz w:val="20"/>
          <w:lang w:val="en-US" w:eastAsia="en-US" w:bidi="ar-SA"/>
        </w:rPr>
        <w:t>Saxton</w:t>
      </w:r>
      <w:r>
        <w:rPr>
          <w:rFonts w:ascii="arial" w:eastAsia="arial" w:hAnsi="arial" w:cs="arial"/>
          <w:color w:val="000000"/>
          <w:sz w:val="20"/>
          <w:lang w:val="en-US" w:eastAsia="en-US" w:bidi="ar-SA"/>
        </w:rPr>
        <w:t xml:space="preserve"> is passed, and as such, I will allow the amendment to remove the comma from MOBE, Ltd. in the style of proceedings and throughout the amended consolidated notice of civil claim. The application is granted.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Strike the Amended Consolidated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Based on allowing the amendment to the style of cause, the defendants' application to strike the amended consolidated notice of civil claim falls away.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Amend the Amended Consolidated Notice of Civil Claim by Removing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previously applied to consolidate the two actions, which the defendants opposed, including on the basis that the second MOBE action, being S165737, added much more serious allegations. The Court heard the consolidation application, as well as the defendants' application for a further $300,000 in security for costs, on October 11, 13, and December 2, 2016. Reasons for judgment were pronounced on January 13, 2017. The Court consolidated the two actions and granted a further $30,000 in security for costs. The plaintiff now wishes to amend the amended consolidated notice of civil claim to remove the paragraphs that were previously paras. 49(j), (k), (m), and 50(j), (k), (m), and are now paras. 110(j), (k), (m), and 111(j), (k),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paragraphs in issue are as follows: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their natural and ordinary meaning, the Defamatory Statements meant and were understood to mean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its products and programmes constitute a fraudulent scam or scheme based in theft or otherwise fraudulent pretences;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its founder are criminal organisations that put themselves out of reach of criminal and civil enforcement;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requires its customers to commit fraud or 'rip people off', and/or lie in order to succeed or progress in the programme;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 and its products and programmes constitute a fraudulent scam or scheme based in theft or otherwise fraudulent pretences</w:t>
      </w:r>
      <w:r>
        <w:rPr>
          <w:rFonts w:ascii="arial" w:eastAsia="arial" w:hAnsi="arial" w:cs="arial"/>
          <w:color w:val="000000"/>
          <w:sz w:val="20"/>
          <w:lang w:val="en-US" w:eastAsia="en-US" w:bidi="ar-SA"/>
        </w:rPr>
        <w:t>. This is untrue. As set out above, and generally, MOBE is an established and legitimate business training company, with many successful and satisfied customers.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 and its founder are criminal organisations that put themselves out of reach of criminal and civil enforcement</w:t>
      </w:r>
      <w:r>
        <w:rPr>
          <w:rFonts w:ascii="arial" w:eastAsia="arial" w:hAnsi="arial" w:cs="arial"/>
          <w:color w:val="000000"/>
          <w:sz w:val="20"/>
          <w:lang w:val="en-US" w:eastAsia="en-US" w:bidi="ar-SA"/>
        </w:rPr>
        <w:t>. This is untrue. MOBE, like many international businesses, is based in Malaysia, a sunny and businessfriendly jurisdiction.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 requires its customers to commit fraud or 'rip people off', and/or lie in order to succeed or progress in the programme</w:t>
      </w:r>
      <w:r>
        <w:rPr>
          <w:rFonts w:ascii="arial" w:eastAsia="arial" w:hAnsi="arial" w:cs="arial"/>
          <w:color w:val="000000"/>
          <w:sz w:val="20"/>
          <w:lang w:val="en-US" w:eastAsia="en-US" w:bidi="ar-SA"/>
        </w:rPr>
        <w:t>. This is untrue. See (g), (h), and (j)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argues that the amendments sought are further particularizations of allegations in paras. 110(a) to (i), and they are not worth the trouble they have engendered. The plaintiff submits that it is entitled to amend its pleadings to remove subparagraphs 110(j), (k), (m), and 111(j), (k), (m), as this change could cause no prejudice to the defendants. The plaintiff relies on R. 6-1, which it says supports an amendment in this case as it is necessary in order to ensure a just determination of the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They rely on </w:t>
      </w:r>
      <w:r>
        <w:rPr>
          <w:rFonts w:ascii="arial" w:eastAsia="arial" w:hAnsi="arial" w:cs="arial"/>
          <w:i/>
          <w:color w:val="000000"/>
          <w:sz w:val="20"/>
          <w:lang w:val="en-US" w:eastAsia="en-US" w:bidi="ar-SA"/>
        </w:rPr>
        <w:t>Mort v. Board of School Trustees of School Board No. 63 (Saanich)</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2001 BCSC 383</w:t>
        </w:r>
      </w:hyperlink>
      <w:r>
        <w:rPr>
          <w:rFonts w:ascii="arial" w:eastAsia="arial" w:hAnsi="arial" w:cs="arial"/>
          <w:color w:val="000000"/>
          <w:sz w:val="20"/>
          <w:lang w:val="en-US" w:eastAsia="en-US" w:bidi="ar-SA"/>
        </w:rPr>
        <w:t xml:space="preserve">. In his decision at para. 25, R.D. Wilson J. relies on R. 15, as well as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which he says "support a generous approach to the question of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Much of the plaintiff's submissions focused on the need for the defendants to show actual prejudice in order that the amendments be refused: see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(C.A.) at para. 42. The plaintiff claims that no prejudice flows from allowing this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When a party brings an application to amend pleadings, it will normally be granted, so the real issue between the parties may be determined, and the controversy finally resolved, unless there is prejudice to the other side that cannot be compensated by costs: </w:t>
      </w:r>
      <w:r>
        <w:rPr>
          <w:rFonts w:ascii="arial" w:eastAsia="arial" w:hAnsi="arial" w:cs="arial"/>
          <w:i/>
          <w:color w:val="000000"/>
          <w:sz w:val="20"/>
          <w:lang w:val="en-US" w:eastAsia="en-US" w:bidi="ar-SA"/>
        </w:rPr>
        <w:t>AG of Canada v. Ellis-Don Limited</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2000 BCCA 111</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claim that removing some of the pleadings will result in prejudice for two main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First, they argue that the reputation of both the plaintiff and the defendants are engaged in a defamation suit. By striking the more egregious claims, the court will deny the defendants the chance to vindicate themselves. As authority for this position, they cite </w:t>
      </w:r>
      <w:r>
        <w:rPr>
          <w:rFonts w:ascii="arial" w:eastAsia="arial" w:hAnsi="arial" w:cs="arial"/>
          <w:i/>
          <w:color w:val="000000"/>
          <w:sz w:val="20"/>
          <w:lang w:val="en-US" w:eastAsia="en-US" w:bidi="ar-SA"/>
        </w:rPr>
        <w:t>Robinson v. Furlong</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2015 BCSC 1690</w:t>
        </w:r>
      </w:hyperlink>
      <w:r>
        <w:rPr>
          <w:rFonts w:ascii="arial" w:eastAsia="arial" w:hAnsi="arial" w:cs="arial"/>
          <w:color w:val="000000"/>
          <w:sz w:val="20"/>
          <w:lang w:val="en-US" w:eastAsia="en-US" w:bidi="ar-SA"/>
        </w:rPr>
        <w:t xml:space="preserve">. There, Justice Wedge considered two parties who had made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defamatory statements about each other. The central issue in that case was whether the defendant's alleged defamation was defensible as a response to attack. Both parties' reputations were engaged in that case because, as the court held, the plaintiff had attacked the defendant's character, conduct, and credibility in response to which the defendant made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responses to defend his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facts in this case are not analogous. The defendants do not plead qualified privilege arising from a response to attack. There is no underlying defamatory statement by the plaintiff company attacking the defendants. The reputation of both parties is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Second, the defendants argue that their defence of justification depends on being able to argue the truth of the plaintiff's criminal activity. If the Court deletes the paragraph, they claim they will not be able to lead evidence that would otherwise vindicate them, and this would prejudice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have cited several cases where such prejudice flowed from a late-in-the-day amendment, but those cases are distinguishable because claims were added by the plaintiff. The defendants have not provided any authority where an amendment eliminating claims before trial has given rise to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defendants' argument presupposes that any evidence of alleged criminality is inadmissible at trial if these paragraphs are removed from the pleadings. I make no finding on the admissibility of such evidence at this time. That is an issue that can be argued at trial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the defendants assert that the trial will be delayed if the amendments are granted, and they are keen for the trial to proceed. They also oppose the amendments because they will lose an advantage in 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allowing these amendments will have no effect on when this matter will be heard. I find that removing some of the plaintiff's claims will not have the effect of delaying the trial. Further, I agree with the plaintiff that there is no basis on which to take into account the alleged loss of advantages in 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Alternatively, the defendants seek special costs, submitting that when a party alleges fraud as a cause of action, special costs are automatically at issue. The defendants assert if the Court allows the amendments and the serious imputations are removed, the plaintiff should post security for special costs, and the $30,000 in further security ordered on January 13, 2017, should be paid to the defendants. Any special costs awarded against the defendants would be deducted from the $30,000 already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special costs argument was not supported by any of the cases cited by either counsel. This is additionally supported by the fact that the plaintiff has not made a claim in fraud. Consequently, I will not consider this argument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application to amend the pleadings is granted.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Remove Carson Lim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defendants have brought an application to remove Carson Lim as a party due to their claim that he is not a proper or necessary party to this action. They rely on Rules 6-2(7) and 9-7 in this application. The test for removing a defendant is from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Assuming the facts to be true, is it plain and obvious that the statement of claim as it stands or as it may be amended discloses no reasonable cause of action, or no question fit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Normally, in order to establish a cause of action against an employee or director of a corporation, it must be shown that the individual "committed a tortious act which demonstrated an identity, or interest, separate from the company":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(S.C.)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However, in the case of defamation, individuals cannot be protected by the corporate veil if the allegation is proven: </w:t>
      </w:r>
      <w:r>
        <w:rPr>
          <w:rFonts w:ascii="arial" w:eastAsia="arial" w:hAnsi="arial" w:cs="arial"/>
          <w:i/>
          <w:color w:val="000000"/>
          <w:sz w:val="20"/>
          <w:lang w:val="en-US" w:eastAsia="en-US" w:bidi="ar-SA"/>
        </w:rPr>
        <w:t>Lasik Vision Canada Inc</w:t>
      </w:r>
      <w:r>
        <w:rPr>
          <w:rFonts w:ascii="arial" w:eastAsia="arial" w:hAnsi="arial" w:cs="arial"/>
          <w:color w:val="000000"/>
          <w:sz w:val="20"/>
          <w:lang w:val="en-US" w:eastAsia="en-US" w:bidi="ar-SA"/>
        </w:rPr>
        <w:t>. at para. 25. At trial, the plaintiff must show that Mr. Lim himself committed the tort of defamation. If they do so, Mr. Lim will be personally liable, even if the defamation was carried out during the course of his employment with Wealthy Affiliate.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the reasons that follow, I find that in this case, Mr. Lim is an appropriate defendant, and I dismiss the defendants' application to remove him as a party to this action. Mr. Lim is admittedly a "businessman, director and officer" of Niche Marketing. He is involved in the operations of the company. He is a cofounder of the company and has direct contact with clients. This is clear, based on the fact that emails sent out to clients are signed by Mr. Lim. Clients are encouraged to get in touch with Mr. Lim directly, and the plaintiff has produced a picture of Mr. Lim meeting in person with Wealthy Affiliate clients in Las Vegas. He is responsible for the technical operations of the company. Clearly, Mr. Lim is an active participant in the operations of Wealthy Affiliate.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defamation claim brought by the plaintiff extends well beyond the original "Obvious Scam" article to include Wealthy Affiliate's ongoing practice of allegedly encouraging clients to post negative reviews of MOBE.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may be that Mr. Lim has not committed the tort of defamation. However, that is to be determined at trial. He continues to be part of Wealthy Affiliate's operations and, as such, it would be inappropriate to remove him as a defendant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the application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Application to Compel Answers and Continue Discovery of Mr. Lim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seeks orders that Mr. Lim make himself available to continue his examination for discovery and to provide full responses and documents to all of the plaintiff's outstanding requests from his October 18, 2016 examination for discovery. As I have determined that Mr. Lim is still a party to this case, Mr. Lim's ongoing participation in discovery is still an important issue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relies on Rules 7-1(8), 7-2(17), (18), (23), and (25) in this application. It claims that Mr. Lim has not provided answers to the outstanding discovery questions and that his failure to do so has caused them prejudice, in that it has denied them full disclosure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argument focuses primarily on their claim that Mr. Lim should be removed as a defendant. But they also argue that Mr. Lim is unable to answer the outstanding questions. I have already ordered that Mr. Lim not be removed as a defendant, so there is no basis upon which to excuse Mr. Lim from answering the outstanding examination for discovery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hereby order that within ten days of these reasons, Mr. Lim provide full responses and discovery to all of the plaintiff's outstanding requests from his October 18, 2016 examination for discovery. I further order that within 14 days of these reasons, or as agreed to by counsel, Mr. Lim make himself available for the continuation of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Tender Evidence through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also brought an application seeking an order that Leah Thomas be permitted to give evidence in chief at trial by way of an affidavit sworn on September 14, 2016. The plaintiff has pointed to Rules 12-5 (59)-(61), which sets out the rules governing affidavit evidence tendered at trial. R. 12-5 (59) allows for a witness's evidence in chief be given by way of affidavit. R. 12-5 (61) allows a party to require the witness to be called for cross-examination at trial unless the court orders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Based on the plaintiff's notice of application and the defendants' application response and the submissions, I do not understand them to disagree broadly on this application. The plaintiff is asking that Ms. Thomas be allowed to give her testimony in chief by way of an affidavit, subject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including the R. 12-5(60) which allows the defendants to call Ms. Thomas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do not challenge the plaintiff's application to allow Ms. Thomas to give her examination-in-chief by way of an affidavit, but they wish to call her for cross-examination purposes. There are few decisions dealing with the discretion in R. 12-5(59) in depth. Though Justice Garson's decision in </w:t>
      </w:r>
      <w:r>
        <w:rPr>
          <w:rFonts w:ascii="arial" w:eastAsia="arial" w:hAnsi="arial" w:cs="arial"/>
          <w:i/>
          <w:color w:val="000000"/>
          <w:sz w:val="20"/>
          <w:lang w:val="en-US" w:eastAsia="en-US" w:bidi="ar-SA"/>
        </w:rPr>
        <w:t>Withler and Fitzsimonds v. Attorney General (Canada)</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2005 BCSC 1044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was decided under the old R. 40(44), the language of the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the same, and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has been applied in that context: see </w:t>
      </w:r>
      <w:r>
        <w:rPr>
          <w:rFonts w:ascii="arial" w:eastAsia="arial" w:hAnsi="arial" w:cs="arial"/>
          <w:i/>
          <w:color w:val="000000"/>
          <w:sz w:val="20"/>
          <w:lang w:val="en-US" w:eastAsia="en-US" w:bidi="ar-SA"/>
        </w:rPr>
        <w:t>Sangha v. Reliance Investment Group Ltd.</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2011 BCSC 371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Shum v. Tam</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2014 BCSC 1762</w:t>
        </w:r>
      </w:hyperlink>
      <w:r>
        <w:rPr>
          <w:rFonts w:ascii="arial" w:eastAsia="arial" w:hAnsi="arial" w:cs="arial"/>
          <w:color w:val="000000"/>
          <w:sz w:val="20"/>
          <w:lang w:val="en-US" w:eastAsia="en-US" w:bidi="ar-SA"/>
        </w:rPr>
        <w:t>, considering the identically-worded family law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Justice Garson held, at para. 18, that an applicant must establish three things: (1) that the evidence is reliable; (2) that it is necessary; and (3) that the balance of prejudice between the parties favours the introduction of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notes that an applicant need only establish threshold reliability as a condition for admissibility, not the reliability necessary for evidence to be accepted by the trier of fact. That, of course, is a matter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Based on </w:t>
      </w:r>
      <w:r>
        <w:rPr>
          <w:rFonts w:ascii="arial" w:eastAsia="arial" w:hAnsi="arial" w:cs="arial"/>
          <w:i/>
          <w:color w:val="000000"/>
          <w:sz w:val="20"/>
          <w:lang w:val="en-US" w:eastAsia="en-US" w:bidi="ar-SA"/>
        </w:rPr>
        <w:t>Withler</w:t>
      </w:r>
      <w:r>
        <w:rPr>
          <w:rFonts w:ascii="arial" w:eastAsia="arial" w:hAnsi="arial" w:cs="arial"/>
          <w:color w:val="000000"/>
          <w:sz w:val="20"/>
          <w:lang w:val="en-US" w:eastAsia="en-US" w:bidi="ar-SA"/>
        </w:rPr>
        <w:t xml:space="preserve"> and on the general agreement between counsel, I order that Ms. Thomas be allowed to give her examination-in-chief by way of an affidavit, but the defendants may cross-examine Ms. Thomas subject to the other requirement included in R. 12-5(61).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Application to Compel Answers and for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seek orders that Matt Lloyd provide answers, along with evidence to substantiate his answers to the outstanding questions posed to him during his November 2016 examination for discovery. There are 46 outstanding questions or documents sought. The plaintiff refuses to further answer on the basis that the questions are irrelevant to the pleadings in all the questions asked, and additionally that some of the questions are overly burdensome and seek confidential information from a trade competitor.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submits that despite their formal position to provide the answers, they have, on a without prejudice basis, answered all 46 questions. Initially, the without prejudice answers from the plaintiff were redacted. Later, a letter of February 10, 2017, from plaintiff's counsel to the defendants' counsel with all the un-redacted answers was handed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Some of the outstanding requests include: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copies of as many financial statements as are available to the present, but no further back than five years, from each of the corporations created for merchant accounts in various countries;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information as to what record is kept of intercorporate transfers, whether they are dividends or royalties, and what category of intercorporate transfer is employed between the companies receiving monies from the business's customers in various countries from the plaintiff;</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copies of documents evidencing entitlement of the plaintiff to transfer of monies as a result of payment into merchant accounts or other payment on account of the business that the plaintiff 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complains these documents are not relevant to the lawsuit on the pleadings, as they have not pled special damages. The defendants allege the documents and information sought are centrally relevant as to the arrangement by which the plaintiff exists as a company, and has the right to bring the claim, which is the assignment and supporting documents. I understand the plaintiff cannot locate the original assignment and has produced an enlarged version of the assignment for better legibility.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the defendants argue they need MOBE's financial statements and tax returns to prove that MOBE is a pyramid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principal objection is that they do not advance a claim for special damages and there is no claim for income loss. Therefore, the financial documents are not relevant to the claim. They plead specific defamatory meanings and did not sue the defendants on the basis of a statement that MOBE is a multilevel marketing scheme or is in business contrary to the rules of the competition bureau. If MOBE had wanted to sue on that basis, it would have done so expressly.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says the defendants have no need to defend a defamation suit on these grounds, and therefore they have no need to access information to establish the truth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relies on the Court of Appeal case of </w:t>
      </w:r>
      <w:r>
        <w:rPr>
          <w:rFonts w:ascii="arial" w:eastAsia="arial" w:hAnsi="arial" w:cs="arial"/>
          <w:i/>
          <w:color w:val="000000"/>
          <w:sz w:val="20"/>
          <w:lang w:val="en-US" w:eastAsia="en-US" w:bidi="ar-SA"/>
        </w:rPr>
        <w:t>Belzberg v. Jackson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(1981), 31 B.C.L.R. 140</w:t>
        </w:r>
      </w:hyperlink>
      <w:r>
        <w:rPr>
          <w:rFonts w:ascii="arial" w:eastAsia="arial" w:hAnsi="arial" w:cs="arial"/>
          <w:color w:val="000000"/>
          <w:sz w:val="20"/>
          <w:lang w:val="en-US" w:eastAsia="en-US" w:bidi="ar-SA"/>
        </w:rPr>
        <w:t xml:space="preserve"> (C.A.), for the proposition that the pleadings at the time of the examination for discovery and of the application before the court are the pleadings that govern with respect to the relevancy of questions at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Mr. Lloyd has answered the outstanding requests as set out in the February 10, 2017 letter, even when it asserts they are irrelevant. Mr. Lloyd has not produced the financial records sought and I agree with the plaintiff that these documents and questions are outside the scope of the pleadings. It is not open to the defendants to force additional document or oral discovery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therefore dismiss the defendants' application for answers to the outstanding questions and documents from Matt Lloyd's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for Further Examination of Mr. Lloyd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applicable rule is 7-2(3), which sets out the following considerations for the court:</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under subrule (2) to extend the examination for discovery period, the court must consider the following:</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a person who has been or is to be examined, including</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unresponsiveness in any examination for discovery held in the action,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failure to provide complete answers to questions, or</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provision of answers that are evasive, irrelevant, unresponsive or unduly lengthy;</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denial or refusal to admit, by a person who has been or is to be examined, anything that should have been admitted;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examining party;</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it is or was reasonably practicable to complete the examinations for discovery within the period provided under subrule (2);</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parties and examinations for discovery and the proximity of the various interests of those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submit that they did not have the opportunity to examine Mr. Lloyd on the second action which had been commenced in the June 2016 time frame, but which counsel had agreed to stay until the reasons for judgment pertaining to the security for costs application were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was originally agreeable to further discovery of Mr. Lloyd, and I note that further discovery had been scheduled. Sometime after the discovery had been agreed to, the plaintiff opposed any further discovery, so the defendants brought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argues that the weight of the considerations in R. 7-2(3) and in particular (a) the conduct of Mr. Lloyd, and (b) admitting that which should be admitted, contrasted with (c) the conduct of the defendants, and (d) whether it was practicable to complete the discovery in the period already provided mitigates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the reasons that follow, I dismiss the application for further discovery of Mr. Lloyd:</w:t>
      </w:r>
      <w:r>
        <w:rPr>
          <w:rFonts w:ascii="arial" w:eastAsia="arial" w:hAnsi="arial" w:cs="arial"/>
          <w:sz w:val="20"/>
          <w:lang w:val="en-US" w:eastAsia="en-US" w:bidi="ar-SA"/>
        </w:rPr>
        <w:cr/>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October trial date will not be maintained if the discovery of Mr. Lloyd proceeds in August or September, as the defendants have argued that they will serve any experts' reports only after completion of discoveries.</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Lloyd was discovered for two full days in November 2016, totalling seven hours and 39 minutes.</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disputed that the stay of the second action was agreed to by counsel as an accommodation to the defendants. The plaintiff argues that it was focused on pleadings and in particular, the defendants' response, which was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response. The stay was not intended to operate on other aspects of the action to prejudice the plaintiff.</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plaintiff that the considerations in R. 7-2(3) weigh in favour of the plaintiff. Mr. Loudoun refused to participate in discoveries on March 9, 2017, beyond the seven-hour mark and did so without notice to the plaintiff that the time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would be strictly enforced. This is after the defendants conducted discoveries of Mr. Lloyd for longer than seven hours and intended to continue to discover him.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the Appeal of Master Taylor's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Master Taylor dismissed an application by the defendants to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response. The defendants appealed. Prior to the hearing of the appeal, the plaintiff consented to the appeal. The defendants seek costs of the appeal which is opposed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order that each party will bear their own costs, as no hearing was necessary due to the consent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Strike Response to the Amended Consolidated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MOBE seeks an order to strike the defendants' response based on noncompliance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citing R. 22-7(2) and also relying on Rules 7-1(a), 7-2, 22-7(5), and 22-8. R. 22-7(2) is a broad rule that allows the court to make any order it considers will further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if there has been a failure to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originally sought an order for contempt in the alternative, but was unable to personally serve the defendant Kyle Loudon, so it could not proceed with its application. MOBE alleges the defendants have not complied with a document production order of August 31, 2016. Since that order, which was a thorough and broad document production order, the defendants have only produced eight documents which were already available to the plaintiff. The documents being requested, the plaintiff says, are central to the prosecution of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 also alleges broadranging complaints against the defendants for repeated breaches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that it says is purposeful and intended to delay and obstruct the case coming to trial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defendants deny any breaches of orders or any rules. Alternatively, they claim that any breaches of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are minor and not intended to impede the plaintiff, and should not result in the striking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main contention is that they have produced all the documents in their power and they cannot locate or produce any documents described in the first three paragraphs of the order, because they do not have "any way to know or identify any of the persons who posted the Postings" beyond the use of the WHOIS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August 31, 2016 order requires the defendants to provide the following:</w:t>
      </w:r>
      <w:r>
        <w:rPr>
          <w:rFonts w:ascii="arial" w:eastAsia="arial" w:hAnsi="arial" w:cs="arial"/>
          <w:sz w:val="20"/>
          <w:lang w:val="en-US" w:eastAsia="en-US" w:bidi="ar-SA"/>
        </w:rPr>
        <w:cr/>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fourteen (14) days of the date of this Order, the defendants and each of them:</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 thorough search for and produce all documents in the categories set out in the letter of 11 March 2016 from counsel for the plaintiff to counsel for the defendants, namely;</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full documents concerning the defendants' relationship with the persons who posted the Postings particularized in the Notice of Civil Claim (the "NCC") and Schedule A, including but not limited to those persons' contracts and registrations with the defendants, and payments to and from those persons and the defendants;</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provision of webpages or programmes or applications or resources to those persons used, to post those Postings, including emails and communications and course materials sent to those persons with respect to those applications and resources;</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relating to merchant account information and hosting information with respect to the persons who posted the Postings particularized in the NCC and Schedule A, including but not limited to those persons' contracts and registrations with the defendants;</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all versions of the three main postings in dispute in this litigation ("How to write a review", "Scam reviews", "Posting comments") on the Wealthy Affiliate website from their inception to the present, with all comments posted;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email communications between Kyle Loudoun and Carson Lim or between either of those persons and any other persons, including the persons who posted the Postings particularized in the NCC and Schedule A, of or concerning or mentioning MOBE, Matt Lloyd, or MTTB;</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postings and comments by Kyle Loudoun and Carson Lim or any employee or agent of Niche of or concerning or mentioning MOBE, Matt Lloyd, or MTTB;</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relative to the defences of truth, qualified privilege, honest opinion and responsible communication;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including communications, that provide any "grounds for suspicion" or "grounds for an investigation";</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including communications, providing a basis for the defendants' assertions in the Response to Civil Claim;</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including communications, related to the "reliable source or an apparently reliable source with that experience";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including communications, that provide evidence of the facts alleged in the Response to Civil Claim;</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including communications, of the "apparently truthful public statements about Matt Lloyd's origins and domicile";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One of the plaintiff's main concerns is its ability to link the defendants to the individuals who wrote the allegedly defamatory copycat articles. The defendants consistently argue that they have no knowledge of these individuals and no access to the documents establishing the relationship with the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strenuously takes issue with these denials. It asserts that at the same time as claiming no knowledge of the individuals and not having any access to the documents establishing the defendants' relationship with these individuals, Mr. Loudoun admitted at his discovery that he met some of the individuals who purport to be owners, operators or authors of the websites pleaded in the amended consolidated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Further, the plaintiff conducted its own investigations which it argues cast significant doubt on the defendants' evidence. The results of the investigations are set out in various affidavits, including in those of Eric Braun and Leah Thomas. Mr. Braun's affidavit lists Mr. Loudoun's friends on his Facebook account as including more than ten individuals who appear to be owners, operators, or authors of the websites pleaded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One of the pictures on Mr. Loudoun's Facebook page depicts eight men, including Mr. Loudoun and Mr. Lim. One of the other men in the picture is someone known as Ian Pribyl, also known as Quinton Ian Pribyl. In the photograph, Mr. Loudoun has his arm around Mr. Pribyl. The plaintiff contends that Mr. Pribyl's username is Pribs on Wealthy Affiliate. On that user profile, there is a link to a website entitled "No more Bull Shit Reviews", where there is a posting entitled, "My Top Tier Business Reviews: Sleazy Marketing for a Sleazier Product", authored by Ian Pribyl. From there, there is a further link to a YouTube video entitled, "My top tier business review Matt Lloyd and Dirty Details on the MOBE License." The transcription of the video is attached to Ms. Thomas'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argues that these are copycat defamatory reviews of the original "Obvious Scam" article. The plaintiff argues that Pribs is not the only user who has written such a review, and other examples are set out in the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also seeks documents or payment information from the defendants regarding the persons who posted the postings. The defendants argue they do not know the people and they do not store payment information, which is why they have nothing further to produce. The plaintiff does not accept this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Mr. Braun set up two fictitious profiles, one referred the other to Wealthy Affiliate, a number of statistics appeared. The plaintiff submits that Mr. Braun's affidavit showed the detailed statistics that Wealthy Affiliate kept for its users on a daily basis, including: (a) the number of raw clicks on a user's profile; (b) the number of unique clicks on the user's profile; (c) the number of raw clicks from search engines on content that a user publishes on Wealthy Affiliate; (d) the number of referrals each user has made, the source of each referral, and the user name of each referral; and (e) the amount of commission and revenue earned and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majority of the pleaded defamatory copycat articles include banner ads for Wealthy Affiliate. These ads are used to refer new members to Wealthy Affiliate and each has a unique HTML code and affiliate link. The plaintiff asserts the defendants must track the clicks that these banner ads receive, so that they can pay their customers for referrals, yet the defendants have not produced any documents or information about the statistics for those ads or referrals, even though the August 31, 2016 order required them to produce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response, Mr. Loudoun deposes:</w:t>
      </w:r>
      <w:r>
        <w:rPr>
          <w:rFonts w:ascii="arial" w:eastAsia="arial" w:hAnsi="arial" w:cs="arial"/>
          <w:sz w:val="20"/>
          <w:lang w:val="en-US" w:eastAsia="en-US" w:bidi="ar-SA"/>
        </w:rPr>
        <w:cr/>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say that the Plaintiff has made false allegations in paragraph 14 of the Notice of Application filed on May 23, 2017 Re Contempt of Court. I further say that: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do not track or keep detailed statistics on the number of raw clicks on a user's profile. The raw content clicks are a consolidated count and we have no record, nor do we know the source of any traffic. The tabulation of clicks by these Defendants is the number of clicks in aggregate across the profile, blog posts, questions, training videos, courses and tutorials, that is, the entire content participation in aggregate only.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do not track or keep detailed statistics on the number of unique clicks on a user's profile. The unique content clicks are a consolidated count and we have no record, nor do we know the source of any traffic. The tabulation of clicks by these Defendants is the number of clicks in aggregate across the profile, blog posts, questions, training videos, courses and tutorials, that is, the entire content participation in aggregate only.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do not track or keep detailed statistics from strictly search engines on content that a user publishes. Raw and Unique content clicks are a consolidated count and we have no record, nor do we know the source of any traffic. The tabulation of clicks by these Defendants is the number of clicks in aggregate across the profile, blog posts, questions, training videos, courses and tutorials, that is, the entire content participation in aggregate only.</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do not keep detailed statistics on the source of each referral (the websites it comes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August 31, 2016 order also required emails between Mr. Loudoun and Mr. Lim, or various other persons where the emails concerned the plaintiff or Mr. Lloyd to be produced. No emails have been produced, as the defendants say they have produced all emails that are not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also argues the affidavits of documents are inadequate and produce little, if any, relevant information, and the defendants were evasive in the extreme in their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Lim swore his affidavit of documents on October 18, 2016, the same day as his examination for discovery in which some questions about his affidavit of documents were asked of him. The plaintiff produced this from his transcript about questions relating to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488 Q Okay. Are you aware of a court order being issued in this proceeding ordering you to do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489 Q searches?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you seen a copy of that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490 Q All right. and did you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491 Q Have you searched through your papers to see if there are any relevant documents with respect to the matters set out in our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Which papers?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492 Q Well, any papers in your possession. Nonelectronic documents. Printouts.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My personal?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493 Q Yeah. I take it you haven't searched?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494 Q Okay. You can't recall any searches in the past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495 Q Okay. All right. Have you searched Wealthy Affiliate records in order to determine whether Wealthy Affiliate has any information on the identity of any of the owners and operators of the web pages set out in the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Who's the owner and operator?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496 Q I don't know. I mean, you haven't done searches, is what I'm asking you, or have you done searches?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497 Q Okay. Again, this would have just been the last month pursuant to a court order and you can't recall whether you did those searches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now turn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court has the power to strike a statement of defence and proceed as if no defence has been filed under R. 22-7(5):</w:t>
      </w:r>
      <w:r>
        <w:rPr>
          <w:rFonts w:ascii="arial" w:eastAsia="arial" w:hAnsi="arial" w:cs="arial"/>
          <w:sz w:val="20"/>
          <w:lang w:val="en-US" w:eastAsia="en-US" w:bidi="ar-SA"/>
        </w:rPr>
        <w:cr/>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any other power of the court under these Supreme Court Civil Rules, if a person, contrary to these Supreme Court Civil Rules and without lawful excuse,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a defendant, respondent or third party, a present officer of a corporate defendant, respondent or third party or a partner in or manager of a partnership defendant, respondent or third party, the court may order the proceeding to continue as if no response to civil claim or response to petition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language under the old R. 2(5) is substantially the same:</w:t>
      </w:r>
      <w:r>
        <w:rPr>
          <w:rFonts w:ascii="arial" w:eastAsia="arial" w:hAnsi="arial" w:cs="arial"/>
          <w:sz w:val="20"/>
          <w:lang w:val="en-US" w:eastAsia="en-US" w:bidi="ar-SA"/>
        </w:rPr>
        <w:cr/>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person, contrary to these rules and without lawful excuse,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defendant, respondent or a third party, or a present officer of a corporate defendant, respondent or third party, or a partner in or manager of a partnership defendant, respondent or third party, the court may order the proceeding to continue as if no appearance had been entered or no defence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number of courts have applied R. 2(5) jurisprudence to applications under R. 22-7(5): see </w:t>
      </w:r>
      <w:r>
        <w:rPr>
          <w:rFonts w:ascii="arial" w:eastAsia="arial" w:hAnsi="arial" w:cs="arial"/>
          <w:i/>
          <w:color w:val="000000"/>
          <w:sz w:val="20"/>
          <w:lang w:val="en-US" w:eastAsia="en-US" w:bidi="ar-SA"/>
        </w:rPr>
        <w:t>Balaj v. Xiaogang</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2012 BCSC 231</w:t>
        </w:r>
      </w:hyperlink>
      <w:r>
        <w:rPr>
          <w:rFonts w:ascii="arial" w:eastAsia="arial" w:hAnsi="arial" w:cs="arial"/>
          <w:color w:val="000000"/>
          <w:sz w:val="20"/>
          <w:lang w:val="en-US" w:eastAsia="en-US" w:bidi="ar-SA"/>
        </w:rPr>
        <w:t xml:space="preserve"> at paras. 30-33, aff'd </w:t>
      </w:r>
      <w:hyperlink r:id="rId833" w:history="1">
        <w:r>
          <w:rPr>
            <w:rFonts w:ascii="arial" w:eastAsia="arial" w:hAnsi="arial" w:cs="arial"/>
            <w:i/>
            <w:color w:val="0077CC"/>
            <w:sz w:val="20"/>
            <w:u w:val="single"/>
            <w:shd w:val="clear" w:color="auto" w:fill="FFFFFF"/>
            <w:lang w:val="en-US" w:eastAsia="en-US" w:bidi="ar-SA"/>
          </w:rPr>
          <w:t>2012 BCCA 211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XY, LLC v. Canadian Topsires Selection Inc.</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2015 BCSC 988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(Director of Civil Forfeiture) v. Crowley</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2013 BCCA 89</w:t>
        </w:r>
      </w:hyperlink>
      <w:r>
        <w:rPr>
          <w:rFonts w:ascii="arial" w:eastAsia="arial" w:hAnsi="arial" w:cs="arial"/>
          <w:color w:val="000000"/>
          <w:sz w:val="20"/>
          <w:lang w:val="en-US" w:eastAsia="en-US" w:bidi="ar-SA"/>
        </w:rPr>
        <w:t>, the B.C. Court of Appeal gave a list of factors that must be considered before a court grants an order under R. 22-7(5)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notes that striking pleadings is a draconian remedy (</w:t>
      </w:r>
      <w:r>
        <w:rPr>
          <w:rFonts w:ascii="arial" w:eastAsia="arial" w:hAnsi="arial" w:cs="arial"/>
          <w:i/>
          <w:color w:val="000000"/>
          <w:sz w:val="20"/>
          <w:lang w:val="en-US" w:eastAsia="en-US" w:bidi="ar-SA"/>
        </w:rPr>
        <w:t>Microsoft v. Eurocopter S.A.</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180 B.C.A.C. 316</w:t>
        </w:r>
      </w:hyperlink>
      <w:r>
        <w:rPr>
          <w:rFonts w:ascii="arial" w:eastAsia="arial" w:hAnsi="arial" w:cs="arial"/>
          <w:color w:val="000000"/>
          <w:sz w:val="20"/>
          <w:lang w:val="en-US" w:eastAsia="en-US" w:bidi="ar-SA"/>
        </w:rPr>
        <w:t xml:space="preserve"> at para. 4). The chambers judge was well aware of that. The appellant states that generally a party is given a "second chance". The chambers judge was well aware of that as well. Counsel for the Director directed the judge's attention to the factors that must be considered on an application to strike pleadings. These factors were recapitulated by Master Bouck in </w:t>
      </w:r>
      <w:r>
        <w:rPr>
          <w:rFonts w:ascii="arial" w:eastAsia="arial" w:hAnsi="arial" w:cs="arial"/>
          <w:i/>
          <w:color w:val="000000"/>
          <w:sz w:val="20"/>
          <w:lang w:val="en-US" w:eastAsia="en-US" w:bidi="ar-SA"/>
        </w:rPr>
        <w:t>British Columbia (Director of Civil Forfeiture) v. Zacchiana</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2011 BCSC 989</w:t>
        </w:r>
      </w:hyperlink>
      <w:r>
        <w:rPr>
          <w:rFonts w:ascii="arial" w:eastAsia="arial" w:hAnsi="arial" w:cs="arial"/>
          <w:color w:val="000000"/>
          <w:sz w:val="20"/>
          <w:lang w:val="en-US" w:eastAsia="en-US" w:bidi="ar-SA"/>
        </w:rPr>
        <w:t xml:space="preserve"> at para. 54, referring to passages in </w:t>
      </w:r>
      <w:r>
        <w:rPr>
          <w:rFonts w:ascii="arial" w:eastAsia="arial" w:hAnsi="arial" w:cs="arial"/>
          <w:i/>
          <w:color w:val="000000"/>
          <w:sz w:val="20"/>
          <w:lang w:val="en-US" w:eastAsia="en-US" w:bidi="ar-SA"/>
        </w:rPr>
        <w:t>Schwarzinger v. Bramwell</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2011 BCSC 304</w:t>
        </w:r>
      </w:hyperlink>
      <w:r>
        <w:rPr>
          <w:rFonts w:ascii="arial" w:eastAsia="arial" w:hAnsi="arial" w:cs="arial"/>
          <w:color w:val="000000"/>
          <w:sz w:val="20"/>
          <w:lang w:val="en-US" w:eastAsia="en-US" w:bidi="ar-SA"/>
        </w:rPr>
        <w: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start from the proposition that the relief will be granted "only in extreme cases": para. 109;</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are entitled to a "second chance" before the relief is granted: para. 112;</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some element of proportionality between the impugned conduct and the remedy. That is, "the punishment must fit the crime": para. 118;</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consider whether there is a "lesser remedy" that would "cure the default and inspire confidence that the Court's orders will be respected in the future": para. 123;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take into account any explanation offered by the offending party for non-compliance with the court order: para.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court must then consider these factors in light of the history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Whether or not to strike a defence is at heart a discretionary decision for the judge, only to be interfered with where the result is unjust, if there was a failure to consider a relevant principle, or if there was an error in principle: </w:t>
      </w:r>
      <w:r>
        <w:rPr>
          <w:rFonts w:ascii="arial" w:eastAsia="arial" w:hAnsi="arial" w:cs="arial"/>
          <w:i/>
          <w:color w:val="000000"/>
          <w:sz w:val="20"/>
          <w:lang w:val="en-US" w:eastAsia="en-US" w:bidi="ar-SA"/>
        </w:rPr>
        <w:t>Dhillon v. Pannu</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2008 BCCA 514</w:t>
        </w:r>
      </w:hyperlink>
      <w:r>
        <w:rPr>
          <w:rFonts w:ascii="arial" w:eastAsia="arial" w:hAnsi="arial" w:cs="arial"/>
          <w:color w:val="000000"/>
          <w:sz w:val="20"/>
          <w:lang w:val="en-US" w:eastAsia="en-US" w:bidi="ar-SA"/>
        </w:rPr>
        <w:t xml:space="preserve"> at paras. 34-35; </w:t>
      </w:r>
      <w:r>
        <w:rPr>
          <w:rFonts w:ascii="arial" w:eastAsia="arial" w:hAnsi="arial" w:cs="arial"/>
          <w:i/>
          <w:color w:val="000000"/>
          <w:sz w:val="20"/>
          <w:lang w:val="en-US" w:eastAsia="en-US" w:bidi="ar-SA"/>
        </w:rPr>
        <w:t>Grewal v. Nijjer</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2011 BCCA 505</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This remedy is a blunt tool to be exercised sparingly, and only where it is a measured and appropriate response to the conduct.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Striking pleadings is a severe remedy and the power to apply it should be measured and proportionate. As Madam Justice Southin said in </w:t>
      </w:r>
      <w:r>
        <w:rPr>
          <w:rFonts w:ascii="arial" w:eastAsia="arial" w:hAnsi="arial" w:cs="arial"/>
          <w:i/>
          <w:color w:val="000000"/>
          <w:sz w:val="20"/>
          <w:lang w:val="en-US" w:eastAsia="en-US" w:bidi="ar-SA"/>
        </w:rPr>
        <w:t>Homer Estate v. Eurocopter S.A.</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xml:space="preserve"> . . . at para. 4, it is "a Draconian remedy only to be invoked in the most egregious of cases because it deprives the litigants of a trial on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Likewise, it was said in </w:t>
      </w:r>
      <w:r>
        <w:rPr>
          <w:rFonts w:ascii="arial" w:eastAsia="arial" w:hAnsi="arial" w:cs="arial"/>
          <w:i/>
          <w:color w:val="000000"/>
          <w:sz w:val="20"/>
          <w:lang w:val="en-US" w:eastAsia="en-US" w:bidi="ar-SA"/>
        </w:rPr>
        <w:t>Hauwelling v. Dowak Industries Ltd.</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[1980] B.C.J. No. 1276</w:t>
        </w:r>
      </w:hyperlink>
      <w:r>
        <w:rPr>
          <w:rFonts w:ascii="arial" w:eastAsia="arial" w:hAnsi="arial" w:cs="arial"/>
          <w:color w:val="000000"/>
          <w:sz w:val="20"/>
          <w:lang w:val="en-US" w:eastAsia="en-US" w:bidi="ar-SA"/>
        </w:rPr>
        <w:t xml:space="preserve"> (C.A.) at para. 10, that the remedy "should only be done as a last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For the reasons that follow, I will not be issuing the order to strike the pleading today. The remedy urged on me by the plaintiff is a draconian order only to be used in extreme situations and after a warning has been issued. These reasons, however, provide that warning to the defendants that the court may strike out their defence at a later time. I adjourn this application generally and give leave to the plaintiff to reset this application on five days' notice, but to be set down no sooner than 28 days from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find that much of the defendants' materials are in breach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notices of applications or application responses do not provide an analysis of how the cases cited apply to the particular application in hand or to this case generally. The page count far exceeds the maximum allowed. The affidavits contain argument and other inadmissible expressions of emotion and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These deficiencies in the materials alone are not the basis upon which to strike pleadings. However, repeated and cumulative breaches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can lead to findings that a party is purposefully delaying the prosecution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troubled by the lack of document production since the August 31, 2016 order. On the basis of the material filed by the plaintiff and the submissions, I am satisfied that many documents have not been produced. On the evidence before me, I cannot conclude that the defendants were unable to comply with the August 31, 2016 order. The defendants missed the point of the order when they argue that they do not know the "persons who posted the Postings" and cite in support that Mr. Braun was able to create two fake profiles and they do not know his actual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order did not require the defendants to investigate and verify the actual identities of the users and their contact information. The plain meaning of the order required the defendants to conduct a thorough search and produce documents that they did possess. They have not produced the documents the plaintiff found in its investigations, and I am satisfied the defendants have access to much more than has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urge me not to make inferences based on hearsay from paralegals and private investigators when that evidence is in conflict with either Mr. Loudoun or Mr. Lim's 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submits that the affidavit evidence of Ms. Thomas, Ms. Boomhower, and Mr. Braun are not hearsay as it provides direct experience of the affiants. Alternatively, if the court finds that some of the evidence is hearsay, the plaintiff submits that it is admissible for three reasons: (1)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allow hearsay on an interlocutory application; (2) the evidence falls under the traditional exception as admissions against interest; and (3) the evidence is admissible under the principled exception to the hearsay rule as it is both reliable and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agree that the evidence is not hearsay in these circumstances and in this application. Hearsay is an outofcourt statement used to prove the truth of its contents. The plaintiff is not looking to establish the truth of the documents. Rather, they are using the documents as evidence that such documents exist and were not disclosed by the defendants. Whether or not these documents will be accepted for any other purpose may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If I am in error and the evidence is hearsay, I am satisfied that the evidence can be admitted under the principled exception to the hearsay rule, as it is both reliable and necessary on the applications before me for the purpose of demonstrating that other documents exist that have not been produced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Many of the exhibits contain material from the defendants' website or Facebook page. The defendants do not deny that the existence of the screenshots or other exhibits appended. Instead, they have focused on "not knowing the persons who posted the Postings". The plaintiff asserts the affidavits are very carefully constructed and the defendants do not deny that the profiles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Adams v. Canadian Tobacco Manufacturers' Council</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2010 SKQB 308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Rosetim Investments Inc. v. BCE</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2011 SKCA 111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Crookes v. De Simone</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2007 BCCA 515</w:t>
        </w:r>
      </w:hyperlink>
      <w:r>
        <w:rPr>
          <w:rFonts w:ascii="arial" w:eastAsia="arial" w:hAnsi="arial" w:cs="arial"/>
          <w:color w:val="000000"/>
          <w:sz w:val="20"/>
          <w:lang w:val="en-US" w:eastAsia="en-US" w:bidi="ar-SA"/>
        </w:rPr>
        <w:t>. In my view, none of these cases assist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the Court of Appeal dealt with an appeal of a dismissal of a libel action on a summary trial. Two pieces of evidence that the appellant relied on at the summary trial were obtained from the internet and both were ruled to be inadmissible hearsay evidence. This decision was appealed, and the appellant submitted that the evidence should be accepted as it met the tests of necessity and reliability for the admission of hearsay under the principled exception to the rule against hearsay evidence. At appeal, the evidence was not found to be reliable or necessary and was again ruled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case has important facts that distinguish it from the current one.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the evidence was being introduced for the truth of its contents, which I have not found to be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case, the question seemed to be whether an articled student or a lawyer can be a witness. The issue was not whether the documents attached to the articled student's affidavit were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passage relied on by the defendants in the </w:t>
      </w:r>
      <w:r>
        <w:rPr>
          <w:rFonts w:ascii="arial" w:eastAsia="arial" w:hAnsi="arial" w:cs="arial"/>
          <w:i/>
          <w:color w:val="000000"/>
          <w:sz w:val="20"/>
          <w:lang w:val="en-US" w:eastAsia="en-US" w:bidi="ar-SA"/>
        </w:rPr>
        <w:t>Rosetim Investments Inc</w:t>
      </w:r>
      <w:r>
        <w:rPr>
          <w:rFonts w:ascii="arial" w:eastAsia="arial" w:hAnsi="arial" w:cs="arial"/>
          <w:color w:val="000000"/>
          <w:sz w:val="20"/>
          <w:lang w:val="en-US" w:eastAsia="en-US" w:bidi="ar-SA"/>
        </w:rPr>
        <w:t>. case involved an articled student who downloaded material from a website which was struck on the basis of reliability. In the case at bar, I find the exhibits attached to the affidavits in question to be reliable to demonstrate that document production was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How much weight ought to be placed on the evidence is largely an issue for trial after cross-examination. However, based on the affidavits in support of the plaintiff, I accept there are many more documents that the defendants could have produced but chose not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that the defendants have not complied with their discovery obligations and that Mr. Lim's examination for discovery answers were generally not responsive and required more clarification than ought to have been reasonably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argue they have produced all of the emails between them and other persons that concern or mention MOBE that are not privileged. No emails have been produced. The plaintiff asserts that it defies logic that all emails are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satisfied that the defendants have not produced all the documents they can to comply with the August 31, 2016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conclusion, I make the following orders: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to amend the style of cause to change MOBE, Ltd. to MOBE Ltd. is granted;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application to strike the amended consolidated notice of civil claim is dismissed;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to amend the amended consolidated notice of civil claim by removing paragraphs 110 (j), (k), (m), and 111 (j), (k), (m) is granted;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application to remove Carson Lim as a defendant is dismissed;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ten days of these reasons, Carson Lim provide full responses and discovery to all of the plaintiff's outstanding requests from his October 18, 2016 examination for discovery. I further order that within 14 days of these reasons, or as agreed by counsel, Mr. Lim make himself available for the continuation of his examination for discovery;</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Leah Thomas be allowed to give her evidence in chief by way of an affidavit, but that the defendants may call her for cross-examination;</w:t>
      </w:r>
    </w:p>
    <w:p>
      <w:pPr>
        <w:numPr>
          <w:numId w:val="9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application seeking answers to unanswered questions and to compel documents from the examination for discovery of Matt Lloyd is dismissed;</w:t>
      </w:r>
    </w:p>
    <w:p>
      <w:pPr>
        <w:numPr>
          <w:numId w:val="9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for further examination for discovery of Matt Lloyd is dismissed;</w:t>
      </w:r>
    </w:p>
    <w:p>
      <w:pPr>
        <w:numPr>
          <w:numId w:val="9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each party bear their own costs regarding the appeal of Master Taylor's order; and</w:t>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to strike the defendants' response to civil claim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is entitled to its costs for the combined total of eight days of hearing for all applications, and I assess those costs summarily at $7,000, exclusive of taxes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171" style="position:absolute;z-index:2518036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Clare v. I.J. Manufacturing and three other actions, 2003 BREG para. 50,351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Coglon v. Ergas, [2009] B.C.J. No. 2427</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Commisso v. Teck Coal Ltd., [2018] B.C.J. No. 6970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Crawford v. Nazif, [2019] B.C.J. No. 2598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Cummings v. Tellier, [2019] B.C.J. No. 2312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Cupo v. Brady, [2013] B.C.J. No. 2086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Davis v. Royal Bank of Canada, [2016] B.C.J. No. 2262</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 v. Vancouver School No. 39, [2014] B.C.J. No. 3083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Exclusive Flor Sales Ltd. v. Fipke, [2010] B.C.J. No. 2142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Foote v. Hallen, [2014] B.C.J. No. 578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Gaida Estate v. McLeod, [2013] B.C.J. No. 1423</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Ghuman v. Insurance Corp. of British Columbia, [2019] B.C.J. No. 1547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Gichuru v. Purewal, [2019] B.C.J. No. 829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Glenn v. Seair Seaplanes Ltd., [2012] B.C.J. No. 2428</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Halliday v. Teasdale, [2019] B.C.J. No. 1414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Haror v. Rana, [2018] B.C.J. No. 3553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Hixon-Gause v. Roberts, [2003] I.L.R. para. M-1673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 (Guardian ad litem of) v. Marshall, [2008] B.C.J. No. 2827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Horvath v. Thring, [2004] I.L.R. para. M-1713</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 v. Ip, [2019] B.C.J. No. 2503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Hundley v. Garnier, [2011] B.C.J. No. 1841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I.A.L. (Litigation guardian of) v. Y.C., [2019] B.C.J. No. 1739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Suska, [2009] B.C.J. No. 2474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Irving v. Canada (Royal Canadian Mounted Police), [2000] B.C.J. No. 424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Jackson v. Backus, [2002] I.L.R. para. G-1496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Jennings v. Insurance Corporation of British Columbia, [2002] I.L.R. para. M-1562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Jiang v. Grand East Supermarket Inc., [2005] B.C.J. No. 2787</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Doe 1 v. University of British Columbia, [2019] B.C.J. No. 808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Joy v. Atkinson, [2008] B.C.J. No. 1127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J.R.T. Nurseries Inc. v. 0843374 B.C. Ltd., [2016] B.C.J. No. 578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Lansdowne v. United Church of Canada, [2001] I.L.R. para. G-1403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Lapointe v. John Doe, [2016] B.C.J. No. 223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Laurier Charters Ltd. v. Eggleton, [2020] B.C.J. No. 342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Letchumanapillai v. Insurance Corp. of British Columbia, [2011] B.C.J. No. 187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Leung v. Hui, [2001] I.L.R. para. M-1285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Level One Construction Ltd. v. Burnham, [2017] B.C.J. No. 2732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Liang v. Strata Plan BCS 354, [2018] B.C.J. No. 7207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 v. Li, [2019] B.C.J. No. 598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Lougheed Estate v. Wilson, [2019] B.C.J. No. 752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Lundquist v. Central Kootenay (Regional District), [2019] B.C.J. No. 1486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Lund v. Dey, [2015] B.C.J. No. 1151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Matharu v. Canadian Ramgarhia Society, [2020] B.C.J. No. 485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McBurney v. Levesque, [2019] B.C.J. No. 2112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McColl v. Thompson, [2015] B.C.J. No. 1243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McGowan v. Forster, [2019] B.C.J. No. 1829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McKnight v. Hutchison, [2019] B.C.J. No. 1582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Meade v. Armstrong (City), [2009] B.C.J. No. 2746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Meadowridge School Society v. Allen, [2018] B.C.J. No. 3335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Meagher v. Telep, [2005] B.C.J. No. 3233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MOBE Ltd. v. Loudoun, [2017] B.C.J. No. 2901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g)-(o)"/>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270D67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55FD10C"/>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5A0258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164F3D5E"/>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1AAA22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1C262DA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23539550"/>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1B9183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8CADAE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43909D5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46150E9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4808D21A"/>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4E5B89F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4FB4E9D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5342E9F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53C976F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5675A00B"/>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6C0B1A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64C86C3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685421EC"/>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6A2799A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2268B8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2FE171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34E666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6223009"/>
    <w:multiLevelType w:val="multilevel"/>
    <w:tmpl w:val="00000001"/>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8CBACF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95DB156"/>
    <w:multiLevelType w:val="multilevel"/>
    <w:tmpl w:val="00000001"/>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119"/>
  </w:num>
  <w:num w:numId="4">
    <w:abstractNumId w:val="2"/>
  </w:num>
  <w:num w:numId="5">
    <w:abstractNumId w:val="3"/>
  </w:num>
  <w:num w:numId="6">
    <w:abstractNumId w:val="4"/>
  </w:num>
  <w:num w:numId="7">
    <w:abstractNumId w:val="5"/>
  </w:num>
  <w:num w:numId="8">
    <w:abstractNumId w:val="134"/>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118"/>
  </w:num>
  <w:num w:numId="33">
    <w:abstractNumId w:val="120"/>
  </w:num>
  <w:num w:numId="34">
    <w:abstractNumId w:val="143"/>
  </w:num>
  <w:num w:numId="35">
    <w:abstractNumId w:val="117"/>
  </w:num>
  <w:num w:numId="36">
    <w:abstractNumId w:val="125"/>
  </w:num>
  <w:num w:numId="37">
    <w:abstractNumId w:val="137"/>
  </w:num>
  <w:num w:numId="38">
    <w:abstractNumId w:val="29"/>
  </w:num>
  <w:num w:numId="39">
    <w:abstractNumId w:val="30"/>
  </w:num>
  <w:num w:numId="40">
    <w:abstractNumId w:val="31"/>
  </w:num>
  <w:num w:numId="41">
    <w:abstractNumId w:val="132"/>
  </w:num>
  <w:num w:numId="42">
    <w:abstractNumId w:val="32"/>
  </w:num>
  <w:num w:numId="43">
    <w:abstractNumId w:val="33"/>
  </w:num>
  <w:num w:numId="44">
    <w:abstractNumId w:val="34"/>
  </w:num>
  <w:num w:numId="45">
    <w:abstractNumId w:val="35"/>
  </w:num>
  <w:num w:numId="46">
    <w:abstractNumId w:val="36"/>
  </w:num>
  <w:num w:numId="47">
    <w:abstractNumId w:val="37"/>
  </w:num>
  <w:num w:numId="48">
    <w:abstractNumId w:val="38"/>
  </w:num>
  <w:num w:numId="49">
    <w:abstractNumId w:val="39"/>
  </w:num>
  <w:num w:numId="50">
    <w:abstractNumId w:val="40"/>
  </w:num>
  <w:num w:numId="51">
    <w:abstractNumId w:val="41"/>
  </w:num>
  <w:num w:numId="52">
    <w:abstractNumId w:val="42"/>
  </w:num>
  <w:num w:numId="53">
    <w:abstractNumId w:val="43"/>
  </w:num>
  <w:num w:numId="54">
    <w:abstractNumId w:val="44"/>
  </w:num>
  <w:num w:numId="55">
    <w:abstractNumId w:val="45"/>
  </w:num>
  <w:num w:numId="56">
    <w:abstractNumId w:val="46"/>
  </w:num>
  <w:num w:numId="57">
    <w:abstractNumId w:val="47"/>
  </w:num>
  <w:num w:numId="58">
    <w:abstractNumId w:val="48"/>
  </w:num>
  <w:num w:numId="59">
    <w:abstractNumId w:val="49"/>
  </w:num>
  <w:num w:numId="60">
    <w:abstractNumId w:val="50"/>
  </w:num>
  <w:num w:numId="61">
    <w:abstractNumId w:val="51"/>
  </w:num>
  <w:num w:numId="62">
    <w:abstractNumId w:val="52"/>
  </w:num>
  <w:num w:numId="63">
    <w:abstractNumId w:val="53"/>
  </w:num>
  <w:num w:numId="64">
    <w:abstractNumId w:val="54"/>
  </w:num>
  <w:num w:numId="65">
    <w:abstractNumId w:val="55"/>
  </w:num>
  <w:num w:numId="66">
    <w:abstractNumId w:val="121"/>
  </w:num>
  <w:num w:numId="67">
    <w:abstractNumId w:val="126"/>
  </w:num>
  <w:num w:numId="68">
    <w:abstractNumId w:val="139"/>
  </w:num>
  <w:num w:numId="69">
    <w:abstractNumId w:val="127"/>
  </w:num>
  <w:num w:numId="70">
    <w:abstractNumId w:val="123"/>
  </w:num>
  <w:num w:numId="71">
    <w:abstractNumId w:val="130"/>
  </w:num>
  <w:num w:numId="72">
    <w:abstractNumId w:val="133"/>
  </w:num>
  <w:num w:numId="73">
    <w:abstractNumId w:val="142"/>
  </w:num>
  <w:num w:numId="74">
    <w:abstractNumId w:val="128"/>
  </w:num>
  <w:num w:numId="75">
    <w:abstractNumId w:val="138"/>
  </w:num>
  <w:num w:numId="76">
    <w:abstractNumId w:val="135"/>
  </w:num>
  <w:num w:numId="77">
    <w:abstractNumId w:val="124"/>
  </w:num>
  <w:num w:numId="78">
    <w:abstractNumId w:val="56"/>
  </w:num>
  <w:num w:numId="79">
    <w:abstractNumId w:val="57"/>
  </w:num>
  <w:num w:numId="80">
    <w:abstractNumId w:val="58"/>
  </w:num>
  <w:num w:numId="81">
    <w:abstractNumId w:val="59"/>
  </w:num>
  <w:num w:numId="82">
    <w:abstractNumId w:val="60"/>
  </w:num>
  <w:num w:numId="83">
    <w:abstractNumId w:val="61"/>
  </w:num>
  <w:num w:numId="84">
    <w:abstractNumId w:val="62"/>
  </w:num>
  <w:num w:numId="85">
    <w:abstractNumId w:val="63"/>
  </w:num>
  <w:num w:numId="86">
    <w:abstractNumId w:val="64"/>
  </w:num>
  <w:num w:numId="87">
    <w:abstractNumId w:val="65"/>
  </w:num>
  <w:num w:numId="88">
    <w:abstractNumId w:val="66"/>
  </w:num>
  <w:num w:numId="89">
    <w:abstractNumId w:val="67"/>
  </w:num>
  <w:num w:numId="90">
    <w:abstractNumId w:val="68"/>
  </w:num>
  <w:num w:numId="91">
    <w:abstractNumId w:val="69"/>
  </w:num>
  <w:num w:numId="92">
    <w:abstractNumId w:val="70"/>
  </w:num>
  <w:num w:numId="93">
    <w:abstractNumId w:val="71"/>
  </w:num>
  <w:num w:numId="94">
    <w:abstractNumId w:val="72"/>
  </w:num>
  <w:num w:numId="95">
    <w:abstractNumId w:val="73"/>
  </w:num>
  <w:num w:numId="96">
    <w:abstractNumId w:val="74"/>
  </w:num>
  <w:num w:numId="97">
    <w:abstractNumId w:val="75"/>
  </w:num>
  <w:num w:numId="98">
    <w:abstractNumId w:val="76"/>
  </w:num>
  <w:num w:numId="99">
    <w:abstractNumId w:val="77"/>
  </w:num>
  <w:num w:numId="100">
    <w:abstractNumId w:val="78"/>
  </w:num>
  <w:num w:numId="101">
    <w:abstractNumId w:val="79"/>
  </w:num>
  <w:num w:numId="102">
    <w:abstractNumId w:val="80"/>
  </w:num>
  <w:num w:numId="103">
    <w:abstractNumId w:val="81"/>
  </w:num>
  <w:num w:numId="104">
    <w:abstractNumId w:val="82"/>
  </w:num>
  <w:num w:numId="105">
    <w:abstractNumId w:val="83"/>
  </w:num>
  <w:num w:numId="106">
    <w:abstractNumId w:val="84"/>
  </w:num>
  <w:num w:numId="107">
    <w:abstractNumId w:val="85"/>
  </w:num>
  <w:num w:numId="108">
    <w:abstractNumId w:val="86"/>
  </w:num>
  <w:num w:numId="109">
    <w:abstractNumId w:val="87"/>
  </w:num>
  <w:num w:numId="110">
    <w:abstractNumId w:val="88"/>
  </w:num>
  <w:num w:numId="111">
    <w:abstractNumId w:val="89"/>
  </w:num>
  <w:num w:numId="112">
    <w:abstractNumId w:val="90"/>
  </w:num>
  <w:num w:numId="113">
    <w:abstractNumId w:val="91"/>
  </w:num>
  <w:num w:numId="114">
    <w:abstractNumId w:val="92"/>
  </w:num>
  <w:num w:numId="115">
    <w:abstractNumId w:val="93"/>
  </w:num>
  <w:num w:numId="116">
    <w:abstractNumId w:val="94"/>
  </w:num>
  <w:num w:numId="117">
    <w:abstractNumId w:val="95"/>
  </w:num>
  <w:num w:numId="118">
    <w:abstractNumId w:val="96"/>
  </w:num>
  <w:num w:numId="119">
    <w:abstractNumId w:val="97"/>
  </w:num>
  <w:num w:numId="120">
    <w:abstractNumId w:val="98"/>
  </w:num>
  <w:num w:numId="121">
    <w:abstractNumId w:val="99"/>
  </w:num>
  <w:num w:numId="122">
    <w:abstractNumId w:val="100"/>
  </w:num>
  <w:num w:numId="123">
    <w:abstractNumId w:val="101"/>
  </w:num>
  <w:num w:numId="124">
    <w:abstractNumId w:val="102"/>
  </w:num>
  <w:num w:numId="125">
    <w:abstractNumId w:val="103"/>
  </w:num>
  <w:num w:numId="126">
    <w:abstractNumId w:val="104"/>
  </w:num>
  <w:num w:numId="127">
    <w:abstractNumId w:val="105"/>
  </w:num>
  <w:num w:numId="128">
    <w:abstractNumId w:val="106"/>
  </w:num>
  <w:num w:numId="129">
    <w:abstractNumId w:val="107"/>
  </w:num>
  <w:num w:numId="130">
    <w:abstractNumId w:val="108"/>
  </w:num>
  <w:num w:numId="131">
    <w:abstractNumId w:val="109"/>
  </w:num>
  <w:num w:numId="132">
    <w:abstractNumId w:val="110"/>
  </w:num>
  <w:num w:numId="133">
    <w:abstractNumId w:val="111"/>
  </w:num>
  <w:num w:numId="134">
    <w:abstractNumId w:val="112"/>
  </w:num>
  <w:num w:numId="135">
    <w:abstractNumId w:val="113"/>
  </w:num>
  <w:num w:numId="136">
    <w:abstractNumId w:val="114"/>
  </w:num>
  <w:num w:numId="137">
    <w:abstractNumId w:val="115"/>
  </w:num>
  <w:num w:numId="138">
    <w:abstractNumId w:val="116"/>
  </w:num>
  <w:num w:numId="139">
    <w:abstractNumId w:val="141"/>
  </w:num>
  <w:num w:numId="140">
    <w:abstractNumId w:val="140"/>
  </w:num>
  <w:num w:numId="141">
    <w:abstractNumId w:val="136"/>
  </w:num>
  <w:num w:numId="142">
    <w:abstractNumId w:val="122"/>
  </w:num>
  <w:num w:numId="143">
    <w:abstractNumId w:val="129"/>
  </w:num>
  <w:num w:numId="144">
    <w:abstractNumId w:val="1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K6X-JJV1-JSJC-X0MJ-00000-00&amp;context=" TargetMode="External" /><Relationship Id="rId100" Type="http://schemas.openxmlformats.org/officeDocument/2006/relationships/hyperlink" Target="https://advance.lexis.com/api/document?collection=cases-ca&amp;id=urn:contentItem:5F7T-S7K1-DY33-B1K8-00000-00&amp;context=" TargetMode="External" /><Relationship Id="rId101" Type="http://schemas.openxmlformats.org/officeDocument/2006/relationships/hyperlink" Target="https://advance.lexis.com/api/document?collection=cases-ca&amp;id=urn:contentItem:5F7T-S771-JN14-G2PR-00000-00&amp;context=" TargetMode="External" /><Relationship Id="rId102" Type="http://schemas.openxmlformats.org/officeDocument/2006/relationships/hyperlink" Target="https://advance.lexis.com/api/document?collection=cases-ca&amp;id=urn:contentItem:5F7T-S6W1-JYYX-61TX-00000-00&amp;context=" TargetMode="External" /><Relationship Id="rId103" Type="http://schemas.openxmlformats.org/officeDocument/2006/relationships/hyperlink" Target="https://advance.lexis.com/api/document?collection=cases-ca&amp;id=urn:contentItem:5F7T-S7K1-JSJC-X168-00000-00&amp;context=" TargetMode="External" /><Relationship Id="rId104" Type="http://schemas.openxmlformats.org/officeDocument/2006/relationships/hyperlink" Target="https://advance.lexis.com/api/document?collection=cases-ca&amp;id=urn:contentItem:5F7T-S7P1-JSJC-X1GW-00000-00&amp;context=" TargetMode="External" /><Relationship Id="rId105" Type="http://schemas.openxmlformats.org/officeDocument/2006/relationships/hyperlink" Target="https://advance.lexis.com/api/document?collection=cases-ca&amp;id=urn:contentItem:5F7T-S7P1-JG02-S46D-00000-00&amp;context=" TargetMode="External" /><Relationship Id="rId106" Type="http://schemas.openxmlformats.org/officeDocument/2006/relationships/hyperlink" Target="https://advance.lexis.com/api/document?collection=cases-ca&amp;id=urn:contentItem:5K27-9R71-JWBS-63Y8-00000-00&amp;context=" TargetMode="External" /><Relationship Id="rId107" Type="http://schemas.openxmlformats.org/officeDocument/2006/relationships/hyperlink" Target="https://advance.lexis.com/api/document?collection=cases-ca&amp;id=urn:contentItem:5F82-1SF1-JKPJ-G2D1-00000-00&amp;context=" TargetMode="External" /><Relationship Id="rId108" Type="http://schemas.openxmlformats.org/officeDocument/2006/relationships/hyperlink" Target="https://advance.lexis.com/api/document?collection=cases-ca&amp;id=urn:contentItem:5F7T-S6W1-JB7K-21F4-00000-00&amp;context=" TargetMode="External" /><Relationship Id="rId109" Type="http://schemas.openxmlformats.org/officeDocument/2006/relationships/hyperlink" Target="https://advance.lexis.com/api/document?collection=cases-ca&amp;id=urn:contentItem:5PMP-4MT1-JF75-M03G-00000-00&amp;context=" TargetMode="External" /><Relationship Id="rId11" Type="http://schemas.openxmlformats.org/officeDocument/2006/relationships/hyperlink" Target="https://advance.lexis.com/api/document?collection=cases-ca&amp;id=urn:contentItem:5F7T-S701-JK4W-M0T6-00000-00&amp;context=" TargetMode="External" /><Relationship Id="rId110" Type="http://schemas.openxmlformats.org/officeDocument/2006/relationships/hyperlink" Target="https://advance.lexis.com/api/document?collection=cases-ca&amp;id=urn:contentItem:5F7T-S7P1-JSJC-X1F1-00000-00&amp;context=" TargetMode="External" /><Relationship Id="rId111" Type="http://schemas.openxmlformats.org/officeDocument/2006/relationships/hyperlink" Target="https://advance.lexis.com/api/document?collection=cases-ca&amp;id=urn:contentItem:5F7T-S7N1-F06F-24M7-00000-00&amp;context=" TargetMode="External" /><Relationship Id="rId112" Type="http://schemas.openxmlformats.org/officeDocument/2006/relationships/hyperlink" Target="https://advance.lexis.com/api/document?collection=cases-ca&amp;id=urn:contentItem:5F7T-S711-JNY7-X30K-00000-00&amp;context=" TargetMode="External" /><Relationship Id="rId113" Type="http://schemas.openxmlformats.org/officeDocument/2006/relationships/hyperlink" Target="https://advance.lexis.com/api/document?collection=cases-ca&amp;id=urn:contentItem:5J3K-3591-F956-S3CM-00000-00&amp;context=" TargetMode="External" /><Relationship Id="rId114" Type="http://schemas.openxmlformats.org/officeDocument/2006/relationships/hyperlink" Target="https://advance.lexis.com/api/document?collection=cases-ca&amp;id=urn:contentItem:5F7T-S771-JSJC-X05N-00000-00&amp;context=" TargetMode="External" /><Relationship Id="rId115" Type="http://schemas.openxmlformats.org/officeDocument/2006/relationships/hyperlink" Target="https://advance.lexis.com/api/document?collection=cases-ca&amp;id=urn:contentItem:5F7T-S731-F60C-X11W-00000-00&amp;context=" TargetMode="External" /><Relationship Id="rId116" Type="http://schemas.openxmlformats.org/officeDocument/2006/relationships/hyperlink" Target="https://advance.lexis.com/api/document?collection=cases-ca&amp;id=urn:contentItem:5F7T-S7M1-JCRC-B1SF-00000-00&amp;context=" TargetMode="External" /><Relationship Id="rId117" Type="http://schemas.openxmlformats.org/officeDocument/2006/relationships/hyperlink" Target="https://advance.lexis.com/api/document?collection=cases-ca&amp;id=urn:contentItem:5F8T-N3V1-FC1F-M4BC-00000-00&amp;context=" TargetMode="External" /><Relationship Id="rId118" Type="http://schemas.openxmlformats.org/officeDocument/2006/relationships/hyperlink" Target="https://advance.lexis.com/api/document?collection=cases-ca&amp;id=urn:contentItem:5F7T-S7N1-F06F-24BC-00000-00&amp;context=" TargetMode="External" /><Relationship Id="rId119" Type="http://schemas.openxmlformats.org/officeDocument/2006/relationships/hyperlink" Target="https://advance.lexis.com/api/document?collection=cases-ca&amp;id=urn:contentItem:5F7T-S6X1-JTNR-M3X3-00000-00&amp;context=" TargetMode="External" /><Relationship Id="rId12" Type="http://schemas.openxmlformats.org/officeDocument/2006/relationships/header" Target="header4.xml" /><Relationship Id="rId120" Type="http://schemas.openxmlformats.org/officeDocument/2006/relationships/hyperlink" Target="https://advance.lexis.com/api/document?collection=cases-ca&amp;id=urn:contentItem:5TX5-0TT1-JTGH-B0JT-00000-00&amp;context=" TargetMode="External" /><Relationship Id="rId121" Type="http://schemas.openxmlformats.org/officeDocument/2006/relationships/header" Target="header16.xml" /><Relationship Id="rId122" Type="http://schemas.openxmlformats.org/officeDocument/2006/relationships/header" Target="header17.xml" /><Relationship Id="rId123" Type="http://schemas.openxmlformats.org/officeDocument/2006/relationships/footer" Target="footer16.xml" /><Relationship Id="rId124" Type="http://schemas.openxmlformats.org/officeDocument/2006/relationships/footer" Target="footer17.xml" /><Relationship Id="rId125" Type="http://schemas.openxmlformats.org/officeDocument/2006/relationships/header" Target="header18.xml" /><Relationship Id="rId126" Type="http://schemas.openxmlformats.org/officeDocument/2006/relationships/footer" Target="footer18.xml" /><Relationship Id="rId127" Type="http://schemas.openxmlformats.org/officeDocument/2006/relationships/hyperlink" Target="https://advance.lexis.com/api/document?collection=cases-ca&amp;id=urn:contentItem:5F7T-S7P1-F2TK-23C5-00000-00&amp;context=" TargetMode="External" /><Relationship Id="rId128" Type="http://schemas.openxmlformats.org/officeDocument/2006/relationships/hyperlink" Target="https://advance.lexis.com/api/document?collection=cases-ca&amp;id=urn:contentItem:5F7T-S7F1-FFFC-B1R3-00000-00&amp;context=" TargetMode="External" /><Relationship Id="rId129" Type="http://schemas.openxmlformats.org/officeDocument/2006/relationships/hyperlink" Target="https://advance.lexis.com/api/document?collection=cases-ca&amp;id=urn:contentItem:5F7T-S761-JS5Y-B1PG-00000-00&amp;context=" TargetMode="External" /><Relationship Id="rId13" Type="http://schemas.openxmlformats.org/officeDocument/2006/relationships/header" Target="header5.xml" /><Relationship Id="rId130" Type="http://schemas.openxmlformats.org/officeDocument/2006/relationships/hyperlink" Target="https://advance.lexis.com/api/document?collection=cases-ca&amp;id=urn:contentItem:5F7T-S751-JGHR-M1XM-00000-00&amp;context=" TargetMode="External" /><Relationship Id="rId131" Type="http://schemas.openxmlformats.org/officeDocument/2006/relationships/hyperlink" Target="https://advance.lexis.com/api/document?collection=cases-ca&amp;id=urn:contentItem:5F8T-N3V1-JFKM-6015-00000-00&amp;context=" TargetMode="External" /><Relationship Id="rId132" Type="http://schemas.openxmlformats.org/officeDocument/2006/relationships/hyperlink" Target="https://advance.lexis.com/api/document?collection=cases-ca&amp;id=urn:contentItem:5F8P-SCW1-JFSV-G2CJ-00000-00&amp;context=" TargetMode="External" /><Relationship Id="rId133" Type="http://schemas.openxmlformats.org/officeDocument/2006/relationships/hyperlink" Target="https://advance.lexis.com/api/document?collection=cases-ca&amp;id=urn:contentItem:5F8P-SCN1-F8D9-M1TP-00000-00&amp;context=" TargetMode="External" /><Relationship Id="rId134" Type="http://schemas.openxmlformats.org/officeDocument/2006/relationships/hyperlink" Target="https://advance.lexis.com/api/document?collection=cases-ca&amp;id=urn:contentItem:5F8P-SFM1-F4GK-M3JT-00000-00&amp;context=" TargetMode="External" /><Relationship Id="rId135" Type="http://schemas.openxmlformats.org/officeDocument/2006/relationships/header" Target="header19.xml" /><Relationship Id="rId136" Type="http://schemas.openxmlformats.org/officeDocument/2006/relationships/header" Target="header20.xml" /><Relationship Id="rId137" Type="http://schemas.openxmlformats.org/officeDocument/2006/relationships/footer" Target="footer19.xml" /><Relationship Id="rId138" Type="http://schemas.openxmlformats.org/officeDocument/2006/relationships/footer" Target="footer20.xml" /><Relationship Id="rId139" Type="http://schemas.openxmlformats.org/officeDocument/2006/relationships/header" Target="header21.xml" /><Relationship Id="rId14" Type="http://schemas.openxmlformats.org/officeDocument/2006/relationships/footer" Target="footer4.xml" /><Relationship Id="rId140" Type="http://schemas.openxmlformats.org/officeDocument/2006/relationships/footer" Target="footer21.xml" /><Relationship Id="rId141" Type="http://schemas.openxmlformats.org/officeDocument/2006/relationships/hyperlink" Target="https://advance.lexis.com/api/document?collection=cases-ca&amp;id=urn:contentItem:5M43-BH51-DXHD-G24R-00000-00&amp;context=" TargetMode="External" /><Relationship Id="rId142" Type="http://schemas.openxmlformats.org/officeDocument/2006/relationships/hyperlink" Target="https://advance.lexis.com/api/document?collection=cases-ca&amp;id=urn:contentItem:5F7T-S7M1-JPP5-22M9-00000-00&amp;context=" TargetMode="External" /><Relationship Id="rId143" Type="http://schemas.openxmlformats.org/officeDocument/2006/relationships/hyperlink" Target="https://advance.lexis.com/api/document?collection=cases-ca&amp;id=urn:contentItem:5F7T-S731-DY33-B0W4-00000-00&amp;context=" TargetMode="External" /><Relationship Id="rId144" Type="http://schemas.openxmlformats.org/officeDocument/2006/relationships/header" Target="header22.xml" /><Relationship Id="rId145" Type="http://schemas.openxmlformats.org/officeDocument/2006/relationships/header" Target="header23.xml" /><Relationship Id="rId146" Type="http://schemas.openxmlformats.org/officeDocument/2006/relationships/footer" Target="footer22.xml" /><Relationship Id="rId147" Type="http://schemas.openxmlformats.org/officeDocument/2006/relationships/footer" Target="footer23.xml" /><Relationship Id="rId148" Type="http://schemas.openxmlformats.org/officeDocument/2006/relationships/header" Target="header24.xml" /><Relationship Id="rId149" Type="http://schemas.openxmlformats.org/officeDocument/2006/relationships/footer" Target="footer24.xml" /><Relationship Id="rId15" Type="http://schemas.openxmlformats.org/officeDocument/2006/relationships/footer" Target="footer5.xml" /><Relationship Id="rId150" Type="http://schemas.openxmlformats.org/officeDocument/2006/relationships/hyperlink" Target="https://advance.lexis.com/api/document?collection=cases-ca&amp;id=urn:contentItem:5GCC-XVB1-FK0M-S4XD-00000-00&amp;context=" TargetMode="External" /><Relationship Id="rId151" Type="http://schemas.openxmlformats.org/officeDocument/2006/relationships/hyperlink" Target="https://advance.lexis.com/api/document?collection=cases-ca&amp;id=urn:contentItem:5F7T-S781-F06F-23X6-00000-00&amp;context=" TargetMode="External" /><Relationship Id="rId152" Type="http://schemas.openxmlformats.org/officeDocument/2006/relationships/hyperlink" Target="https://advance.lexis.com/api/document?collection=cases-ca&amp;id=urn:contentItem:5F7T-S731-F016-S31D-00000-00&amp;context=" TargetMode="External" /><Relationship Id="rId153" Type="http://schemas.openxmlformats.org/officeDocument/2006/relationships/header" Target="header25.xml" /><Relationship Id="rId154" Type="http://schemas.openxmlformats.org/officeDocument/2006/relationships/header" Target="header26.xml" /><Relationship Id="rId155" Type="http://schemas.openxmlformats.org/officeDocument/2006/relationships/footer" Target="footer25.xml" /><Relationship Id="rId156" Type="http://schemas.openxmlformats.org/officeDocument/2006/relationships/footer" Target="footer26.xml" /><Relationship Id="rId157" Type="http://schemas.openxmlformats.org/officeDocument/2006/relationships/header" Target="header27.xml" /><Relationship Id="rId158" Type="http://schemas.openxmlformats.org/officeDocument/2006/relationships/footer" Target="footer27.xml" /><Relationship Id="rId159" Type="http://schemas.openxmlformats.org/officeDocument/2006/relationships/hyperlink" Target="https://advance.lexis.com/api/document?collection=cases-ca&amp;id=urn:contentItem:5F7T-S7K1-JX3N-B33W-00000-00&amp;context=" TargetMode="External" /><Relationship Id="rId16" Type="http://schemas.openxmlformats.org/officeDocument/2006/relationships/header" Target="header6.xml" /><Relationship Id="rId160" Type="http://schemas.openxmlformats.org/officeDocument/2006/relationships/hyperlink" Target="https://advance.lexis.com/api/document?collection=cases-ca&amp;id=urn:contentItem:5F7T-S7H1-JS5Y-B2P6-00000-00&amp;context=" TargetMode="External" /><Relationship Id="rId161" Type="http://schemas.openxmlformats.org/officeDocument/2006/relationships/header" Target="header28.xml" /><Relationship Id="rId162" Type="http://schemas.openxmlformats.org/officeDocument/2006/relationships/header" Target="header29.xml" /><Relationship Id="rId163" Type="http://schemas.openxmlformats.org/officeDocument/2006/relationships/footer" Target="footer28.xml" /><Relationship Id="rId164" Type="http://schemas.openxmlformats.org/officeDocument/2006/relationships/footer" Target="footer29.xml" /><Relationship Id="rId165" Type="http://schemas.openxmlformats.org/officeDocument/2006/relationships/header" Target="header30.xml" /><Relationship Id="rId166" Type="http://schemas.openxmlformats.org/officeDocument/2006/relationships/footer" Target="footer30.xml" /><Relationship Id="rId167" Type="http://schemas.openxmlformats.org/officeDocument/2006/relationships/hyperlink" Target="https://advance.lexis.com/api/document?collection=cases-ca&amp;id=urn:contentItem:5F7T-S7P1-JP4G-6209-00000-00&amp;context=" TargetMode="External" /><Relationship Id="rId168" Type="http://schemas.openxmlformats.org/officeDocument/2006/relationships/hyperlink" Target="https://advance.lexis.com/api/document?collection=cases-ca&amp;id=urn:contentItem:5F7T-S7D1-DY89-M4BH-00000-00&amp;context=" TargetMode="External" /><Relationship Id="rId169" Type="http://schemas.openxmlformats.org/officeDocument/2006/relationships/hyperlink" Target="https://advance.lexis.com/api/document?collection=cases-ca&amp;id=urn:contentItem:5F81-VJX1-FD4T-B2KR-00000-00&amp;context=" TargetMode="External" /><Relationship Id="rId17" Type="http://schemas.openxmlformats.org/officeDocument/2006/relationships/footer" Target="footer6.xml" /><Relationship Id="rId170" Type="http://schemas.openxmlformats.org/officeDocument/2006/relationships/hyperlink" Target="https://advance.lexis.com/api/document?collection=cases-ca&amp;id=urn:contentItem:5F7T-S711-F5KY-B0P4-00000-00&amp;context=" TargetMode="External" /><Relationship Id="rId171" Type="http://schemas.openxmlformats.org/officeDocument/2006/relationships/header" Target="header31.xml" /><Relationship Id="rId172" Type="http://schemas.openxmlformats.org/officeDocument/2006/relationships/header" Target="header32.xml" /><Relationship Id="rId173" Type="http://schemas.openxmlformats.org/officeDocument/2006/relationships/footer" Target="footer31.xml" /><Relationship Id="rId174" Type="http://schemas.openxmlformats.org/officeDocument/2006/relationships/footer" Target="footer32.xml" /><Relationship Id="rId175" Type="http://schemas.openxmlformats.org/officeDocument/2006/relationships/header" Target="header33.xml" /><Relationship Id="rId176" Type="http://schemas.openxmlformats.org/officeDocument/2006/relationships/footer" Target="footer33.xml" /><Relationship Id="rId177" Type="http://schemas.openxmlformats.org/officeDocument/2006/relationships/hyperlink" Target="https://advance.lexis.com/api/document?collection=cases-ca&amp;id=urn:contentItem:5F7T-S7N1-JW09-M145-00000-00&amp;context=" TargetMode="External" /><Relationship Id="rId178" Type="http://schemas.openxmlformats.org/officeDocument/2006/relationships/hyperlink" Target="https://advance.lexis.com/api/document?collection=cases-ca&amp;id=urn:contentItem:5F7T-S761-JX8W-M326-00000-00&amp;context=" TargetMode="External" /><Relationship Id="rId179" Type="http://schemas.openxmlformats.org/officeDocument/2006/relationships/hyperlink" Target="https://advance.lexis.com/api/document?collection=cases-ca&amp;id=urn:contentItem:5F7T-S771-JN14-G2MH-00000-00&amp;context=" TargetMode="External" /><Relationship Id="rId18" Type="http://schemas.openxmlformats.org/officeDocument/2006/relationships/hyperlink" Target="https://advance.lexis.com/api/document?collection=cases-ca&amp;id=urn:contentItem:5F7T-S7J1-DXWW-24ND-00000-00&amp;context=" TargetMode="External" /><Relationship Id="rId180" Type="http://schemas.openxmlformats.org/officeDocument/2006/relationships/hyperlink" Target="https://advance.lexis.com/api/document?collection=cases-ca&amp;id=urn:contentItem:5F8T-N3P1-F7ND-G13C-00000-00&amp;context=" TargetMode="External" /><Relationship Id="rId181" Type="http://schemas.openxmlformats.org/officeDocument/2006/relationships/hyperlink" Target="https://advance.lexis.com/api/document?collection=cases-ca&amp;id=urn:contentItem:5F7T-S6Y1-JF75-M3V6-00000-00&amp;context=" TargetMode="External" /><Relationship Id="rId182" Type="http://schemas.openxmlformats.org/officeDocument/2006/relationships/hyperlink" Target="https://advance.lexis.com/api/document?collection=cases-ca&amp;id=urn:contentItem:5F8P-SFJ1-F4GK-M2M0-00000-00&amp;context=" TargetMode="External" /><Relationship Id="rId183" Type="http://schemas.openxmlformats.org/officeDocument/2006/relationships/hyperlink" Target="https://advance.lexis.com/api/document?collection=cases-ca&amp;id=urn:contentItem:5F7V-3DG1-JFKM-651S-00000-00&amp;context=" TargetMode="External" /><Relationship Id="rId184" Type="http://schemas.openxmlformats.org/officeDocument/2006/relationships/hyperlink" Target="https://advance.lexis.com/api/document?collection=legislation-ca&amp;id=urn:contentItem:5VYC-10X1-JN14-G1GH-00000-00&amp;context=" TargetMode="External" /><Relationship Id="rId185" Type="http://schemas.openxmlformats.org/officeDocument/2006/relationships/hyperlink" Target="https://advance.lexis.com/api/document?collection=cases-ca&amp;id=urn:contentItem:5F7T-S7F1-JX3N-B1F7-00000-00&amp;context=" TargetMode="External" /><Relationship Id="rId186" Type="http://schemas.openxmlformats.org/officeDocument/2006/relationships/hyperlink" Target="https://advance.lexis.com/api/document?collection=cases-ca&amp;id=urn:contentItem:5F7T-S6S1-F7G6-61W6-00000-00&amp;context=" TargetMode="External" /><Relationship Id="rId187" Type="http://schemas.openxmlformats.org/officeDocument/2006/relationships/hyperlink" Target="https://advance.lexis.com/api/document?collection=cases-ca&amp;id=urn:contentItem:5F7T-S751-JNS1-M1D2-00000-00&amp;context=" TargetMode="External" /><Relationship Id="rId188" Type="http://schemas.openxmlformats.org/officeDocument/2006/relationships/hyperlink" Target="https://advance.lexis.com/api/document?collection=cases-ca&amp;id=urn:contentItem:5F16-93D1-JNS1-M293-00000-00&amp;context=" TargetMode="External" /><Relationship Id="rId189" Type="http://schemas.openxmlformats.org/officeDocument/2006/relationships/hyperlink" Target="https://advance.lexis.com/api/document?collection=cases-ca&amp;id=urn:contentItem:5F7T-S6X1-FCCX-60WY-00000-00&amp;context=" TargetMode="External" /><Relationship Id="rId19" Type="http://schemas.openxmlformats.org/officeDocument/2006/relationships/hyperlink" Target="https://advance.lexis.com/api/document?collection=cases-ca&amp;id=urn:contentItem:5F7T-S7J1-JYYX-6292-00000-00&amp;context=" TargetMode="External" /><Relationship Id="rId190" Type="http://schemas.openxmlformats.org/officeDocument/2006/relationships/hyperlink" Target="https://advance.lexis.com/api/document?collection=cases-ca&amp;id=urn:contentItem:5F8P-T8X1-JK4W-M1DT-00000-00&amp;context=" TargetMode="External" /><Relationship Id="rId191" Type="http://schemas.openxmlformats.org/officeDocument/2006/relationships/hyperlink" Target="https://advance.lexis.com/api/document?collection=cases-ca&amp;id=urn:contentItem:5F81-VJX1-FFTT-X1C6-00000-00&amp;context=" TargetMode="External" /><Relationship Id="rId192" Type="http://schemas.openxmlformats.org/officeDocument/2006/relationships/hyperlink" Target="https://advance.lexis.com/api/document?collection=cases-ca&amp;id=urn:contentItem:5F7T-S7N1-JW09-M0X3-00000-00&amp;context=" TargetMode="External" /><Relationship Id="rId193" Type="http://schemas.openxmlformats.org/officeDocument/2006/relationships/hyperlink" Target="https://advance.lexis.com/api/document?collection=cases-ca&amp;id=urn:contentItem:5F7T-S6W1-F5T5-M1RG-00000-00&amp;context=" TargetMode="External" /><Relationship Id="rId194" Type="http://schemas.openxmlformats.org/officeDocument/2006/relationships/hyperlink" Target="https://advance.lexis.com/api/document?collection=cases-ca&amp;id=urn:contentItem:5F7T-S6Y1-F65M-602X-00000-00&amp;context=" TargetMode="External" /><Relationship Id="rId195" Type="http://schemas.openxmlformats.org/officeDocument/2006/relationships/hyperlink" Target="https://advance.lexis.com/api/document?collection=cases-ca&amp;id=urn:contentItem:5F7T-S7J1-JNS1-M2DC-00000-00&amp;context=" TargetMode="External" /><Relationship Id="rId196" Type="http://schemas.openxmlformats.org/officeDocument/2006/relationships/hyperlink" Target="https://advance.lexis.com/api/document?collection=cases-ca&amp;id=urn:contentItem:5F8P-SG31-JF75-M31R-00000-00&amp;context=" TargetMode="External" /><Relationship Id="rId197" Type="http://schemas.openxmlformats.org/officeDocument/2006/relationships/hyperlink" Target="https://advance.lexis.com/api/document?collection=cases-ca&amp;id=urn:contentItem:5F7T-S7N1-JJ1H-X2N1-00000-00&amp;context=" TargetMode="External" /><Relationship Id="rId198" Type="http://schemas.openxmlformats.org/officeDocument/2006/relationships/hyperlink" Target="https://advance.lexis.com/api/document?collection=cases-ca&amp;id=urn:contentItem:5F7T-S6W1-JYYX-61RX-00000-00&amp;context=" TargetMode="External" /><Relationship Id="rId199" Type="http://schemas.openxmlformats.org/officeDocument/2006/relationships/header" Target="header34.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31-JC0G-63HG-00000-00&amp;context=" TargetMode="External" /><Relationship Id="rId200" Type="http://schemas.openxmlformats.org/officeDocument/2006/relationships/header" Target="header35.xml" /><Relationship Id="rId201" Type="http://schemas.openxmlformats.org/officeDocument/2006/relationships/footer" Target="footer34.xml" /><Relationship Id="rId202" Type="http://schemas.openxmlformats.org/officeDocument/2006/relationships/footer" Target="footer35.xml" /><Relationship Id="rId203" Type="http://schemas.openxmlformats.org/officeDocument/2006/relationships/header" Target="header36.xml" /><Relationship Id="rId204" Type="http://schemas.openxmlformats.org/officeDocument/2006/relationships/footer" Target="footer36.xml" /><Relationship Id="rId205" Type="http://schemas.openxmlformats.org/officeDocument/2006/relationships/hyperlink" Target="https://advance.lexis.com/api/document?collection=cases-ca&amp;id=urn:contentItem:5WVY-DSW1-F956-S2SG-00000-00&amp;context=" TargetMode="External" /><Relationship Id="rId206" Type="http://schemas.openxmlformats.org/officeDocument/2006/relationships/hyperlink" Target="https://advance.lexis.com/api/document?collection=cases-ca&amp;id=urn:contentItem:5V4S-6WS1-FFTT-X2X7-00000-00&amp;context=" TargetMode="External" /><Relationship Id="rId207" Type="http://schemas.openxmlformats.org/officeDocument/2006/relationships/hyperlink" Target="https://advance.lexis.com/api/document?collection=cases-ca&amp;id=urn:contentItem:5R0X-83K1-JSXV-G0KB-00000-00&amp;context=" TargetMode="External" /><Relationship Id="rId208" Type="http://schemas.openxmlformats.org/officeDocument/2006/relationships/hyperlink" Target="https://advance.lexis.com/api/document?collection=cases-ca&amp;id=urn:contentItem:5GCC-XVC1-F900-G51D-00000-00&amp;context=" TargetMode="External" /><Relationship Id="rId209" Type="http://schemas.openxmlformats.org/officeDocument/2006/relationships/hyperlink" Target="https://advance.lexis.com/api/document?collection=cases-ca&amp;id=urn:contentItem:5F7T-S7N1-DXWW-20GY-00000-00&amp;context=" TargetMode="External" /><Relationship Id="rId21" Type="http://schemas.openxmlformats.org/officeDocument/2006/relationships/hyperlink" Target="https://advance.lexis.com/api/document?collection=cases-ca&amp;id=urn:contentItem:5F7T-S721-F956-S1DP-00000-00&amp;context=" TargetMode="External" /><Relationship Id="rId210" Type="http://schemas.openxmlformats.org/officeDocument/2006/relationships/hyperlink" Target="https://advance.lexis.com/api/document?collection=cases-ca&amp;id=urn:contentItem:5F7T-S7K1-DY33-B1RK-00000-00&amp;context=" TargetMode="External" /><Relationship Id="rId211" Type="http://schemas.openxmlformats.org/officeDocument/2006/relationships/header" Target="header37.xml" /><Relationship Id="rId212" Type="http://schemas.openxmlformats.org/officeDocument/2006/relationships/header" Target="header38.xml" /><Relationship Id="rId213" Type="http://schemas.openxmlformats.org/officeDocument/2006/relationships/footer" Target="footer37.xml" /><Relationship Id="rId214" Type="http://schemas.openxmlformats.org/officeDocument/2006/relationships/footer" Target="footer38.xml" /><Relationship Id="rId215" Type="http://schemas.openxmlformats.org/officeDocument/2006/relationships/header" Target="header39.xml" /><Relationship Id="rId216" Type="http://schemas.openxmlformats.org/officeDocument/2006/relationships/footer" Target="footer39.xml" /><Relationship Id="rId217" Type="http://schemas.openxmlformats.org/officeDocument/2006/relationships/hyperlink" Target="https://advance.lexis.com/api/document?collection=cases-ca&amp;id=urn:contentItem:5W48-C7G1-JJ6S-6149-00000-00&amp;context=" TargetMode="External" /><Relationship Id="rId218" Type="http://schemas.openxmlformats.org/officeDocument/2006/relationships/hyperlink" Target="https://advance.lexis.com/api/document?collection=cases-ca&amp;id=urn:contentItem:5F8T-N3V1-JTGH-B1GX-00000-00&amp;context=" TargetMode="External" /><Relationship Id="rId219" Type="http://schemas.openxmlformats.org/officeDocument/2006/relationships/hyperlink" Target="https://advance.lexis.com/api/document?collection=cases-ca&amp;id=urn:contentItem:5PWM-06C1-JX8W-M4YM-00000-00&amp;context=" TargetMode="External" /><Relationship Id="rId22" Type="http://schemas.openxmlformats.org/officeDocument/2006/relationships/hyperlink" Target="https://advance.lexis.com/api/document?collection=cases-ca&amp;id=urn:contentItem:5F7T-S7J1-JYYX-621M-00000-00&amp;context=" TargetMode="External" /><Relationship Id="rId220" Type="http://schemas.openxmlformats.org/officeDocument/2006/relationships/hyperlink" Target="https://advance.lexis.com/api/document?collection=cases-ca&amp;id=urn:contentItem:5F7T-S771-JN14-G2C9-00000-00&amp;context=" TargetMode="External" /><Relationship Id="rId221" Type="http://schemas.openxmlformats.org/officeDocument/2006/relationships/hyperlink" Target="https://advance.lexis.com/api/document?collection=cases-ca&amp;id=urn:contentItem:5F8T-N3V1-JF75-M3K6-00000-00&amp;context=" TargetMode="External" /><Relationship Id="rId222" Type="http://schemas.openxmlformats.org/officeDocument/2006/relationships/hyperlink" Target="https://advance.lexis.com/api/document?collection=cases-ca&amp;id=urn:contentItem:5GCC-XVC1-F900-G4P0-00000-00&amp;context=" TargetMode="External" /><Relationship Id="rId223" Type="http://schemas.openxmlformats.org/officeDocument/2006/relationships/hyperlink" Target="https://advance.lexis.com/api/document?collection=cases-ca&amp;id=urn:contentItem:5GCC-XVB1-JSXV-G061-00000-00&amp;context=" TargetMode="External" /><Relationship Id="rId224" Type="http://schemas.openxmlformats.org/officeDocument/2006/relationships/hyperlink" Target="https://advance.lexis.com/api/document?collection=cases-ca&amp;id=urn:contentItem:5F7T-S7J1-JGBH-B2FV-00000-00&amp;context=" TargetMode="External" /><Relationship Id="rId225" Type="http://schemas.openxmlformats.org/officeDocument/2006/relationships/hyperlink" Target="https://advance.lexis.com/api/document?collection=cases-ca&amp;id=urn:contentItem:5F8T-N3V1-JTGH-B0Y8-00000-00&amp;context=" TargetMode="External" /><Relationship Id="rId226" Type="http://schemas.openxmlformats.org/officeDocument/2006/relationships/hyperlink" Target="https://advance.lexis.com/api/document?collection=cases-ca&amp;id=urn:contentItem:5F8T-N3V1-FC1F-M42M-00000-00&amp;context=" TargetMode="External" /><Relationship Id="rId227" Type="http://schemas.openxmlformats.org/officeDocument/2006/relationships/hyperlink" Target="https://advance.lexis.com/api/document?collection=cases-ca&amp;id=urn:contentItem:5F7T-S7K1-JKHB-6349-00000-00&amp;context=" TargetMode="External" /><Relationship Id="rId228" Type="http://schemas.openxmlformats.org/officeDocument/2006/relationships/hyperlink" Target="https://advance.lexis.com/api/document?collection=cases-ca&amp;id=urn:contentItem:5F7T-S761-FFMK-M0TX-00000-00&amp;context=" TargetMode="External" /><Relationship Id="rId229" Type="http://schemas.openxmlformats.org/officeDocument/2006/relationships/hyperlink" Target="https://advance.lexis.com/api/document?collection=cases-ca&amp;id=urn:contentItem:5F8T-N3V1-JF75-M3K1-00000-00&amp;context=" TargetMode="External" /><Relationship Id="rId23" Type="http://schemas.openxmlformats.org/officeDocument/2006/relationships/hyperlink" Target="https://advance.lexis.com/api/document?collection=cases-ca&amp;id=urn:contentItem:5F7T-S721-F57G-S15M-00000-00&amp;context=" TargetMode="External" /><Relationship Id="rId230" Type="http://schemas.openxmlformats.org/officeDocument/2006/relationships/hyperlink" Target="https://advance.lexis.com/api/document?collection=cases-ca&amp;id=urn:contentItem:5SFD-NPG1-FCCX-600W-00000-00&amp;context=" TargetMode="External" /><Relationship Id="rId231" Type="http://schemas.openxmlformats.org/officeDocument/2006/relationships/hyperlink" Target="https://advance.lexis.com/api/document?collection=cases-ca&amp;id=urn:contentItem:5SKG-24W1-F2TK-21VS-00000-00&amp;context=" TargetMode="External" /><Relationship Id="rId232" Type="http://schemas.openxmlformats.org/officeDocument/2006/relationships/hyperlink" Target="https://advance.lexis.com/api/document?collection=cases-ca&amp;id=urn:contentItem:5PVF-9W91-JP4G-63P6-00000-00&amp;context=" TargetMode="External" /><Relationship Id="rId233" Type="http://schemas.openxmlformats.org/officeDocument/2006/relationships/hyperlink" Target="https://advance.lexis.com/api/document?collection=cases-ca&amp;id=urn:contentItem:5F7T-S7D1-FCSB-S2M4-00000-00&amp;context=" TargetMode="External" /><Relationship Id="rId234" Type="http://schemas.openxmlformats.org/officeDocument/2006/relationships/hyperlink" Target="https://advance.lexis.com/api/document?collection=cases-ca&amp;id=urn:contentItem:5KBB-6DB1-FGRY-B2C6-00000-00&amp;context=" TargetMode="External" /><Relationship Id="rId235" Type="http://schemas.openxmlformats.org/officeDocument/2006/relationships/hyperlink" Target="https://advance.lexis.com/api/document?collection=cases-ca&amp;id=urn:contentItem:5GCC-XVB1-JGHR-M49N-00000-00&amp;context=" TargetMode="External" /><Relationship Id="rId236" Type="http://schemas.openxmlformats.org/officeDocument/2006/relationships/hyperlink" Target="https://advance.lexis.com/api/document?collection=cases-ca&amp;id=urn:contentItem:5W0M-V0B1-K054-G2T0-00000-00&amp;context=" TargetMode="External" /><Relationship Id="rId237" Type="http://schemas.openxmlformats.org/officeDocument/2006/relationships/hyperlink" Target="https://advance.lexis.com/api/document?collection=cases-ca&amp;id=urn:contentItem:5F8T-N3V1-FC1F-M4BS-00000-00&amp;context=" TargetMode="External" /><Relationship Id="rId238" Type="http://schemas.openxmlformats.org/officeDocument/2006/relationships/header" Target="header40.xml" /><Relationship Id="rId239" Type="http://schemas.openxmlformats.org/officeDocument/2006/relationships/header" Target="header41.xml" /><Relationship Id="rId24" Type="http://schemas.openxmlformats.org/officeDocument/2006/relationships/hyperlink" Target="https://advance.lexis.com/api/document?collection=cases-ca&amp;id=urn:contentItem:5F7T-S731-DY33-B169-00000-00&amp;context=" TargetMode="External" /><Relationship Id="rId240" Type="http://schemas.openxmlformats.org/officeDocument/2006/relationships/footer" Target="footer40.xml" /><Relationship Id="rId241" Type="http://schemas.openxmlformats.org/officeDocument/2006/relationships/footer" Target="footer41.xml" /><Relationship Id="rId242" Type="http://schemas.openxmlformats.org/officeDocument/2006/relationships/header" Target="header42.xml" /><Relationship Id="rId243" Type="http://schemas.openxmlformats.org/officeDocument/2006/relationships/footer" Target="footer42.xml" /><Relationship Id="rId244" Type="http://schemas.openxmlformats.org/officeDocument/2006/relationships/hyperlink" Target="https://advance.lexis.com/api/document?collection=cases-ca&amp;id=urn:contentItem:5F7T-S7N1-JJ1H-X2P5-00000-00&amp;context=" TargetMode="External" /><Relationship Id="rId245" Type="http://schemas.openxmlformats.org/officeDocument/2006/relationships/hyperlink" Target="https://advance.lexis.com/api/document?collection=legislation-ca&amp;id=urn:contentItem:5F41-1FN1-JSXV-G1VN-00000-00&amp;context=" TargetMode="External" /><Relationship Id="rId246" Type="http://schemas.openxmlformats.org/officeDocument/2006/relationships/hyperlink" Target="https://advance.lexis.com/api/document?collection=cases-ca&amp;id=urn:contentItem:5F7T-S7H1-F016-S3WF-00000-00&amp;context=" TargetMode="External" /><Relationship Id="rId247" Type="http://schemas.openxmlformats.org/officeDocument/2006/relationships/hyperlink" Target="https://advance.lexis.com/api/document?collection=cases-ca&amp;id=urn:contentItem:5F7T-S6X1-F06F-22F8-00000-00&amp;context=" TargetMode="External" /><Relationship Id="rId248" Type="http://schemas.openxmlformats.org/officeDocument/2006/relationships/header" Target="header43.xml" /><Relationship Id="rId249" Type="http://schemas.openxmlformats.org/officeDocument/2006/relationships/header" Target="header44.xml" /><Relationship Id="rId25" Type="http://schemas.openxmlformats.org/officeDocument/2006/relationships/hyperlink" Target="https://advance.lexis.com/api/document?collection=cases-ca&amp;id=urn:contentItem:5F7T-S731-F1WF-M229-00000-00&amp;context=" TargetMode="External" /><Relationship Id="rId250" Type="http://schemas.openxmlformats.org/officeDocument/2006/relationships/footer" Target="footer43.xml" /><Relationship Id="rId251" Type="http://schemas.openxmlformats.org/officeDocument/2006/relationships/footer" Target="footer44.xml" /><Relationship Id="rId252" Type="http://schemas.openxmlformats.org/officeDocument/2006/relationships/header" Target="header45.xml" /><Relationship Id="rId253" Type="http://schemas.openxmlformats.org/officeDocument/2006/relationships/footer" Target="footer45.xml" /><Relationship Id="rId254" Type="http://schemas.openxmlformats.org/officeDocument/2006/relationships/hyperlink" Target="https://advance.lexis.com/api/document?collection=cases-ca&amp;id=urn:contentItem:5WRR-VPD1-FGRY-B2FX-00000-00&amp;context=" TargetMode="External" /><Relationship Id="rId255" Type="http://schemas.openxmlformats.org/officeDocument/2006/relationships/hyperlink" Target="https://advance.lexis.com/api/document?collection=cases-ca&amp;id=urn:contentItem:5VX3-4C71-DY89-M30Y-00000-00&amp;context=" TargetMode="External" /><Relationship Id="rId256" Type="http://schemas.openxmlformats.org/officeDocument/2006/relationships/hyperlink" Target="https://advance.lexis.com/api/document?collection=cases-ca&amp;id=urn:contentItem:5F7T-S7F1-JX3N-B1F5-00000-00&amp;context=" TargetMode="External" /><Relationship Id="rId257" Type="http://schemas.openxmlformats.org/officeDocument/2006/relationships/hyperlink" Target="https://advance.lexis.com/api/document?collection=cases-ca&amp;id=urn:contentItem:5F7T-S7K1-F528-G2V7-00000-00&amp;context=" TargetMode="External" /><Relationship Id="rId258" Type="http://schemas.openxmlformats.org/officeDocument/2006/relationships/hyperlink" Target="https://advance.lexis.com/api/document?collection=cases-ca&amp;id=urn:contentItem:5F7T-S7K1-F1H1-223T-00000-00&amp;context=" TargetMode="External" /><Relationship Id="rId259" Type="http://schemas.openxmlformats.org/officeDocument/2006/relationships/hyperlink" Target="https://advance.lexis.com/api/document?collection=cases-ca&amp;id=urn:contentItem:5F7T-S7K1-JSJC-X0WD-00000-00&amp;context=" TargetMode="External" /><Relationship Id="rId26" Type="http://schemas.openxmlformats.org/officeDocument/2006/relationships/hyperlink" Target="https://advance.lexis.com/api/document?collection=cases-ca&amp;id=urn:contentItem:5F7T-S771-F361-M1VH-00000-00&amp;context=" TargetMode="External" /><Relationship Id="rId260" Type="http://schemas.openxmlformats.org/officeDocument/2006/relationships/hyperlink" Target="https://advance.lexis.com/api/document?collection=cases-ca&amp;id=urn:contentItem:5P6H-4RC1-DYFH-X00W-00000-00&amp;context=" TargetMode="External" /><Relationship Id="rId261" Type="http://schemas.openxmlformats.org/officeDocument/2006/relationships/hyperlink" Target="https://advance.lexis.com/api/document?collection=cases-ca&amp;id=urn:contentItem:5H1R-2H11-FG12-61WX-00000-00&amp;context=" TargetMode="External" /><Relationship Id="rId262" Type="http://schemas.openxmlformats.org/officeDocument/2006/relationships/hyperlink" Target="https://advance.lexis.com/api/document?collection=cases-ca&amp;id=urn:contentItem:5F7T-S7C1-FCSB-S23K-00000-00&amp;context=" TargetMode="External" /><Relationship Id="rId263" Type="http://schemas.openxmlformats.org/officeDocument/2006/relationships/hyperlink" Target="https://advance.lexis.com/api/document?collection=cases-ca&amp;id=urn:contentItem:5F7T-S791-JCJ5-24WK-00000-00&amp;context=" TargetMode="External" /><Relationship Id="rId264" Type="http://schemas.openxmlformats.org/officeDocument/2006/relationships/hyperlink" Target="https://advance.lexis.com/api/document?collection=cases-ca&amp;id=urn:contentItem:5F7T-S7F1-DXWW-2473-00000-00&amp;context=" TargetMode="External" /><Relationship Id="rId265" Type="http://schemas.openxmlformats.org/officeDocument/2006/relationships/hyperlink" Target="https://advance.lexis.com/api/document?collection=cases-ca&amp;id=urn:contentItem:5F7T-S721-FD4T-B0SY-00000-00&amp;context=" TargetMode="External" /><Relationship Id="rId266" Type="http://schemas.openxmlformats.org/officeDocument/2006/relationships/hyperlink" Target="https://advance.lexis.com/api/document?collection=cases-ca&amp;id=urn:contentItem:5F7T-S731-FFFC-B0Y8-00000-00&amp;context=" TargetMode="External" /><Relationship Id="rId267" Type="http://schemas.openxmlformats.org/officeDocument/2006/relationships/hyperlink" Target="https://advance.lexis.com/api/document?collection=cases-ca&amp;id=urn:contentItem:5F81-VJT1-JK4W-M49G-00000-00&amp;context=" TargetMode="External" /><Relationship Id="rId268" Type="http://schemas.openxmlformats.org/officeDocument/2006/relationships/hyperlink" Target="https://advance.lexis.com/api/document?collection=cases-ca&amp;id=urn:contentItem:5F7T-S6R1-JSXV-G0PG-00000-00&amp;context=" TargetMode="External" /><Relationship Id="rId269" Type="http://schemas.openxmlformats.org/officeDocument/2006/relationships/hyperlink" Target="https://advance.lexis.com/api/document?collection=cases-ca&amp;id=urn:contentItem:5NWJ-C8Y1-F2F4-G3CC-00000-00&amp;context=" TargetMode="External" /><Relationship Id="rId27" Type="http://schemas.openxmlformats.org/officeDocument/2006/relationships/hyperlink" Target="https://advance.lexis.com/api/document?collection=cases-ca&amp;id=urn:contentItem:5F7T-S7H1-FCSB-S3PW-00000-00&amp;context=" TargetMode="External" /><Relationship Id="rId270" Type="http://schemas.openxmlformats.org/officeDocument/2006/relationships/hyperlink" Target="https://advance.lexis.com/api/document?collection=cases-ca&amp;id=urn:contentItem:5F8P-SDR1-FFTT-X2R5-00000-00&amp;context=" TargetMode="External" /><Relationship Id="rId271" Type="http://schemas.openxmlformats.org/officeDocument/2006/relationships/hyperlink" Target="https://iclr.co.uk/pubrefLookup/redirectTo?ref=1907+P.+122" TargetMode="External" /><Relationship Id="rId272" Type="http://schemas.openxmlformats.org/officeDocument/2006/relationships/image" Target="media/image1.png" /><Relationship Id="rId273" Type="http://schemas.openxmlformats.org/officeDocument/2006/relationships/hyperlink" Target="https://advance.lexis.com/api/document?collection=cases-ca&amp;id=urn:contentItem:5RVJ-T2K1-FBV7-B318-00000-00&amp;context=" TargetMode="External" /><Relationship Id="rId274" Type="http://schemas.openxmlformats.org/officeDocument/2006/relationships/header" Target="header46.xml" /><Relationship Id="rId275" Type="http://schemas.openxmlformats.org/officeDocument/2006/relationships/header" Target="header47.xml" /><Relationship Id="rId276" Type="http://schemas.openxmlformats.org/officeDocument/2006/relationships/footer" Target="footer46.xml" /><Relationship Id="rId277" Type="http://schemas.openxmlformats.org/officeDocument/2006/relationships/footer" Target="footer47.xml" /><Relationship Id="rId278" Type="http://schemas.openxmlformats.org/officeDocument/2006/relationships/header" Target="header48.xml" /><Relationship Id="rId279" Type="http://schemas.openxmlformats.org/officeDocument/2006/relationships/footer" Target="footer48.xml" /><Relationship Id="rId28" Type="http://schemas.openxmlformats.org/officeDocument/2006/relationships/header" Target="header7.xml" /><Relationship Id="rId280" Type="http://schemas.openxmlformats.org/officeDocument/2006/relationships/hyperlink" Target="https://advance.lexis.com/api/document?collection=cases-ca&amp;id=urn:contentItem:5TP0-1J51-JJ1H-X3CR-00000-00&amp;context=" TargetMode="External" /><Relationship Id="rId281" Type="http://schemas.openxmlformats.org/officeDocument/2006/relationships/hyperlink" Target="https://advance.lexis.com/api/document?collection=cases-ca&amp;id=urn:contentItem:5GCC-XVC1-JSRM-60DX-00000-00&amp;context=" TargetMode="External" /><Relationship Id="rId282" Type="http://schemas.openxmlformats.org/officeDocument/2006/relationships/hyperlink" Target="https://advance.lexis.com/api/document?collection=cases-ca&amp;id=urn:contentItem:5KRM-JB41-F81W-210F-00000-00&amp;context=" TargetMode="External" /><Relationship Id="rId283" Type="http://schemas.openxmlformats.org/officeDocument/2006/relationships/hyperlink" Target="https://advance.lexis.com/api/document?collection=cases-ca&amp;id=urn:contentItem:5F8T-N3V1-JTGH-B1BS-00000-00&amp;context=" TargetMode="External" /><Relationship Id="rId284" Type="http://schemas.openxmlformats.org/officeDocument/2006/relationships/hyperlink" Target="https://advance.lexis.com/api/document?collection=cases-ca&amp;id=urn:contentItem:5F8T-N3V1-FC1F-M43G-00000-00&amp;context=" TargetMode="External" /><Relationship Id="rId285" Type="http://schemas.openxmlformats.org/officeDocument/2006/relationships/hyperlink" Target="https://advance.lexis.com/api/document?collection=cases-ca&amp;id=urn:contentItem:5F81-VJX1-JP9P-G4J6-00000-00&amp;context=" TargetMode="External" /><Relationship Id="rId286" Type="http://schemas.openxmlformats.org/officeDocument/2006/relationships/hyperlink" Target="https://advance.lexis.com/api/document?collection=cases-ca&amp;id=urn:contentItem:5F16-92X1-F7ND-G0FS-00000-00&amp;context=" TargetMode="External" /><Relationship Id="rId287" Type="http://schemas.openxmlformats.org/officeDocument/2006/relationships/hyperlink" Target="https://advance.lexis.com/api/document?collection=cases-ca&amp;id=urn:contentItem:5F16-9371-JT99-21RS-00000-00&amp;context=" TargetMode="External" /><Relationship Id="rId288" Type="http://schemas.openxmlformats.org/officeDocument/2006/relationships/hyperlink" Target="https://advance.lexis.com/api/document?collection=cases-ca&amp;id=urn:contentItem:5F16-9371-F27X-61MH-00000-00&amp;context=" TargetMode="External" /><Relationship Id="rId289" Type="http://schemas.openxmlformats.org/officeDocument/2006/relationships/hyperlink" Target="https://advance.lexis.com/api/document?collection=cases-ca&amp;id=urn:contentItem:5F81-VJX1-JX3N-B1J2-00000-00&amp;context=" TargetMode="External" /><Relationship Id="rId29" Type="http://schemas.openxmlformats.org/officeDocument/2006/relationships/header" Target="header8.xml" /><Relationship Id="rId290" Type="http://schemas.openxmlformats.org/officeDocument/2006/relationships/hyperlink" Target="https://advance.lexis.com/api/document?collection=cases-ca&amp;id=urn:contentItem:5F8T-N3V1-FC1F-M4FP-00000-00&amp;context=" TargetMode="External" /><Relationship Id="rId291" Type="http://schemas.openxmlformats.org/officeDocument/2006/relationships/hyperlink" Target="https://advance.lexis.com/api/document?collection=legislation-ca&amp;id=urn:contentItem:5F41-1FJ1-JK4W-M0C8-00000-00&amp;context=" TargetMode="External" /><Relationship Id="rId292" Type="http://schemas.openxmlformats.org/officeDocument/2006/relationships/header" Target="header49.xml" /><Relationship Id="rId293" Type="http://schemas.openxmlformats.org/officeDocument/2006/relationships/header" Target="header50.xml" /><Relationship Id="rId294" Type="http://schemas.openxmlformats.org/officeDocument/2006/relationships/footer" Target="footer49.xml" /><Relationship Id="rId295" Type="http://schemas.openxmlformats.org/officeDocument/2006/relationships/footer" Target="footer50.xml" /><Relationship Id="rId296" Type="http://schemas.openxmlformats.org/officeDocument/2006/relationships/header" Target="header51.xml" /><Relationship Id="rId297" Type="http://schemas.openxmlformats.org/officeDocument/2006/relationships/footer" Target="footer51.xml" /><Relationship Id="rId298" Type="http://schemas.openxmlformats.org/officeDocument/2006/relationships/hyperlink" Target="https://advance.lexis.com/api/document?collection=cases-ca&amp;id=urn:contentItem:5K6Y-81T1-F361-M3Y2-00000-00&amp;context=" TargetMode="External" /><Relationship Id="rId299" Type="http://schemas.openxmlformats.org/officeDocument/2006/relationships/hyperlink" Target="https://advance.lexis.com/api/document?collection=cases-ca&amp;id=urn:contentItem:5F7T-S7C1-F4NT-X3WJ-00000-00&amp;context=" TargetMode="External" /><Relationship Id="rId3" Type="http://schemas.openxmlformats.org/officeDocument/2006/relationships/fontTable" Target="fontTable.xml" /><Relationship Id="rId30" Type="http://schemas.openxmlformats.org/officeDocument/2006/relationships/footer" Target="footer7.xml" /><Relationship Id="rId300" Type="http://schemas.openxmlformats.org/officeDocument/2006/relationships/header" Target="header52.xml" /><Relationship Id="rId301" Type="http://schemas.openxmlformats.org/officeDocument/2006/relationships/header" Target="header53.xml" /><Relationship Id="rId302" Type="http://schemas.openxmlformats.org/officeDocument/2006/relationships/footer" Target="footer52.xml" /><Relationship Id="rId303" Type="http://schemas.openxmlformats.org/officeDocument/2006/relationships/footer" Target="footer53.xml" /><Relationship Id="rId304" Type="http://schemas.openxmlformats.org/officeDocument/2006/relationships/header" Target="header54.xml" /><Relationship Id="rId305" Type="http://schemas.openxmlformats.org/officeDocument/2006/relationships/footer" Target="footer54.xml" /><Relationship Id="rId306" Type="http://schemas.openxmlformats.org/officeDocument/2006/relationships/hyperlink" Target="https://advance.lexis.com/api/document?collection=cases-ca&amp;id=urn:contentItem:5F7T-S7K1-JKHB-62VM-00000-00&amp;context=" TargetMode="External" /><Relationship Id="rId307" Type="http://schemas.openxmlformats.org/officeDocument/2006/relationships/hyperlink" Target="https://advance.lexis.com/api/document?collection=cases-ca&amp;id=urn:contentItem:5F7T-S751-F361-M14J-00000-00&amp;context=" TargetMode="External" /><Relationship Id="rId308" Type="http://schemas.openxmlformats.org/officeDocument/2006/relationships/header" Target="header55.xml" /><Relationship Id="rId309" Type="http://schemas.openxmlformats.org/officeDocument/2006/relationships/header" Target="header56.xml" /><Relationship Id="rId31" Type="http://schemas.openxmlformats.org/officeDocument/2006/relationships/footer" Target="footer8.xml" /><Relationship Id="rId310" Type="http://schemas.openxmlformats.org/officeDocument/2006/relationships/footer" Target="footer55.xml" /><Relationship Id="rId311" Type="http://schemas.openxmlformats.org/officeDocument/2006/relationships/footer" Target="footer56.xml" /><Relationship Id="rId312" Type="http://schemas.openxmlformats.org/officeDocument/2006/relationships/header" Target="header57.xml" /><Relationship Id="rId313" Type="http://schemas.openxmlformats.org/officeDocument/2006/relationships/footer" Target="footer57.xml" /><Relationship Id="rId314" Type="http://schemas.openxmlformats.org/officeDocument/2006/relationships/hyperlink" Target="https://advance.lexis.com/api/document?collection=cases-ca&amp;id=urn:contentItem:5K6Y-81T1-JYYX-61MW-00000-00&amp;context=" TargetMode="External" /><Relationship Id="rId315" Type="http://schemas.openxmlformats.org/officeDocument/2006/relationships/hyperlink" Target="https://advance.lexis.com/api/document?collection=legislation-ca&amp;id=urn:contentItem:5F3B-B7W1-JTGH-B015-00000-00&amp;context=" TargetMode="External" /><Relationship Id="rId316" Type="http://schemas.openxmlformats.org/officeDocument/2006/relationships/hyperlink" Target="https://advance.lexis.com/api/document?collection=legislation-ca&amp;id=urn:contentItem:5F3B-BB81-DYMS-61TT-00000-00&amp;context=" TargetMode="External" /><Relationship Id="rId317" Type="http://schemas.openxmlformats.org/officeDocument/2006/relationships/header" Target="header58.xml" /><Relationship Id="rId318" Type="http://schemas.openxmlformats.org/officeDocument/2006/relationships/header" Target="header59.xml" /><Relationship Id="rId319" Type="http://schemas.openxmlformats.org/officeDocument/2006/relationships/footer" Target="footer58.xml" /><Relationship Id="rId32" Type="http://schemas.openxmlformats.org/officeDocument/2006/relationships/header" Target="header9.xml" /><Relationship Id="rId320" Type="http://schemas.openxmlformats.org/officeDocument/2006/relationships/footer" Target="footer59.xml" /><Relationship Id="rId321" Type="http://schemas.openxmlformats.org/officeDocument/2006/relationships/header" Target="header60.xml" /><Relationship Id="rId322" Type="http://schemas.openxmlformats.org/officeDocument/2006/relationships/footer" Target="footer60.xml" /><Relationship Id="rId323" Type="http://schemas.openxmlformats.org/officeDocument/2006/relationships/hyperlink" Target="https://advance.lexis.com/api/document?collection=cases-ca&amp;id=urn:contentItem:5XVW-T2R1-JC5P-G2XP-00000-00&amp;context=" TargetMode="External" /><Relationship Id="rId324" Type="http://schemas.openxmlformats.org/officeDocument/2006/relationships/hyperlink" Target="https://advance.lexis.com/api/document?collection=cases-ca&amp;id=urn:contentItem:5HR4-FPP1-JG02-S29Y-00000-00&amp;context=" TargetMode="External" /><Relationship Id="rId325" Type="http://schemas.openxmlformats.org/officeDocument/2006/relationships/hyperlink" Target="https://advance.lexis.com/api/document?collection=cases-ca&amp;id=urn:contentItem:5K3Y-46B1-JXG3-X0TM-00000-00&amp;context=" TargetMode="External" /><Relationship Id="rId326" Type="http://schemas.openxmlformats.org/officeDocument/2006/relationships/hyperlink" Target="https://advance.lexis.com/api/document?collection=cases-ca&amp;id=urn:contentItem:5VK4-J891-FGJR-2411-00000-00&amp;context=" TargetMode="External" /><Relationship Id="rId327" Type="http://schemas.openxmlformats.org/officeDocument/2006/relationships/hyperlink" Target="https://advance.lexis.com/api/document?collection=cases-ca&amp;id=urn:contentItem:5RTY-1871-JCBX-S0TG-00000-00&amp;context=" TargetMode="External" /><Relationship Id="rId328" Type="http://schemas.openxmlformats.org/officeDocument/2006/relationships/hyperlink" Target="https://advance.lexis.com/api/document?collection=cases-ca&amp;id=urn:contentItem:5JDH-TJC1-F30T-B0DY-00000-00&amp;context=" TargetMode="External" /><Relationship Id="rId329" Type="http://schemas.openxmlformats.org/officeDocument/2006/relationships/hyperlink" Target="https://advance.lexis.com/api/document?collection=cases-ca&amp;id=urn:contentItem:5F8T-N3S1-JT99-250W-00000-00&amp;context=" TargetMode="External" /><Relationship Id="rId33" Type="http://schemas.openxmlformats.org/officeDocument/2006/relationships/footer" Target="footer9.xml" /><Relationship Id="rId330" Type="http://schemas.openxmlformats.org/officeDocument/2006/relationships/hyperlink" Target="https://advance.lexis.com/api/document?collection=cases-ca&amp;id=urn:contentItem:5F7T-S771-JSJC-X038-00000-00&amp;context=" TargetMode="External" /><Relationship Id="rId331" Type="http://schemas.openxmlformats.org/officeDocument/2006/relationships/hyperlink" Target="https://advance.lexis.com/api/document?collection=cases-ca&amp;id=urn:contentItem:5F7T-S7K1-DY33-B1R6-00000-00&amp;context=" TargetMode="External" /><Relationship Id="rId332" Type="http://schemas.openxmlformats.org/officeDocument/2006/relationships/hyperlink" Target="https://advance.lexis.com/api/document?collection=cases-ca&amp;id=urn:contentItem:5F7T-S7M1-DYMS-62B6-00000-00&amp;context=" TargetMode="External" /><Relationship Id="rId333" Type="http://schemas.openxmlformats.org/officeDocument/2006/relationships/hyperlink" Target="https://advance.lexis.com/api/document?collection=cases-ca&amp;id=urn:contentItem:5VX9-3C91-JNCK-23Y1-00000-00&amp;context=" TargetMode="External" /><Relationship Id="rId334" Type="http://schemas.openxmlformats.org/officeDocument/2006/relationships/hyperlink" Target="https://advance.lexis.com/api/document?collection=cases-ca&amp;id=urn:contentItem:5K56-XS31-FC6N-X37J-00000-00&amp;context=" TargetMode="External" /><Relationship Id="rId335" Type="http://schemas.openxmlformats.org/officeDocument/2006/relationships/hyperlink" Target="https://advance.lexis.com/api/document?collection=cases-ca&amp;id=urn:contentItem:5TNS-7WN1-JCRC-B11J-00000-00&amp;context=" TargetMode="External" /><Relationship Id="rId336" Type="http://schemas.openxmlformats.org/officeDocument/2006/relationships/hyperlink" Target="https://advance.lexis.com/api/document?collection=cases-ca&amp;id=urn:contentItem:5F7T-S711-JG02-S1H2-00000-00&amp;context=" TargetMode="External" /><Relationship Id="rId337" Type="http://schemas.openxmlformats.org/officeDocument/2006/relationships/hyperlink" Target="https://advance.lexis.com/api/document?collection=cases-ca&amp;id=urn:contentItem:5F7T-S7K1-F528-G2KG-00000-00&amp;context=" TargetMode="External" /><Relationship Id="rId338" Type="http://schemas.openxmlformats.org/officeDocument/2006/relationships/hyperlink" Target="https://advance.lexis.com/api/document?collection=cases-ca&amp;id=urn:contentItem:5S4W-RF21-JC0G-63PH-00000-00&amp;context=" TargetMode="External" /><Relationship Id="rId339" Type="http://schemas.openxmlformats.org/officeDocument/2006/relationships/hyperlink" Target="https://advance.lexis.com/api/document?collection=cases-ca&amp;id=urn:contentItem:5GCC-XVB1-JSXV-G01M-00000-00&amp;context=" TargetMode="External" /><Relationship Id="rId34" Type="http://schemas.openxmlformats.org/officeDocument/2006/relationships/hyperlink" Target="https://advance.lexis.com/api/document?collection=cases-ca&amp;id=urn:contentItem:5V38-H3K1-JSC5-M1K5-00000-00&amp;context=" TargetMode="External" /><Relationship Id="rId340" Type="http://schemas.openxmlformats.org/officeDocument/2006/relationships/hyperlink" Target="https://advance.lexis.com/api/document?collection=cases-ca&amp;id=urn:contentItem:5F7T-S7J1-DXWW-251K-00000-00&amp;context=" TargetMode="External" /><Relationship Id="rId341" Type="http://schemas.openxmlformats.org/officeDocument/2006/relationships/hyperlink" Target="https://advance.lexis.com/api/document?collection=cases-ca&amp;id=urn:contentItem:5MJ7-NBJ1-F1WF-M26W-00000-00&amp;context=" TargetMode="External" /><Relationship Id="rId342" Type="http://schemas.openxmlformats.org/officeDocument/2006/relationships/hyperlink" Target="https://advance.lexis.com/api/document?collection=cases-ca&amp;id=urn:contentItem:5RTY-1871-JCBX-S0TB-00000-00&amp;context=" TargetMode="External" /><Relationship Id="rId343" Type="http://schemas.openxmlformats.org/officeDocument/2006/relationships/hyperlink" Target="https://advance.lexis.com/api/document?collection=cases-ca&amp;id=urn:contentItem:5F7T-S7K1-DXWW-2018-00000-00&amp;context=" TargetMode="External" /><Relationship Id="rId344" Type="http://schemas.openxmlformats.org/officeDocument/2006/relationships/hyperlink" Target="https://advance.lexis.com/api/document?collection=cases-ca&amp;id=urn:contentItem:5F7T-S731-DY33-B0TG-00000-00&amp;context=" TargetMode="External" /><Relationship Id="rId345" Type="http://schemas.openxmlformats.org/officeDocument/2006/relationships/hyperlink" Target="https://advance.lexis.com/api/document?collection=cases-ca&amp;id=urn:contentItem:5F7T-S7J1-DXWW-24R0-00000-00&amp;context=" TargetMode="External" /><Relationship Id="rId346" Type="http://schemas.openxmlformats.org/officeDocument/2006/relationships/hyperlink" Target="https://advance.lexis.com/api/document?collection=cases-ca&amp;id=urn:contentItem:5F7T-S6Y1-F65M-604Y-00000-00&amp;context=" TargetMode="External" /><Relationship Id="rId347" Type="http://schemas.openxmlformats.org/officeDocument/2006/relationships/hyperlink" Target="https://advance.lexis.com/api/document?collection=cases-ca&amp;id=urn:contentItem:5F7T-S781-JSC5-M4GD-00000-00&amp;context=" TargetMode="External" /><Relationship Id="rId348" Type="http://schemas.openxmlformats.org/officeDocument/2006/relationships/hyperlink" Target="https://advance.lexis.com/api/document?collection=cases-ca&amp;id=urn:contentItem:5F7T-S741-FJM6-618T-00000-00&amp;context=" TargetMode="External" /><Relationship Id="rId349" Type="http://schemas.openxmlformats.org/officeDocument/2006/relationships/header" Target="header61.xml" /><Relationship Id="rId35" Type="http://schemas.openxmlformats.org/officeDocument/2006/relationships/hyperlink" Target="https://advance.lexis.com/api/document?collection=cases-ca&amp;id=urn:contentItem:5F7T-S6Y1-FJDY-X23K-00000-00&amp;context=" TargetMode="External" /><Relationship Id="rId350" Type="http://schemas.openxmlformats.org/officeDocument/2006/relationships/header" Target="header62.xml" /><Relationship Id="rId351" Type="http://schemas.openxmlformats.org/officeDocument/2006/relationships/footer" Target="footer61.xml" /><Relationship Id="rId352" Type="http://schemas.openxmlformats.org/officeDocument/2006/relationships/footer" Target="footer62.xml" /><Relationship Id="rId353" Type="http://schemas.openxmlformats.org/officeDocument/2006/relationships/header" Target="header63.xml" /><Relationship Id="rId354" Type="http://schemas.openxmlformats.org/officeDocument/2006/relationships/footer" Target="footer63.xml" /><Relationship Id="rId355" Type="http://schemas.openxmlformats.org/officeDocument/2006/relationships/hyperlink" Target="https://advance.lexis.com/api/document?collection=cases-ca&amp;id=urn:contentItem:5F7T-S7M1-DYMS-629Y-00000-00&amp;context=" TargetMode="External" /><Relationship Id="rId356" Type="http://schemas.openxmlformats.org/officeDocument/2006/relationships/hyperlink" Target="https://advance.lexis.com/api/document?collection=cases-ca&amp;id=urn:contentItem:5F7T-S7K1-DY33-B1RY-00000-00&amp;context=" TargetMode="External" /><Relationship Id="rId357" Type="http://schemas.openxmlformats.org/officeDocument/2006/relationships/hyperlink" Target="https://advance.lexis.com/api/document?collection=cases-ca&amp;id=urn:contentItem:5F7T-S6Y1-DY33-B06C-00000-00&amp;context=" TargetMode="External" /><Relationship Id="rId358" Type="http://schemas.openxmlformats.org/officeDocument/2006/relationships/hyperlink" Target="https://advance.lexis.com/api/document?collection=cases-ca&amp;id=urn:contentItem:5F7T-S6T1-FD4T-B028-00000-00&amp;context=" TargetMode="External" /><Relationship Id="rId359" Type="http://schemas.openxmlformats.org/officeDocument/2006/relationships/hyperlink" Target="https://advance.lexis.com/api/document?collection=cases-ca&amp;id=urn:contentItem:5K6Y-81K1-JKHB-63FD-00000-00&amp;context=" TargetMode="External" /><Relationship Id="rId36" Type="http://schemas.openxmlformats.org/officeDocument/2006/relationships/hyperlink" Target="https://advance.lexis.com/api/document?collection=cases-ca&amp;id=urn:contentItem:5F7T-S7N1-JGHR-M38N-00000-00&amp;context=" TargetMode="External" /><Relationship Id="rId360" Type="http://schemas.openxmlformats.org/officeDocument/2006/relationships/hyperlink" Target="https://advance.lexis.com/api/document?collection=cases-ca&amp;id=urn:contentItem:5F7T-S6T1-JJ1H-X2B3-00000-00&amp;context=" TargetMode="External" /><Relationship Id="rId361" Type="http://schemas.openxmlformats.org/officeDocument/2006/relationships/hyperlink" Target="https://advance.lexis.com/api/document?collection=cases-ca&amp;id=urn:contentItem:5F7T-S6T1-DY89-M2R9-00000-00&amp;context=" TargetMode="External" /><Relationship Id="rId362" Type="http://schemas.openxmlformats.org/officeDocument/2006/relationships/hyperlink" Target="https://advance.lexis.com/api/document?collection=cases-ca&amp;id=urn:contentItem:5F7T-S6Y1-JNY7-X2BH-00000-00&amp;context=" TargetMode="External" /><Relationship Id="rId363" Type="http://schemas.openxmlformats.org/officeDocument/2006/relationships/hyperlink" Target="https://advance.lexis.com/api/document?collection=cases-ca&amp;id=urn:contentItem:5F7T-S721-F5T5-M236-00000-00&amp;context=" TargetMode="External" /><Relationship Id="rId364" Type="http://schemas.openxmlformats.org/officeDocument/2006/relationships/hyperlink" Target="https://advance.lexis.com/api/document?collection=cases-ca&amp;id=urn:contentItem:5F8T-N3V1-JF75-M39V-00000-00&amp;context=" TargetMode="External" /><Relationship Id="rId365" Type="http://schemas.openxmlformats.org/officeDocument/2006/relationships/hyperlink" Target="https://advance.lexis.com/api/document?collection=cases-ca&amp;id=urn:contentItem:5F7T-S751-JX3N-B0V9-00000-00&amp;context=" TargetMode="External" /><Relationship Id="rId366" Type="http://schemas.openxmlformats.org/officeDocument/2006/relationships/hyperlink" Target="https://advance.lexis.com/api/document?collection=cases-ca&amp;id=urn:contentItem:5F7T-S761-FFMK-M151-00000-00&amp;context=" TargetMode="External" /><Relationship Id="rId367" Type="http://schemas.openxmlformats.org/officeDocument/2006/relationships/hyperlink" Target="https://advance.lexis.com/api/document?collection=cases-ca&amp;id=urn:contentItem:5F7T-S7F1-JX3N-B1M1-00000-00&amp;context=" TargetMode="External" /><Relationship Id="rId368" Type="http://schemas.openxmlformats.org/officeDocument/2006/relationships/hyperlink" Target="https://advance.lexis.com/api/document?collection=cases-ca&amp;id=urn:contentItem:5F7T-S7G1-JPP5-21VM-00000-00&amp;context=" TargetMode="External" /><Relationship Id="rId369" Type="http://schemas.openxmlformats.org/officeDocument/2006/relationships/hyperlink" Target="https://advance.lexis.com/api/document?collection=cases-ca&amp;id=urn:contentItem:5F7T-S771-JJD0-G1MG-00000-00&amp;context=" TargetMode="External" /><Relationship Id="rId37" Type="http://schemas.openxmlformats.org/officeDocument/2006/relationships/hyperlink" Target="https://advance.lexis.com/api/document?collection=cases-ca&amp;id=urn:contentItem:5F7T-S7C1-F4NT-X3JG-00000-00&amp;context=" TargetMode="External" /><Relationship Id="rId370" Type="http://schemas.openxmlformats.org/officeDocument/2006/relationships/hyperlink" Target="https://advance.lexis.com/api/document?collection=cases-ca&amp;id=urn:contentItem:5F7T-S7D1-DY89-M489-00000-00&amp;context=" TargetMode="External" /><Relationship Id="rId371" Type="http://schemas.openxmlformats.org/officeDocument/2006/relationships/hyperlink" Target="https://advance.lexis.com/api/document?collection=cases-ca&amp;id=urn:contentItem:5F7T-S7C1-F7VM-S39J-00000-00&amp;context=" TargetMode="External" /><Relationship Id="rId372" Type="http://schemas.openxmlformats.org/officeDocument/2006/relationships/hyperlink" Target="https://advance.lexis.com/api/document?collection=cases-ca&amp;id=urn:contentItem:5F8T-N3V1-JTGH-B10F-00000-00&amp;context=" TargetMode="External" /><Relationship Id="rId373" Type="http://schemas.openxmlformats.org/officeDocument/2006/relationships/hyperlink" Target="https://advance.lexis.com/api/document?collection=cases-ca&amp;id=urn:contentItem:5F7T-S7C1-F7ND-G059-00000-00&amp;context=" TargetMode="External" /><Relationship Id="rId374" Type="http://schemas.openxmlformats.org/officeDocument/2006/relationships/hyperlink" Target="https://advance.lexis.com/api/document?collection=cases-ca&amp;id=urn:contentItem:5F7T-S761-F7ND-G4PM-00000-00&amp;context=" TargetMode="External" /><Relationship Id="rId375" Type="http://schemas.openxmlformats.org/officeDocument/2006/relationships/hyperlink" Target="https://advance.lexis.com/api/document?collection=cases-ca&amp;id=urn:contentItem:5F7T-S761-FFMK-M0XP-00000-00&amp;context=" TargetMode="External" /><Relationship Id="rId376" Type="http://schemas.openxmlformats.org/officeDocument/2006/relationships/hyperlink" Target="https://advance.lexis.com/api/document?collection=cases-ca&amp;id=urn:contentItem:5F7T-S771-JWBS-61KT-00000-00&amp;context=" TargetMode="External" /><Relationship Id="rId377" Type="http://schemas.openxmlformats.org/officeDocument/2006/relationships/hyperlink" Target="https://advance.lexis.com/api/document?collection=cases-ca&amp;id=urn:contentItem:5F7T-S761-FFMK-M0TW-00000-00&amp;context=" TargetMode="External" /><Relationship Id="rId378" Type="http://schemas.openxmlformats.org/officeDocument/2006/relationships/hyperlink" Target="https://advance.lexis.com/api/document?collection=cases-ca&amp;id=urn:contentItem:5F7T-S741-F57G-S21M-00000-00&amp;context=" TargetMode="External" /><Relationship Id="rId379" Type="http://schemas.openxmlformats.org/officeDocument/2006/relationships/hyperlink" Target="https://advance.lexis.com/api/document?collection=cases-ca&amp;id=urn:contentItem:5F7T-S741-F2F4-G2KN-00000-00&amp;context=" TargetMode="External" /><Relationship Id="rId38" Type="http://schemas.openxmlformats.org/officeDocument/2006/relationships/hyperlink" Target="https://advance.lexis.com/api/document?collection=cases-ca&amp;id=urn:contentItem:5F8T-N3V1-JTGH-B16R-00000-00&amp;context=" TargetMode="External" /><Relationship Id="rId380" Type="http://schemas.openxmlformats.org/officeDocument/2006/relationships/hyperlink" Target="https://advance.lexis.com/api/document?collection=cases-ca&amp;id=urn:contentItem:5F7T-S781-F06F-23YH-00000-00&amp;context=" TargetMode="External" /><Relationship Id="rId381" Type="http://schemas.openxmlformats.org/officeDocument/2006/relationships/hyperlink" Target="https://advance.lexis.com/api/document?collection=cases-ca&amp;id=urn:contentItem:5F7T-S7H1-JS5Y-B37N-00000-00&amp;context=" TargetMode="External" /><Relationship Id="rId382" Type="http://schemas.openxmlformats.org/officeDocument/2006/relationships/hyperlink" Target="https://advance.lexis.com/api/document?collection=cases-ca&amp;id=urn:contentItem:5F7T-S7F1-JBT7-X30X-00000-00&amp;context=" TargetMode="External" /><Relationship Id="rId383" Type="http://schemas.openxmlformats.org/officeDocument/2006/relationships/hyperlink" Target="https://advance.lexis.com/api/document?collection=cases-ca&amp;id=urn:contentItem:5F7T-S7J1-DXWW-254D-00000-00&amp;context=" TargetMode="External" /><Relationship Id="rId384" Type="http://schemas.openxmlformats.org/officeDocument/2006/relationships/hyperlink" Target="https://advance.lexis.com/api/document?collection=cases-ca&amp;id=urn:contentItem:5F7T-S7J1-JNS1-M223-00000-00&amp;context=" TargetMode="External" /><Relationship Id="rId385" Type="http://schemas.openxmlformats.org/officeDocument/2006/relationships/hyperlink" Target="https://advance.lexis.com/api/document?collection=cases-ca&amp;id=urn:contentItem:5F7T-S7H1-FCSB-S3RP-00000-00&amp;context=" TargetMode="External" /><Relationship Id="rId386" Type="http://schemas.openxmlformats.org/officeDocument/2006/relationships/hyperlink" Target="https://advance.lexis.com/api/document?collection=cases-ca&amp;id=urn:contentItem:5F7T-S6X1-F06F-22SH-00000-00&amp;context=" TargetMode="External" /><Relationship Id="rId387" Type="http://schemas.openxmlformats.org/officeDocument/2006/relationships/hyperlink" Target="https://advance.lexis.com/api/document?collection=cases-ca&amp;id=urn:contentItem:5F82-1SB1-FBFS-S42M-00000-00&amp;context=" TargetMode="External" /><Relationship Id="rId388" Type="http://schemas.openxmlformats.org/officeDocument/2006/relationships/hyperlink" Target="https://advance.lexis.com/api/document?collection=cases-ca&amp;id=urn:contentItem:5F7T-S7H1-JS5Y-B35X-00000-00&amp;context=" TargetMode="External" /><Relationship Id="rId389" Type="http://schemas.openxmlformats.org/officeDocument/2006/relationships/hyperlink" Target="https://advance.lexis.com/api/document?collection=cases-ca&amp;id=urn:contentItem:5F7T-S7H1-JCRC-B0XG-00000-00&amp;context=" TargetMode="External" /><Relationship Id="rId39" Type="http://schemas.openxmlformats.org/officeDocument/2006/relationships/hyperlink" Target="https://advance.lexis.com/api/document?collection=cases-ca&amp;id=urn:contentItem:5V9V-RDJ1-F5T5-M1Y7-00000-00&amp;context=" TargetMode="External" /><Relationship Id="rId390" Type="http://schemas.openxmlformats.org/officeDocument/2006/relationships/hyperlink" Target="https://advance.lexis.com/api/document?collection=cases-ca&amp;id=urn:contentItem:5F7T-S7J1-JGBH-B282-00000-00&amp;context=" TargetMode="External" /><Relationship Id="rId391" Type="http://schemas.openxmlformats.org/officeDocument/2006/relationships/header" Target="header64.xml" /><Relationship Id="rId392" Type="http://schemas.openxmlformats.org/officeDocument/2006/relationships/header" Target="header65.xml" /><Relationship Id="rId393" Type="http://schemas.openxmlformats.org/officeDocument/2006/relationships/footer" Target="footer64.xml" /><Relationship Id="rId394" Type="http://schemas.openxmlformats.org/officeDocument/2006/relationships/footer" Target="footer65.xml" /><Relationship Id="rId395" Type="http://schemas.openxmlformats.org/officeDocument/2006/relationships/header" Target="header66.xml" /><Relationship Id="rId396" Type="http://schemas.openxmlformats.org/officeDocument/2006/relationships/footer" Target="footer66.xml" /><Relationship Id="rId397" Type="http://schemas.openxmlformats.org/officeDocument/2006/relationships/hyperlink" Target="https://advance.lexis.com/api/document?collection=cases-ca&amp;id=urn:contentItem:5X40-GCJ1-JNCK-22W8-00000-00&amp;context=" TargetMode="External" /><Relationship Id="rId398" Type="http://schemas.openxmlformats.org/officeDocument/2006/relationships/hyperlink" Target="https://advance.lexis.com/api/document?collection=cases-ca&amp;id=urn:contentItem:5F7T-S7P1-JSJC-X1J5-00000-00&amp;context=" TargetMode="External" /><Relationship Id="rId399" Type="http://schemas.openxmlformats.org/officeDocument/2006/relationships/hyperlink" Target="https://advance.lexis.com/api/document?collection=legislation-ca&amp;id=urn:contentItem:5F41-1FG1-FC1F-M0TW-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16-93D1-F81W-216D-00000-00&amp;context=" TargetMode="External" /><Relationship Id="rId400" Type="http://schemas.openxmlformats.org/officeDocument/2006/relationships/hyperlink" Target="https://advance.lexis.com/api/document?collection=cases-ca&amp;id=urn:contentItem:5F7T-S7K1-JKHB-62SX-00000-00&amp;context=" TargetMode="External" /><Relationship Id="rId401" Type="http://schemas.openxmlformats.org/officeDocument/2006/relationships/header" Target="header67.xml" /><Relationship Id="rId402" Type="http://schemas.openxmlformats.org/officeDocument/2006/relationships/header" Target="header68.xml" /><Relationship Id="rId403" Type="http://schemas.openxmlformats.org/officeDocument/2006/relationships/footer" Target="footer67.xml" /><Relationship Id="rId404" Type="http://schemas.openxmlformats.org/officeDocument/2006/relationships/footer" Target="footer68.xml" /><Relationship Id="rId405" Type="http://schemas.openxmlformats.org/officeDocument/2006/relationships/header" Target="header69.xml" /><Relationship Id="rId406" Type="http://schemas.openxmlformats.org/officeDocument/2006/relationships/footer" Target="footer69.xml" /><Relationship Id="rId407" Type="http://schemas.openxmlformats.org/officeDocument/2006/relationships/hyperlink" Target="https://advance.lexis.com/api/document?collection=cases-ca&amp;id=urn:contentItem:5F7T-S7J1-DXWW-24RG-00000-00&amp;context=" TargetMode="External" /><Relationship Id="rId408" Type="http://schemas.openxmlformats.org/officeDocument/2006/relationships/hyperlink" Target="https://advance.lexis.com/api/document?collection=cases-ca&amp;id=urn:contentItem:5F7T-S7J1-JYYX-622D-00000-00&amp;context=" TargetMode="External" /><Relationship Id="rId409" Type="http://schemas.openxmlformats.org/officeDocument/2006/relationships/hyperlink" Target="https://advance.lexis.com/api/document?collection=cases-ca&amp;id=urn:contentItem:5F7T-S7J1-JGBH-B23N-00000-00&amp;context=" TargetMode="External" /><Relationship Id="rId41" Type="http://schemas.openxmlformats.org/officeDocument/2006/relationships/hyperlink" Target="https://advance.lexis.com/api/document?collection=cases-ca&amp;id=urn:contentItem:5F81-VJX1-JKPJ-G1JK-00000-00&amp;context=" TargetMode="External" /><Relationship Id="rId410" Type="http://schemas.openxmlformats.org/officeDocument/2006/relationships/hyperlink" Target="https://advance.lexis.com/api/document?collection=cases-ca&amp;id=urn:contentItem:5F7T-S781-F27X-616M-00000-00&amp;context=" TargetMode="External" /><Relationship Id="rId411" Type="http://schemas.openxmlformats.org/officeDocument/2006/relationships/hyperlink" Target="https://advance.lexis.com/api/document?collection=cases-ca&amp;id=urn:contentItem:5F7T-S791-FJTD-G2V2-00000-00&amp;context=" TargetMode="External" /><Relationship Id="rId412" Type="http://schemas.openxmlformats.org/officeDocument/2006/relationships/hyperlink" Target="https://advance.lexis.com/api/document?collection=cases-ca&amp;id=urn:contentItem:5F7T-S771-F81W-22F8-00000-00&amp;context=" TargetMode="External" /><Relationship Id="rId413" Type="http://schemas.openxmlformats.org/officeDocument/2006/relationships/hyperlink" Target="https://advance.lexis.com/api/document?collection=cases-ca&amp;id=urn:contentItem:5F7T-S7C1-FCSB-S28Y-00000-00&amp;context=" TargetMode="External" /><Relationship Id="rId414" Type="http://schemas.openxmlformats.org/officeDocument/2006/relationships/hyperlink" Target="https://advance.lexis.com/api/document?collection=cases-ca&amp;id=urn:contentItem:5F7T-S6R1-F4GK-M0HY-00000-00&amp;context=" TargetMode="External" /><Relationship Id="rId415" Type="http://schemas.openxmlformats.org/officeDocument/2006/relationships/hyperlink" Target="https://advance.lexis.com/api/document?collection=cases-ca&amp;id=urn:contentItem:5F7T-S781-F7G6-63BX-00000-00&amp;context=" TargetMode="External" /><Relationship Id="rId416" Type="http://schemas.openxmlformats.org/officeDocument/2006/relationships/hyperlink" Target="https://advance.lexis.com/api/document?collection=cases-ca&amp;id=urn:contentItem:5F7T-S731-F016-S34F-00000-00&amp;context=" TargetMode="External" /><Relationship Id="rId417" Type="http://schemas.openxmlformats.org/officeDocument/2006/relationships/header" Target="header70.xml" /><Relationship Id="rId418" Type="http://schemas.openxmlformats.org/officeDocument/2006/relationships/header" Target="header71.xml" /><Relationship Id="rId419" Type="http://schemas.openxmlformats.org/officeDocument/2006/relationships/footer" Target="footer70.xml" /><Relationship Id="rId42" Type="http://schemas.openxmlformats.org/officeDocument/2006/relationships/hyperlink" Target="https://advance.lexis.com/api/document?collection=cases-ca&amp;id=urn:contentItem:5F82-1SF1-JXG3-X293-00000-00&amp;context=" TargetMode="External" /><Relationship Id="rId420" Type="http://schemas.openxmlformats.org/officeDocument/2006/relationships/footer" Target="footer71.xml" /><Relationship Id="rId421" Type="http://schemas.openxmlformats.org/officeDocument/2006/relationships/header" Target="header72.xml" /><Relationship Id="rId422" Type="http://schemas.openxmlformats.org/officeDocument/2006/relationships/footer" Target="footer72.xml" /><Relationship Id="rId423" Type="http://schemas.openxmlformats.org/officeDocument/2006/relationships/hyperlink" Target="https://advance.lexis.com/api/document?collection=cases-ca&amp;id=urn:contentItem:5F7T-S771-JSJC-X039-00000-00&amp;context=" TargetMode="External" /><Relationship Id="rId424" Type="http://schemas.openxmlformats.org/officeDocument/2006/relationships/hyperlink" Target="https://advance.lexis.com/api/document?collection=cases-ca&amp;id=urn:contentItem:5F81-VJX1-F5KY-B42M-00000-00&amp;context=" TargetMode="External" /><Relationship Id="rId425" Type="http://schemas.openxmlformats.org/officeDocument/2006/relationships/hyperlink" Target="https://advance.lexis.com/api/document?collection=cases-ca&amp;id=urn:contentItem:5F7T-S741-DXPM-S12W-00000-00&amp;context=" TargetMode="External" /><Relationship Id="rId426" Type="http://schemas.openxmlformats.org/officeDocument/2006/relationships/hyperlink" Target="https://advance.lexis.com/api/document?collection=cases-ca&amp;id=urn:contentItem:5F8T-N3T1-JFKM-653C-00000-00&amp;context=" TargetMode="External" /><Relationship Id="rId427" Type="http://schemas.openxmlformats.org/officeDocument/2006/relationships/hyperlink" Target="https://advance.lexis.com/api/document?collection=cases-ca&amp;id=urn:contentItem:5F7T-S7H1-K054-G2CC-00000-00&amp;context=" TargetMode="External" /><Relationship Id="rId428" Type="http://schemas.openxmlformats.org/officeDocument/2006/relationships/hyperlink" Target="https://advance.lexis.com/api/document?collection=cases-ca&amp;id=urn:contentItem:5F7T-S7G1-JBT7-X3GS-00000-00&amp;context=" TargetMode="External" /><Relationship Id="rId429" Type="http://schemas.openxmlformats.org/officeDocument/2006/relationships/hyperlink" Target="https://advance.lexis.com/api/document?collection=cases-ca&amp;id=urn:contentItem:5F7T-S6W1-F5T5-M1YG-00000-00&amp;context=" TargetMode="External" /><Relationship Id="rId43" Type="http://schemas.openxmlformats.org/officeDocument/2006/relationships/hyperlink" Target="https://advance.lexis.com/api/document?collection=cases-ca&amp;id=urn:contentItem:5F7T-S741-F528-G26C-00000-00&amp;context=" TargetMode="External" /><Relationship Id="rId430" Type="http://schemas.openxmlformats.org/officeDocument/2006/relationships/hyperlink" Target="https://advance.lexis.com/api/document?collection=cases-ca&amp;id=urn:contentItem:5F8T-N3R1-FJDY-X2TD-00000-00&amp;context=" TargetMode="External" /><Relationship Id="rId431" Type="http://schemas.openxmlformats.org/officeDocument/2006/relationships/hyperlink" Target="https://advance.lexis.com/api/document?collection=cases-ca&amp;id=urn:contentItem:5F7T-S6T1-DY89-M2PR-00000-00&amp;context=" TargetMode="External" /><Relationship Id="rId432" Type="http://schemas.openxmlformats.org/officeDocument/2006/relationships/hyperlink" Target="https://advance.lexis.com/api/document?collection=cases-ca&amp;id=urn:contentItem:5F8T-N3T1-JJSF-237S-00000-00&amp;context=" TargetMode="External" /><Relationship Id="rId433" Type="http://schemas.openxmlformats.org/officeDocument/2006/relationships/hyperlink" Target="https://advance.lexis.com/api/document?collection=cases-ca&amp;id=urn:contentItem:5F7H-KW81-JW5H-X0S5-00000-00&amp;context=" TargetMode="External" /><Relationship Id="rId434" Type="http://schemas.openxmlformats.org/officeDocument/2006/relationships/hyperlink" Target="https://advance.lexis.com/api/document?collection=cases-ca&amp;id=urn:contentItem:5F7H-KW51-JGHR-M0X6-00000-00&amp;context=" TargetMode="External" /><Relationship Id="rId435" Type="http://schemas.openxmlformats.org/officeDocument/2006/relationships/hyperlink" Target="https://advance.lexis.com/api/document?collection=cases-ca&amp;id=urn:contentItem:5F8T-N3S1-JBDT-B04B-00000-00&amp;context=" TargetMode="External" /><Relationship Id="rId436" Type="http://schemas.openxmlformats.org/officeDocument/2006/relationships/header" Target="header73.xml" /><Relationship Id="rId437" Type="http://schemas.openxmlformats.org/officeDocument/2006/relationships/header" Target="header74.xml" /><Relationship Id="rId438" Type="http://schemas.openxmlformats.org/officeDocument/2006/relationships/footer" Target="footer73.xml" /><Relationship Id="rId439" Type="http://schemas.openxmlformats.org/officeDocument/2006/relationships/footer" Target="footer74.xml" /><Relationship Id="rId44" Type="http://schemas.openxmlformats.org/officeDocument/2006/relationships/hyperlink" Target="https://advance.lexis.com/api/document?collection=cases-ca&amp;id=urn:contentItem:5KHN-KX81-JWR6-S42G-00000-00&amp;context=" TargetMode="External" /><Relationship Id="rId440" Type="http://schemas.openxmlformats.org/officeDocument/2006/relationships/header" Target="header75.xml" /><Relationship Id="rId441" Type="http://schemas.openxmlformats.org/officeDocument/2006/relationships/footer" Target="footer75.xml" /><Relationship Id="rId442" Type="http://schemas.openxmlformats.org/officeDocument/2006/relationships/hyperlink" Target="https://advance.lexis.com/api/document?collection=cases-ca&amp;id=urn:contentItem:5K6Y-81T1-F361-M3BK-00000-00&amp;context=" TargetMode="External" /><Relationship Id="rId443" Type="http://schemas.openxmlformats.org/officeDocument/2006/relationships/hyperlink" Target="https://advance.lexis.com/api/document?collection=legislation-ca&amp;id=urn:contentItem:5F41-1FG1-FC1F-M12G-00000-00&amp;context=" TargetMode="External" /><Relationship Id="rId444" Type="http://schemas.openxmlformats.org/officeDocument/2006/relationships/header" Target="header76.xml" /><Relationship Id="rId445" Type="http://schemas.openxmlformats.org/officeDocument/2006/relationships/header" Target="header77.xml" /><Relationship Id="rId446" Type="http://schemas.openxmlformats.org/officeDocument/2006/relationships/footer" Target="footer76.xml" /><Relationship Id="rId447" Type="http://schemas.openxmlformats.org/officeDocument/2006/relationships/footer" Target="footer77.xml" /><Relationship Id="rId448" Type="http://schemas.openxmlformats.org/officeDocument/2006/relationships/header" Target="header78.xml" /><Relationship Id="rId449" Type="http://schemas.openxmlformats.org/officeDocument/2006/relationships/footer" Target="footer78.xml" /><Relationship Id="rId45" Type="http://schemas.openxmlformats.org/officeDocument/2006/relationships/header" Target="header10.xml" /><Relationship Id="rId450" Type="http://schemas.openxmlformats.org/officeDocument/2006/relationships/hyperlink" Target="https://advance.lexis.com/api/document?collection=cases-ca&amp;id=urn:contentItem:5K6Y-81T1-F361-M3MX-00000-00&amp;context=" TargetMode="External" /><Relationship Id="rId451" Type="http://schemas.openxmlformats.org/officeDocument/2006/relationships/hyperlink" Target="https://advance.lexis.com/api/document?collection=legislation-ca&amp;id=urn:contentItem:5VYK-47Y1-F06F-21ND-00000-00&amp;context=" TargetMode="External" /><Relationship Id="rId452" Type="http://schemas.openxmlformats.org/officeDocument/2006/relationships/header" Target="header79.xml" /><Relationship Id="rId453" Type="http://schemas.openxmlformats.org/officeDocument/2006/relationships/header" Target="header80.xml" /><Relationship Id="rId454" Type="http://schemas.openxmlformats.org/officeDocument/2006/relationships/footer" Target="footer79.xml" /><Relationship Id="rId455" Type="http://schemas.openxmlformats.org/officeDocument/2006/relationships/footer" Target="footer80.xml" /><Relationship Id="rId456" Type="http://schemas.openxmlformats.org/officeDocument/2006/relationships/header" Target="header81.xml" /><Relationship Id="rId457" Type="http://schemas.openxmlformats.org/officeDocument/2006/relationships/footer" Target="footer81.xml" /><Relationship Id="rId458" Type="http://schemas.openxmlformats.org/officeDocument/2006/relationships/hyperlink" Target="https://advance.lexis.com/api/document?collection=cases-ca&amp;id=urn:contentItem:5F7T-S7D1-JG02-S2Y0-00000-00&amp;context=" TargetMode="External" /><Relationship Id="rId459" Type="http://schemas.openxmlformats.org/officeDocument/2006/relationships/hyperlink" Target="https://advance.lexis.com/api/document?collection=cases-ca&amp;id=urn:contentItem:5F8T-N3T1-JJSF-235W-00000-00&amp;context=" TargetMode="External" /><Relationship Id="rId46" Type="http://schemas.openxmlformats.org/officeDocument/2006/relationships/header" Target="header11.xml" /><Relationship Id="rId460" Type="http://schemas.openxmlformats.org/officeDocument/2006/relationships/hyperlink" Target="https://advance.lexis.com/api/document?collection=cases-ca&amp;id=urn:contentItem:5F7T-S731-JC0G-63S9-00000-00&amp;context=" TargetMode="External" /><Relationship Id="rId461" Type="http://schemas.openxmlformats.org/officeDocument/2006/relationships/hyperlink" Target="https://advance.lexis.com/api/document?collection=cases-ca&amp;id=urn:contentItem:5F7T-S761-JX8W-M2MC-00000-00&amp;context=" TargetMode="External" /><Relationship Id="rId462" Type="http://schemas.openxmlformats.org/officeDocument/2006/relationships/hyperlink" Target="https://advance.lexis.com/api/document?collection=cases-ca&amp;id=urn:contentItem:5F7T-S791-JCJ5-2549-00000-00&amp;context=" TargetMode="External" /><Relationship Id="rId463" Type="http://schemas.openxmlformats.org/officeDocument/2006/relationships/hyperlink" Target="https://advance.lexis.com/api/document?collection=cases-ca&amp;id=urn:contentItem:5F7T-S6Y1-FJDY-X241-00000-00&amp;context=" TargetMode="External" /><Relationship Id="rId464" Type="http://schemas.openxmlformats.org/officeDocument/2006/relationships/header" Target="header82.xml" /><Relationship Id="rId465" Type="http://schemas.openxmlformats.org/officeDocument/2006/relationships/header" Target="header83.xml" /><Relationship Id="rId466" Type="http://schemas.openxmlformats.org/officeDocument/2006/relationships/footer" Target="footer82.xml" /><Relationship Id="rId467" Type="http://schemas.openxmlformats.org/officeDocument/2006/relationships/footer" Target="footer83.xml" /><Relationship Id="rId468" Type="http://schemas.openxmlformats.org/officeDocument/2006/relationships/header" Target="header84.xml" /><Relationship Id="rId469" Type="http://schemas.openxmlformats.org/officeDocument/2006/relationships/footer" Target="footer84.xml" /><Relationship Id="rId47" Type="http://schemas.openxmlformats.org/officeDocument/2006/relationships/footer" Target="footer10.xml" /><Relationship Id="rId470" Type="http://schemas.openxmlformats.org/officeDocument/2006/relationships/hyperlink" Target="https://advance.lexis.com/api/document?collection=cases-ca&amp;id=urn:contentItem:5W3M-C101-JF1Y-B005-00000-00&amp;context=" TargetMode="External" /><Relationship Id="rId471" Type="http://schemas.openxmlformats.org/officeDocument/2006/relationships/hyperlink" Target="https://advance.lexis.com/api/document?collection=cases-ca&amp;id=urn:contentItem:5F81-VJY1-JPGX-S4PK-00000-00&amp;context=" TargetMode="External" /><Relationship Id="rId472" Type="http://schemas.openxmlformats.org/officeDocument/2006/relationships/hyperlink" Target="https://advance.lexis.com/api/document?collection=cases-ca&amp;id=urn:contentItem:5JM8-YV01-F22N-X0T9-00000-00&amp;context=" TargetMode="External" /><Relationship Id="rId473" Type="http://schemas.openxmlformats.org/officeDocument/2006/relationships/hyperlink" Target="https://advance.lexis.com/api/document?collection=cases-ca&amp;id=urn:contentItem:5F7T-S7H1-FCSB-S37Y-00000-00&amp;context=" TargetMode="External" /><Relationship Id="rId474" Type="http://schemas.openxmlformats.org/officeDocument/2006/relationships/hyperlink" Target="https://advance.lexis.com/api/document?collection=cases-ca&amp;id=urn:contentItem:5F7T-S771-JJD0-G1DB-00000-00&amp;context=" TargetMode="External" /><Relationship Id="rId475" Type="http://schemas.openxmlformats.org/officeDocument/2006/relationships/hyperlink" Target="https://advance.lexis.com/api/document?collection=cases-ca&amp;id=urn:contentItem:5F7T-S7P1-JBDT-B112-00000-00&amp;context=" TargetMode="External" /><Relationship Id="rId476" Type="http://schemas.openxmlformats.org/officeDocument/2006/relationships/hyperlink" Target="https://advance.lexis.com/api/document?collection=cases-ca&amp;id=urn:contentItem:5F8T-N3V1-FH4C-X247-00000-00&amp;context=" TargetMode="External" /><Relationship Id="rId477" Type="http://schemas.openxmlformats.org/officeDocument/2006/relationships/hyperlink" Target="https://advance.lexis.com/api/document?collection=cases-ca&amp;id=urn:contentItem:5GCC-XVC1-F900-G4VG-00000-00&amp;context=" TargetMode="External" /><Relationship Id="rId478" Type="http://schemas.openxmlformats.org/officeDocument/2006/relationships/hyperlink" Target="https://advance.lexis.com/api/document?collection=cases-ca&amp;id=urn:contentItem:5PSX-VCB1-FCCX-6404-00000-00&amp;context=" TargetMode="External" /><Relationship Id="rId479" Type="http://schemas.openxmlformats.org/officeDocument/2006/relationships/hyperlink" Target="https://advance.lexis.com/api/document?collection=cases-ca&amp;id=urn:contentItem:5TKV-3KK1-K0HK-22P0-00000-00&amp;context=" TargetMode="External" /><Relationship Id="rId48" Type="http://schemas.openxmlformats.org/officeDocument/2006/relationships/footer" Target="footer11.xml" /><Relationship Id="rId480" Type="http://schemas.openxmlformats.org/officeDocument/2006/relationships/hyperlink" Target="https://advance.lexis.com/api/document?collection=cases-ca&amp;id=urn:contentItem:5F7T-S7D1-JS5Y-B2D4-00000-00&amp;context=" TargetMode="External" /><Relationship Id="rId481" Type="http://schemas.openxmlformats.org/officeDocument/2006/relationships/hyperlink" Target="https://advance.lexis.com/api/document?collection=cases-ca&amp;id=urn:contentItem:5F7T-S7C1-F4NT-X3JY-00000-00&amp;context=" TargetMode="External" /><Relationship Id="rId482" Type="http://schemas.openxmlformats.org/officeDocument/2006/relationships/hyperlink" Target="https://advance.lexis.com/api/document?collection=cases-ca&amp;id=urn:contentItem:5F8T-N3V1-JTGH-B175-00000-00&amp;context=" TargetMode="External" /><Relationship Id="rId483" Type="http://schemas.openxmlformats.org/officeDocument/2006/relationships/hyperlink" Target="https://advance.lexis.com/api/document?collection=cases-ca&amp;id=urn:contentItem:5VVK-TTT1-JSXV-G01V-00000-00&amp;context=" TargetMode="External" /><Relationship Id="rId484" Type="http://schemas.openxmlformats.org/officeDocument/2006/relationships/hyperlink" Target="https://advance.lexis.com/api/document?collection=cases-ca&amp;id=urn:contentItem:5GC3-0GC1-F5DR-24HR-00000-00&amp;context=" TargetMode="External" /><Relationship Id="rId485" Type="http://schemas.openxmlformats.org/officeDocument/2006/relationships/hyperlink" Target="https://advance.lexis.com/api/document?collection=cases-ca&amp;id=urn:contentItem:5F7T-S7H1-JG02-S3DJ-00000-00&amp;context=" TargetMode="External" /><Relationship Id="rId486" Type="http://schemas.openxmlformats.org/officeDocument/2006/relationships/hyperlink" Target="https://advance.lexis.com/api/document?collection=cases-ca&amp;id=urn:contentItem:5F7T-S7J1-JGBH-B2B7-00000-00&amp;context=" TargetMode="External" /><Relationship Id="rId487" Type="http://schemas.openxmlformats.org/officeDocument/2006/relationships/hyperlink" Target="https://advance.lexis.com/api/document?collection=cases-ca&amp;id=urn:contentItem:5F82-1SJ1-JWXF-21CK-00000-00&amp;context=" TargetMode="External" /><Relationship Id="rId488" Type="http://schemas.openxmlformats.org/officeDocument/2006/relationships/hyperlink" Target="https://advance.lexis.com/api/document?collection=cases-ca&amp;id=urn:contentItem:5F7T-S7J1-JGBH-B2DS-00000-00&amp;context=" TargetMode="External" /><Relationship Id="rId489" Type="http://schemas.openxmlformats.org/officeDocument/2006/relationships/hyperlink" Target="https://advance.lexis.com/api/document?collection=cases-ca&amp;id=urn:contentItem:5RTH-41C1-FG68-G0NY-00000-00&amp;context=" TargetMode="External" /><Relationship Id="rId49" Type="http://schemas.openxmlformats.org/officeDocument/2006/relationships/header" Target="header12.xml" /><Relationship Id="rId490" Type="http://schemas.openxmlformats.org/officeDocument/2006/relationships/hyperlink" Target="https://advance.lexis.com/api/document?collection=cases-ca&amp;id=urn:contentItem:5PHP-1331-F956-S2C0-00000-00&amp;context=" TargetMode="External" /><Relationship Id="rId491" Type="http://schemas.openxmlformats.org/officeDocument/2006/relationships/hyperlink" Target="https://advance.lexis.com/api/document?collection=cases-ca&amp;id=urn:contentItem:5F8P-SF91-JSC5-M298-00000-00&amp;context=" TargetMode="External" /><Relationship Id="rId492" Type="http://schemas.openxmlformats.org/officeDocument/2006/relationships/hyperlink" Target="https://advance.lexis.com/api/document?collection=cases-ca&amp;id=urn:contentItem:5JVG-2XS1-JN14-G1K2-00000-00&amp;context=" TargetMode="External" /><Relationship Id="rId493" Type="http://schemas.openxmlformats.org/officeDocument/2006/relationships/hyperlink" Target="https://advance.lexis.com/api/document?collection=cases-ca&amp;id=urn:contentItem:5F7T-S7N1-JW09-M127-00000-00&amp;context=" TargetMode="External" /><Relationship Id="rId494" Type="http://schemas.openxmlformats.org/officeDocument/2006/relationships/hyperlink" Target="https://advance.lexis.com/api/document?collection=cases-ca&amp;id=urn:contentItem:5G8K-Y431-JWR6-S2DJ-00000-00&amp;context=" TargetMode="External" /><Relationship Id="rId495" Type="http://schemas.openxmlformats.org/officeDocument/2006/relationships/hyperlink" Target="https://advance.lexis.com/api/document?collection=cases-ca&amp;id=urn:contentItem:5F7T-S7M1-JCRC-B1R6-00000-00&amp;context=" TargetMode="External" /><Relationship Id="rId496" Type="http://schemas.openxmlformats.org/officeDocument/2006/relationships/hyperlink" Target="https://advance.lexis.com/api/document?collection=cases-ca&amp;id=urn:contentItem:5F7T-S7N1-DXWW-20M3-00000-00&amp;context=" TargetMode="External" /><Relationship Id="rId497" Type="http://schemas.openxmlformats.org/officeDocument/2006/relationships/hyperlink" Target="https://advance.lexis.com/api/document?collection=cases-ca&amp;id=urn:contentItem:5F7T-S7D1-JXG3-X16K-00000-00&amp;context=" TargetMode="External" /><Relationship Id="rId498" Type="http://schemas.openxmlformats.org/officeDocument/2006/relationships/hyperlink" Target="https://advance.lexis.com/api/document?collection=cases-ca&amp;id=urn:contentItem:5F7T-S7F1-JBT7-X2R8-00000-00&amp;context=" TargetMode="External" /><Relationship Id="rId499" Type="http://schemas.openxmlformats.org/officeDocument/2006/relationships/hyperlink" Target="https://advance.lexis.com/api/document?collection=cases-ca&amp;id=urn:contentItem:5F7T-S7K1-DY33-B1RF-00000-00&amp;context=" TargetMode="External" /><Relationship Id="rId5" Type="http://schemas.openxmlformats.org/officeDocument/2006/relationships/header" Target="header2.xml" /><Relationship Id="rId50" Type="http://schemas.openxmlformats.org/officeDocument/2006/relationships/footer" Target="footer12.xml" /><Relationship Id="rId500" Type="http://schemas.openxmlformats.org/officeDocument/2006/relationships/header" Target="header85.xml" /><Relationship Id="rId501" Type="http://schemas.openxmlformats.org/officeDocument/2006/relationships/header" Target="header86.xml" /><Relationship Id="rId502" Type="http://schemas.openxmlformats.org/officeDocument/2006/relationships/footer" Target="footer85.xml" /><Relationship Id="rId503" Type="http://schemas.openxmlformats.org/officeDocument/2006/relationships/footer" Target="footer86.xml" /><Relationship Id="rId504" Type="http://schemas.openxmlformats.org/officeDocument/2006/relationships/header" Target="header87.xml" /><Relationship Id="rId505" Type="http://schemas.openxmlformats.org/officeDocument/2006/relationships/footer" Target="footer87.xml" /><Relationship Id="rId506" Type="http://schemas.openxmlformats.org/officeDocument/2006/relationships/hyperlink" Target="https://advance.lexis.com/api/document?collection=cases-ca&amp;id=urn:contentItem:5F7T-S7H1-JFSV-G2W6-00000-00&amp;context=" TargetMode="External" /><Relationship Id="rId507" Type="http://schemas.openxmlformats.org/officeDocument/2006/relationships/header" Target="header88.xml" /><Relationship Id="rId508" Type="http://schemas.openxmlformats.org/officeDocument/2006/relationships/header" Target="header89.xml" /><Relationship Id="rId509" Type="http://schemas.openxmlformats.org/officeDocument/2006/relationships/footer" Target="footer88.xml" /><Relationship Id="rId51" Type="http://schemas.openxmlformats.org/officeDocument/2006/relationships/hyperlink" Target="https://advance.lexis.com/api/document?collection=cases-ca&amp;id=urn:contentItem:5Y93-9961-JX3N-B326-00000-00&amp;context=" TargetMode="External" /><Relationship Id="rId510" Type="http://schemas.openxmlformats.org/officeDocument/2006/relationships/footer" Target="footer89.xml" /><Relationship Id="rId511" Type="http://schemas.openxmlformats.org/officeDocument/2006/relationships/header" Target="header90.xml" /><Relationship Id="rId512" Type="http://schemas.openxmlformats.org/officeDocument/2006/relationships/footer" Target="footer90.xml" /><Relationship Id="rId513" Type="http://schemas.openxmlformats.org/officeDocument/2006/relationships/hyperlink" Target="https://advance.lexis.com/api/document?collection=cases-ca&amp;id=urn:contentItem:5JG1-HSD1-F5T5-M0SW-00000-00&amp;context=" TargetMode="External" /><Relationship Id="rId514" Type="http://schemas.openxmlformats.org/officeDocument/2006/relationships/hyperlink" Target="https://advance.lexis.com/api/document?collection=cases-ca&amp;id=urn:contentItem:5F7T-S7K1-F1H1-22CH-00000-00&amp;context=" TargetMode="External" /><Relationship Id="rId515" Type="http://schemas.openxmlformats.org/officeDocument/2006/relationships/hyperlink" Target="https://advance.lexis.com/api/document?collection=cases-ca&amp;id=urn:contentItem:5F7T-S7H1-K054-G2FK-00000-00&amp;context=" TargetMode="External" /><Relationship Id="rId516" Type="http://schemas.openxmlformats.org/officeDocument/2006/relationships/hyperlink" Target="https://advance.lexis.com/api/document?collection=cases-ca&amp;id=urn:contentItem:5F8T-N3S1-JBDT-B0CD-00000-00&amp;context=" TargetMode="External" /><Relationship Id="rId517" Type="http://schemas.openxmlformats.org/officeDocument/2006/relationships/hyperlink" Target="https://advance.lexis.com/api/document?collection=cases-ca&amp;id=urn:contentItem:5F7T-S7K1-DY33-B1VH-00000-00&amp;context=" TargetMode="External" /><Relationship Id="rId518" Type="http://schemas.openxmlformats.org/officeDocument/2006/relationships/hyperlink" Target="https://advance.lexis.com/api/document?collection=cases-ca&amp;id=urn:contentItem:5F7V-3DG1-JJK6-S3K7-00000-00&amp;context=" TargetMode="External" /><Relationship Id="rId519" Type="http://schemas.openxmlformats.org/officeDocument/2006/relationships/hyperlink" Target="https://advance.lexis.com/api/document?collection=cases-ca&amp;id=urn:contentItem:5F7V-3DG1-JJK6-S3YV-00000-00&amp;context=" TargetMode="External" /><Relationship Id="rId52" Type="http://schemas.openxmlformats.org/officeDocument/2006/relationships/hyperlink" Target="https://advance.lexis.com/api/document?collection=cases-ca&amp;id=urn:contentItem:5F8T-N3T1-JGHR-M26M-00000-00&amp;context=" TargetMode="External" /><Relationship Id="rId520" Type="http://schemas.openxmlformats.org/officeDocument/2006/relationships/hyperlink" Target="https://advance.lexis.com/api/document?collection=cases-ca&amp;id=urn:contentItem:5F8T-N3S1-JT99-24N1-00000-00&amp;context=" TargetMode="External" /><Relationship Id="rId521" Type="http://schemas.openxmlformats.org/officeDocument/2006/relationships/hyperlink" Target="https://advance.lexis.com/api/document?collection=cases-ca&amp;id=urn:contentItem:5F7T-S7F1-DXWW-23FX-00000-00&amp;context=" TargetMode="External" /><Relationship Id="rId522" Type="http://schemas.openxmlformats.org/officeDocument/2006/relationships/hyperlink" Target="https://advance.lexis.com/api/document?collection=cases-ca&amp;id=urn:contentItem:5F7H-KW71-JFDC-X04P-00000-00&amp;context=" TargetMode="External" /><Relationship Id="rId523" Type="http://schemas.openxmlformats.org/officeDocument/2006/relationships/hyperlink" Target="https://advance.lexis.com/api/document?collection=cases-ca&amp;id=urn:contentItem:5F7V-3DG1-JJK6-S3W5-00000-00&amp;context=" TargetMode="External" /><Relationship Id="rId524" Type="http://schemas.openxmlformats.org/officeDocument/2006/relationships/hyperlink" Target="https://advance.lexis.com/api/document?collection=cases-ca&amp;id=urn:contentItem:5F7T-S7H1-JFSV-G2TK-00000-00&amp;context=" TargetMode="External" /><Relationship Id="rId525" Type="http://schemas.openxmlformats.org/officeDocument/2006/relationships/hyperlink" Target="https://advance.lexis.com/api/document?collection=cases-ca&amp;id=urn:contentItem:5F8T-N3V1-JTGH-B0YP-00000-00&amp;context=" TargetMode="External" /><Relationship Id="rId526" Type="http://schemas.openxmlformats.org/officeDocument/2006/relationships/hyperlink" Target="https://advance.lexis.com/api/document?collection=cases-ca&amp;id=urn:contentItem:5F8T-N3V1-FC1F-M48G-00000-00&amp;context=" TargetMode="External" /><Relationship Id="rId527" Type="http://schemas.openxmlformats.org/officeDocument/2006/relationships/hyperlink" Target="https://advance.lexis.com/api/document?collection=cases-ca&amp;id=urn:contentItem:5F81-VJX1-JJYN-B529-00000-00&amp;context=" TargetMode="External" /><Relationship Id="rId528" Type="http://schemas.openxmlformats.org/officeDocument/2006/relationships/hyperlink" Target="https://advance.lexis.com/api/document?collection=cases-ca&amp;id=urn:contentItem:5F8T-N3V1-FC1F-M4DC-00000-00&amp;context=" TargetMode="External" /><Relationship Id="rId529" Type="http://schemas.openxmlformats.org/officeDocument/2006/relationships/hyperlink" Target="https://advance.lexis.com/api/document?collection=cases-ca&amp;id=urn:contentItem:5F7T-S7J1-JGBH-B26W-00000-00&amp;context=" TargetMode="External" /><Relationship Id="rId53" Type="http://schemas.openxmlformats.org/officeDocument/2006/relationships/hyperlink" Target="https://advance.lexis.com/api/document?collection=cases-ca&amp;id=urn:contentItem:5HBF-Y861-FGRY-B2CW-00000-00&amp;context=" TargetMode="External" /><Relationship Id="rId530" Type="http://schemas.openxmlformats.org/officeDocument/2006/relationships/hyperlink" Target="https://advance.lexis.com/api/document?collection=cases-ca&amp;id=urn:contentItem:5F16-9361-K0HK-21F5-00000-00&amp;context=" TargetMode="External" /><Relationship Id="rId531" Type="http://schemas.openxmlformats.org/officeDocument/2006/relationships/hyperlink" Target="https://advance.lexis.com/api/document?collection=cases-ca&amp;id=urn:contentItem:5F81-VJX1-JJYN-B52H-00000-00&amp;context=" TargetMode="External" /><Relationship Id="rId532" Type="http://schemas.openxmlformats.org/officeDocument/2006/relationships/hyperlink" Target="https://advance.lexis.com/api/document?collection=cases-ca&amp;id=urn:contentItem:5F81-VJX1-FCK4-G1G0-00000-00&amp;context=" TargetMode="External" /><Relationship Id="rId533" Type="http://schemas.openxmlformats.org/officeDocument/2006/relationships/hyperlink" Target="https://advance.lexis.com/api/document?collection=cases-ca&amp;id=urn:contentItem:5F81-VJX1-JX3N-B1P6-00000-00&amp;context=" TargetMode="External" /><Relationship Id="rId534" Type="http://schemas.openxmlformats.org/officeDocument/2006/relationships/hyperlink" Target="https://advance.lexis.com/api/document?collection=cases-ca&amp;id=urn:contentItem:5F8P-SGB1-JCJ5-20GK-00000-00&amp;context=" TargetMode="External" /><Relationship Id="rId535" Type="http://schemas.openxmlformats.org/officeDocument/2006/relationships/hyperlink" Target="https://advance.lexis.com/api/document?collection=cases-ca&amp;id=urn:contentItem:5F81-VJX1-F5KY-B40W-00000-00&amp;context=" TargetMode="External" /><Relationship Id="rId536" Type="http://schemas.openxmlformats.org/officeDocument/2006/relationships/hyperlink" Target="https://advance.lexis.com/api/document?collection=cases-ca&amp;id=urn:contentItem:5F8P-SGB1-JCJ5-20NV-00000-00&amp;context=" TargetMode="External" /><Relationship Id="rId537" Type="http://schemas.openxmlformats.org/officeDocument/2006/relationships/hyperlink" Target="https://advance.lexis.com/api/document?collection=cases-ca&amp;id=urn:contentItem:5G5K-89P1-K054-G32Y-00000-00&amp;context=" TargetMode="External" /><Relationship Id="rId538" Type="http://schemas.openxmlformats.org/officeDocument/2006/relationships/hyperlink" Target="https://advance.lexis.com/api/document?collection=cases-ca&amp;id=urn:contentItem:5FWB-6DK1-JBT7-X3XF-00000-00&amp;context=" TargetMode="External" /><Relationship Id="rId539" Type="http://schemas.openxmlformats.org/officeDocument/2006/relationships/hyperlink" Target="https://advance.lexis.com/api/document?collection=cases-ca&amp;id=urn:contentItem:5FWB-6DK1-JBT7-X3XG-00000-00&amp;context=" TargetMode="External" /><Relationship Id="rId54" Type="http://schemas.openxmlformats.org/officeDocument/2006/relationships/hyperlink" Target="https://advance.lexis.com/api/document?collection=cases-ca&amp;id=urn:contentItem:5F8T-N3V1-JF75-M3D0-00000-00&amp;context=" TargetMode="External" /><Relationship Id="rId540" Type="http://schemas.openxmlformats.org/officeDocument/2006/relationships/hyperlink" Target="https://advance.lexis.com/api/document?collection=cases-ca&amp;id=urn:contentItem:5G5R-V381-FGCG-S02G-00000-00&amp;context=" TargetMode="External" /><Relationship Id="rId541" Type="http://schemas.openxmlformats.org/officeDocument/2006/relationships/hyperlink" Target="https://advance.lexis.com/api/document?collection=cases-ca&amp;id=urn:contentItem:5F7T-S6W1-JB7K-211T-00000-00&amp;context=" TargetMode="External" /><Relationship Id="rId542" Type="http://schemas.openxmlformats.org/officeDocument/2006/relationships/header" Target="header91.xml" /><Relationship Id="rId543" Type="http://schemas.openxmlformats.org/officeDocument/2006/relationships/header" Target="header92.xml" /><Relationship Id="rId544" Type="http://schemas.openxmlformats.org/officeDocument/2006/relationships/footer" Target="footer91.xml" /><Relationship Id="rId545" Type="http://schemas.openxmlformats.org/officeDocument/2006/relationships/footer" Target="footer92.xml" /><Relationship Id="rId546" Type="http://schemas.openxmlformats.org/officeDocument/2006/relationships/header" Target="header93.xml" /><Relationship Id="rId547" Type="http://schemas.openxmlformats.org/officeDocument/2006/relationships/footer" Target="footer93.xml" /><Relationship Id="rId548" Type="http://schemas.openxmlformats.org/officeDocument/2006/relationships/hyperlink" Target="https://advance.lexis.com/api/document?collection=cases-ca&amp;id=urn:contentItem:5K6Y-81T1-F7VM-S3V5-00000-00&amp;context=" TargetMode="External" /><Relationship Id="rId549" Type="http://schemas.openxmlformats.org/officeDocument/2006/relationships/hyperlink" Target="https://advance.lexis.com/api/document?collection=legislation-ca&amp;id=urn:contentItem:5F41-1FJ1-JKPJ-G0P7-00000-00&amp;context=" TargetMode="External" /><Relationship Id="rId55" Type="http://schemas.openxmlformats.org/officeDocument/2006/relationships/hyperlink" Target="https://advance.lexis.com/api/document?collection=cases-ca&amp;id=urn:contentItem:5F7T-S7P1-JSJC-X1DV-00000-00&amp;context=" TargetMode="External" /><Relationship Id="rId550" Type="http://schemas.openxmlformats.org/officeDocument/2006/relationships/header" Target="header94.xml" /><Relationship Id="rId551" Type="http://schemas.openxmlformats.org/officeDocument/2006/relationships/header" Target="header95.xml" /><Relationship Id="rId552" Type="http://schemas.openxmlformats.org/officeDocument/2006/relationships/footer" Target="footer94.xml" /><Relationship Id="rId553" Type="http://schemas.openxmlformats.org/officeDocument/2006/relationships/footer" Target="footer95.xml" /><Relationship Id="rId554" Type="http://schemas.openxmlformats.org/officeDocument/2006/relationships/header" Target="header96.xml" /><Relationship Id="rId555" Type="http://schemas.openxmlformats.org/officeDocument/2006/relationships/footer" Target="footer96.xml" /><Relationship Id="rId556" Type="http://schemas.openxmlformats.org/officeDocument/2006/relationships/hyperlink" Target="https://advance.lexis.com/api/document?collection=cases-ca&amp;id=urn:contentItem:5J4V-Y9D1-DXPM-S4P1-00000-00&amp;context=" TargetMode="External" /><Relationship Id="rId557" Type="http://schemas.openxmlformats.org/officeDocument/2006/relationships/hyperlink" Target="https://advance.lexis.com/api/document?collection=cases-ca&amp;id=urn:contentItem:5H3D-T8W1-JT99-208K-00000-00&amp;context=" TargetMode="External" /><Relationship Id="rId558" Type="http://schemas.openxmlformats.org/officeDocument/2006/relationships/hyperlink" Target="https://advance.lexis.com/api/document?collection=cases-ca&amp;id=urn:contentItem:5F7T-S6W1-JF75-M398-00000-00&amp;context=" TargetMode="External" /><Relationship Id="rId559" Type="http://schemas.openxmlformats.org/officeDocument/2006/relationships/hyperlink" Target="https://advance.lexis.com/api/document?collection=cases-ca&amp;id=urn:contentItem:5F7T-S6V1-F2TK-22HC-00000-00&amp;context=" TargetMode="External" /><Relationship Id="rId56" Type="http://schemas.openxmlformats.org/officeDocument/2006/relationships/hyperlink" Target="https://advance.lexis.com/api/document?collection=cases-ca&amp;id=urn:contentItem:5F8T-N3V1-FC1F-M49T-00000-00&amp;context=" TargetMode="External" /><Relationship Id="rId560" Type="http://schemas.openxmlformats.org/officeDocument/2006/relationships/hyperlink" Target="https://advance.lexis.com/api/document?collection=cases-ca&amp;id=urn:contentItem:5F7T-S7M1-JNCK-22P9-00000-00&amp;context=" TargetMode="External" /><Relationship Id="rId561" Type="http://schemas.openxmlformats.org/officeDocument/2006/relationships/header" Target="header97.xml" /><Relationship Id="rId562" Type="http://schemas.openxmlformats.org/officeDocument/2006/relationships/header" Target="header98.xml" /><Relationship Id="rId563" Type="http://schemas.openxmlformats.org/officeDocument/2006/relationships/footer" Target="footer97.xml" /><Relationship Id="rId564" Type="http://schemas.openxmlformats.org/officeDocument/2006/relationships/footer" Target="footer98.xml" /><Relationship Id="rId565" Type="http://schemas.openxmlformats.org/officeDocument/2006/relationships/header" Target="header99.xml" /><Relationship Id="rId566" Type="http://schemas.openxmlformats.org/officeDocument/2006/relationships/footer" Target="footer99.xml" /><Relationship Id="rId567" Type="http://schemas.openxmlformats.org/officeDocument/2006/relationships/hyperlink" Target="https://advance.lexis.com/api/document?collection=cases-ca&amp;id=urn:contentItem:5YCT-N0M1-F1H1-217Y-00000-00&amp;context=" TargetMode="External" /><Relationship Id="rId568" Type="http://schemas.openxmlformats.org/officeDocument/2006/relationships/hyperlink" Target="https://advance.lexis.com/api/document?collection=cases-ca&amp;id=urn:contentItem:5F7T-S7J1-JGBH-B2H4-00000-00&amp;context=" TargetMode="External" /><Relationship Id="rId569" Type="http://schemas.openxmlformats.org/officeDocument/2006/relationships/hyperlink" Target="https://advance.lexis.com/api/document?collection=cases-ca&amp;id=urn:contentItem:5F7T-S7N1-JW09-M0YR-00000-00&amp;context=" TargetMode="External" /><Relationship Id="rId57" Type="http://schemas.openxmlformats.org/officeDocument/2006/relationships/hyperlink" Target="https://advance.lexis.com/api/document?collection=cases-ca&amp;id=urn:contentItem:5NYG-2N01-F2F4-G4JH-00000-00&amp;context=" TargetMode="External" /><Relationship Id="rId570" Type="http://schemas.openxmlformats.org/officeDocument/2006/relationships/hyperlink" Target="https://advance.lexis.com/api/document?collection=cases-ca&amp;id=urn:contentItem:5F7T-S771-JW5H-X1R6-00000-00&amp;context=" TargetMode="External" /><Relationship Id="rId571" Type="http://schemas.openxmlformats.org/officeDocument/2006/relationships/hyperlink" Target="https://advance.lexis.com/api/document?collection=cases-ca&amp;id=urn:contentItem:5F7T-S761-JS5Y-B1XS-00000-00&amp;context=" TargetMode="External" /><Relationship Id="rId572" Type="http://schemas.openxmlformats.org/officeDocument/2006/relationships/hyperlink" Target="https://advance.lexis.com/api/document?collection=cases-ca&amp;id=urn:contentItem:5F7T-S7P1-JSJC-X1GX-00000-00&amp;context=" TargetMode="External" /><Relationship Id="rId573" Type="http://schemas.openxmlformats.org/officeDocument/2006/relationships/hyperlink" Target="https://advance.lexis.com/api/document?collection=cases-ca&amp;id=urn:contentItem:5F7T-S781-F06F-2410-00000-00&amp;context=" TargetMode="External" /><Relationship Id="rId574" Type="http://schemas.openxmlformats.org/officeDocument/2006/relationships/hyperlink" Target="https://advance.lexis.com/api/document?collection=cases-ca&amp;id=urn:contentItem:5F7T-S7H1-JFSV-G36N-00000-00&amp;context=" TargetMode="External" /><Relationship Id="rId575" Type="http://schemas.openxmlformats.org/officeDocument/2006/relationships/hyperlink" Target="https://advance.lexis.com/api/document?collection=cases-ca&amp;id=urn:contentItem:5F7T-S751-JG02-S27M-00000-00&amp;context=" TargetMode="External" /><Relationship Id="rId576" Type="http://schemas.openxmlformats.org/officeDocument/2006/relationships/hyperlink" Target="https://advance.lexis.com/api/document?collection=cases-ca&amp;id=urn:contentItem:5F16-9371-JT99-21VK-00000-00&amp;context=" TargetMode="External" /><Relationship Id="rId577" Type="http://schemas.openxmlformats.org/officeDocument/2006/relationships/hyperlink" Target="https://advance.lexis.com/api/document?collection=cases-ca&amp;id=urn:contentItem:5F16-9351-FFFC-B33R-00000-00&amp;context=" TargetMode="External" /><Relationship Id="rId578" Type="http://schemas.openxmlformats.org/officeDocument/2006/relationships/hyperlink" Target="https://advance.lexis.com/api/document?collection=cases-ca&amp;id=urn:contentItem:5XJT-JYS1-JP9P-G3JK-00000-00&amp;context=" TargetMode="External" /><Relationship Id="rId579" Type="http://schemas.openxmlformats.org/officeDocument/2006/relationships/hyperlink" Target="https://advance.lexis.com/api/document?collection=cases-ca&amp;id=urn:contentItem:5F7T-S781-DYMS-61HT-00000-00&amp;context=" TargetMode="External" /><Relationship Id="rId58" Type="http://schemas.openxmlformats.org/officeDocument/2006/relationships/hyperlink" Target="https://advance.lexis.com/api/document?collection=cases-ca&amp;id=urn:contentItem:5F16-93F1-JNJT-B1YM-00000-00&amp;context=" TargetMode="External" /><Relationship Id="rId580" Type="http://schemas.openxmlformats.org/officeDocument/2006/relationships/header" Target="header100.xml" /><Relationship Id="rId581" Type="http://schemas.openxmlformats.org/officeDocument/2006/relationships/header" Target="header101.xml" /><Relationship Id="rId582" Type="http://schemas.openxmlformats.org/officeDocument/2006/relationships/footer" Target="footer100.xml" /><Relationship Id="rId583" Type="http://schemas.openxmlformats.org/officeDocument/2006/relationships/footer" Target="footer101.xml" /><Relationship Id="rId584" Type="http://schemas.openxmlformats.org/officeDocument/2006/relationships/header" Target="header102.xml" /><Relationship Id="rId585" Type="http://schemas.openxmlformats.org/officeDocument/2006/relationships/footer" Target="footer102.xml" /><Relationship Id="rId586" Type="http://schemas.openxmlformats.org/officeDocument/2006/relationships/hyperlink" Target="https://advance.lexis.com/api/document?collection=cases-ca&amp;id=urn:contentItem:5F7T-S7K1-F528-G30J-00000-00&amp;context=" TargetMode="External" /><Relationship Id="rId587" Type="http://schemas.openxmlformats.org/officeDocument/2006/relationships/hyperlink" Target="https://advance.lexis.com/api/document?collection=cases-ca&amp;id=urn:contentItem:5F8T-N3T1-JFKM-655K-00000-00&amp;context=" TargetMode="External" /><Relationship Id="rId588" Type="http://schemas.openxmlformats.org/officeDocument/2006/relationships/hyperlink" Target="https://advance.lexis.com/api/document?collection=cases-ca&amp;id=urn:contentItem:5F8T-N3V1-JTGH-B18F-00000-00&amp;context=" TargetMode="External" /><Relationship Id="rId589" Type="http://schemas.openxmlformats.org/officeDocument/2006/relationships/hyperlink" Target="https://advance.lexis.com/api/document?collection=cases-ca&amp;id=urn:contentItem:5F8T-N3S1-JBDT-B05R-00000-00&amp;context=" TargetMode="External" /><Relationship Id="rId59" Type="http://schemas.openxmlformats.org/officeDocument/2006/relationships/hyperlink" Target="https://advance.lexis.com/api/document?collection=cases-ca&amp;id=urn:contentItem:5F81-VJV1-JBM1-M471-00000-00&amp;context=" TargetMode="External" /><Relationship Id="rId590" Type="http://schemas.openxmlformats.org/officeDocument/2006/relationships/hyperlink" Target="https://advance.lexis.com/api/document?collection=cases-ca&amp;id=urn:contentItem:5F8T-N3V1-JF75-M3GV-00000-00&amp;context=" TargetMode="External" /><Relationship Id="rId591" Type="http://schemas.openxmlformats.org/officeDocument/2006/relationships/header" Target="header103.xml" /><Relationship Id="rId592" Type="http://schemas.openxmlformats.org/officeDocument/2006/relationships/header" Target="header104.xml" /><Relationship Id="rId593" Type="http://schemas.openxmlformats.org/officeDocument/2006/relationships/footer" Target="footer103.xml" /><Relationship Id="rId594" Type="http://schemas.openxmlformats.org/officeDocument/2006/relationships/footer" Target="footer104.xml" /><Relationship Id="rId595" Type="http://schemas.openxmlformats.org/officeDocument/2006/relationships/header" Target="header105.xml" /><Relationship Id="rId596" Type="http://schemas.openxmlformats.org/officeDocument/2006/relationships/footer" Target="footer105.xml" /><Relationship Id="rId597" Type="http://schemas.openxmlformats.org/officeDocument/2006/relationships/hyperlink" Target="https://advance.lexis.com/api/document?collection=cases-ca&amp;id=urn:contentItem:5K6Y-81T1-F7VM-S3Y6-00000-00&amp;context=" TargetMode="External" /><Relationship Id="rId598" Type="http://schemas.openxmlformats.org/officeDocument/2006/relationships/header" Target="header106.xml" /><Relationship Id="rId599" Type="http://schemas.openxmlformats.org/officeDocument/2006/relationships/header" Target="header107.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S1-JT99-24YC-00000-00&amp;context=" TargetMode="External" /><Relationship Id="rId600" Type="http://schemas.openxmlformats.org/officeDocument/2006/relationships/footer" Target="footer106.xml" /><Relationship Id="rId601" Type="http://schemas.openxmlformats.org/officeDocument/2006/relationships/footer" Target="footer107.xml" /><Relationship Id="rId602" Type="http://schemas.openxmlformats.org/officeDocument/2006/relationships/header" Target="header108.xml" /><Relationship Id="rId603" Type="http://schemas.openxmlformats.org/officeDocument/2006/relationships/footer" Target="footer108.xml" /><Relationship Id="rId604" Type="http://schemas.openxmlformats.org/officeDocument/2006/relationships/hyperlink" Target="https://advance.lexis.com/api/document?collection=cases-ca&amp;id=urn:contentItem:5RG4-SKP1-JXG3-X079-00000-00&amp;context=" TargetMode="External" /><Relationship Id="rId605" Type="http://schemas.openxmlformats.org/officeDocument/2006/relationships/hyperlink" Target="https://advance.lexis.com/api/document?collection=cases-ca&amp;id=urn:contentItem:5F8T-N3T1-JJSF-23FN-00000-00&amp;context=" TargetMode="External" /><Relationship Id="rId606" Type="http://schemas.openxmlformats.org/officeDocument/2006/relationships/hyperlink" Target="https://advance.lexis.com/api/document?collection=cases-ca&amp;id=urn:contentItem:5F8T-N3V1-FC1F-M446-00000-00&amp;context=" TargetMode="External" /><Relationship Id="rId607" Type="http://schemas.openxmlformats.org/officeDocument/2006/relationships/hyperlink" Target="https://advance.lexis.com/api/document?collection=cases-ca&amp;id=urn:contentItem:5F7T-S7G1-JWR6-S1GP-00000-00&amp;context=" TargetMode="External" /><Relationship Id="rId608" Type="http://schemas.openxmlformats.org/officeDocument/2006/relationships/hyperlink" Target="https://advance.lexis.com/api/document?collection=cases-ca&amp;id=urn:contentItem:5F7T-S7N1-JW09-M0MR-00000-00&amp;context=" TargetMode="External" /><Relationship Id="rId609" Type="http://schemas.openxmlformats.org/officeDocument/2006/relationships/header" Target="header109.xml" /><Relationship Id="rId61" Type="http://schemas.openxmlformats.org/officeDocument/2006/relationships/hyperlink" Target="https://advance.lexis.com/api/document?collection=cases-ca&amp;id=urn:contentItem:5F8T-N3T1-JGHR-M1VH-00000-00&amp;context=" TargetMode="External" /><Relationship Id="rId610" Type="http://schemas.openxmlformats.org/officeDocument/2006/relationships/header" Target="header110.xml" /><Relationship Id="rId611" Type="http://schemas.openxmlformats.org/officeDocument/2006/relationships/footer" Target="footer109.xml" /><Relationship Id="rId612" Type="http://schemas.openxmlformats.org/officeDocument/2006/relationships/footer" Target="footer110.xml" /><Relationship Id="rId613" Type="http://schemas.openxmlformats.org/officeDocument/2006/relationships/header" Target="header111.xml" /><Relationship Id="rId614" Type="http://schemas.openxmlformats.org/officeDocument/2006/relationships/footer" Target="footer111.xml" /><Relationship Id="rId615" Type="http://schemas.openxmlformats.org/officeDocument/2006/relationships/hyperlink" Target="https://advance.lexis.com/api/document?collection=cases-ca&amp;id=urn:contentItem:5W84-CR51-JBT7-X3WR-00000-00&amp;context=" TargetMode="External" /><Relationship Id="rId616" Type="http://schemas.openxmlformats.org/officeDocument/2006/relationships/hyperlink" Target="https://advance.lexis.com/api/document?collection=cases-ca&amp;id=urn:contentItem:5R61-GMR1-JG02-S4PY-00000-00&amp;context=" TargetMode="External" /><Relationship Id="rId617" Type="http://schemas.openxmlformats.org/officeDocument/2006/relationships/hyperlink" Target="https://advance.lexis.com/api/document?collection=cases-ca&amp;id=urn:contentItem:5F8T-N3V1-JF75-M3SR-00000-00&amp;context=" TargetMode="External" /><Relationship Id="rId618" Type="http://schemas.openxmlformats.org/officeDocument/2006/relationships/hyperlink" Target="https://advance.lexis.com/api/document?collection=cases-ca&amp;id=urn:contentItem:5F7T-S7N1-JGHR-M38M-00000-00&amp;context=" TargetMode="External" /><Relationship Id="rId619" Type="http://schemas.openxmlformats.org/officeDocument/2006/relationships/header" Target="header112.xml" /><Relationship Id="rId62" Type="http://schemas.openxmlformats.org/officeDocument/2006/relationships/hyperlink" Target="https://advance.lexis.com/api/document?collection=cases-ca&amp;id=urn:contentItem:5F8T-N3T1-JJSF-234T-00000-00&amp;context=" TargetMode="External" /><Relationship Id="rId620" Type="http://schemas.openxmlformats.org/officeDocument/2006/relationships/header" Target="header113.xml" /><Relationship Id="rId621" Type="http://schemas.openxmlformats.org/officeDocument/2006/relationships/footer" Target="footer112.xml" /><Relationship Id="rId622" Type="http://schemas.openxmlformats.org/officeDocument/2006/relationships/footer" Target="footer113.xml" /><Relationship Id="rId623" Type="http://schemas.openxmlformats.org/officeDocument/2006/relationships/header" Target="header114.xml" /><Relationship Id="rId624" Type="http://schemas.openxmlformats.org/officeDocument/2006/relationships/footer" Target="footer114.xml" /><Relationship Id="rId625" Type="http://schemas.openxmlformats.org/officeDocument/2006/relationships/hyperlink" Target="https://advance.lexis.com/api/document?collection=cases-ca&amp;id=urn:contentItem:5VWN-7JW1-FBV7-B1R7-00000-00&amp;context=" TargetMode="External" /><Relationship Id="rId626" Type="http://schemas.openxmlformats.org/officeDocument/2006/relationships/hyperlink" Target="https://advance.lexis.com/api/document?collection=cases-ca&amp;id=urn:contentItem:5P5F-CKX1-DYFH-X096-00000-00&amp;context=" TargetMode="External" /><Relationship Id="rId627" Type="http://schemas.openxmlformats.org/officeDocument/2006/relationships/hyperlink" Target="https://advance.lexis.com/api/document?collection=cases-ca&amp;id=urn:contentItem:5F8P-SG11-JK4W-M554-00000-00&amp;context=" TargetMode="External" /><Relationship Id="rId628" Type="http://schemas.openxmlformats.org/officeDocument/2006/relationships/hyperlink" Target="https://advance.lexis.com/api/document?collection=cases-ca&amp;id=urn:contentItem:5F7T-S7H1-K054-G27J-00000-00&amp;context=" TargetMode="External" /><Relationship Id="rId629" Type="http://schemas.openxmlformats.org/officeDocument/2006/relationships/hyperlink" Target="https://advance.lexis.com/api/document?collection=cases-ca&amp;id=urn:contentItem:5F7T-S7F1-JX3N-B1VT-00000-00&amp;context=" TargetMode="External" /><Relationship Id="rId63" Type="http://schemas.openxmlformats.org/officeDocument/2006/relationships/hyperlink" Target="https://advance.lexis.com/api/document?collection=cases-ca&amp;id=urn:contentItem:5F8P-SFM1-JJYN-B4GD-00000-00&amp;context=" TargetMode="External" /><Relationship Id="rId630" Type="http://schemas.openxmlformats.org/officeDocument/2006/relationships/hyperlink" Target="https://advance.lexis.com/api/document?collection=cases-ca&amp;id=urn:contentItem:5SKF-WS21-F4NT-X348-00000-00&amp;context=" TargetMode="External" /><Relationship Id="rId631" Type="http://schemas.openxmlformats.org/officeDocument/2006/relationships/hyperlink" Target="https://advance.lexis.com/api/document?collection=cases-ca&amp;id=urn:contentItem:5F8P-SDN1-FC6N-X4CR-00000-00&amp;context=" TargetMode="External" /><Relationship Id="rId632" Type="http://schemas.openxmlformats.org/officeDocument/2006/relationships/hyperlink" Target="https://advance.lexis.com/api/document?collection=cases-ca&amp;id=urn:contentItem:5F7T-S7C1-F7ND-G04C-00000-00&amp;context=" TargetMode="External" /><Relationship Id="rId633" Type="http://schemas.openxmlformats.org/officeDocument/2006/relationships/hyperlink" Target="https://advance.lexis.com/api/document?collection=cases-ca&amp;id=urn:contentItem:5F7T-S731-FG12-62C5-00000-00&amp;context=" TargetMode="External" /><Relationship Id="rId634" Type="http://schemas.openxmlformats.org/officeDocument/2006/relationships/hyperlink" Target="https://advance.lexis.com/api/document?collection=cases-ca&amp;id=urn:contentItem:5F8T-N3V1-JF75-M3W0-00000-00&amp;context=" TargetMode="External" /><Relationship Id="rId635" Type="http://schemas.openxmlformats.org/officeDocument/2006/relationships/hyperlink" Target="https://advance.lexis.com/api/document?collection=cases-ca&amp;id=urn:contentItem:5F7T-S721-F956-S1KV-00000-00&amp;context=" TargetMode="External" /><Relationship Id="rId636" Type="http://schemas.openxmlformats.org/officeDocument/2006/relationships/hyperlink" Target="https://advance.lexis.com/api/document?collection=cases-ca&amp;id=urn:contentItem:5F7T-S7F1-F7VM-S4CH-00000-00&amp;context=" TargetMode="External" /><Relationship Id="rId637" Type="http://schemas.openxmlformats.org/officeDocument/2006/relationships/hyperlink" Target="https://advance.lexis.com/api/document?collection=cases-ca&amp;id=urn:contentItem:5F8T-N3V1-JF75-M3VS-00000-00&amp;context=" TargetMode="External" /><Relationship Id="rId638" Type="http://schemas.openxmlformats.org/officeDocument/2006/relationships/hyperlink" Target="https://advance.lexis.com/api/document?collection=cases-ca&amp;id=urn:contentItem:5F81-VJV1-FC6N-X2M8-00000-00&amp;context=" TargetMode="External" /><Relationship Id="rId639" Type="http://schemas.openxmlformats.org/officeDocument/2006/relationships/hyperlink" Target="https://advance.lexis.com/api/document?collection=cases-ca&amp;id=urn:contentItem:5F8T-N3R1-JNS1-M0W6-00000-00&amp;context=" TargetMode="External" /><Relationship Id="rId64" Type="http://schemas.openxmlformats.org/officeDocument/2006/relationships/header" Target="header13.xml" /><Relationship Id="rId640" Type="http://schemas.openxmlformats.org/officeDocument/2006/relationships/hyperlink" Target="https://advance.lexis.com/api/document?collection=cases-ca&amp;id=urn:contentItem:5F8T-N3R1-JJSF-22G9-00000-00&amp;context=" TargetMode="External" /><Relationship Id="rId641" Type="http://schemas.openxmlformats.org/officeDocument/2006/relationships/header" Target="header115.xml" /><Relationship Id="rId642" Type="http://schemas.openxmlformats.org/officeDocument/2006/relationships/header" Target="header116.xml" /><Relationship Id="rId643" Type="http://schemas.openxmlformats.org/officeDocument/2006/relationships/footer" Target="footer115.xml" /><Relationship Id="rId644" Type="http://schemas.openxmlformats.org/officeDocument/2006/relationships/footer" Target="footer116.xml" /><Relationship Id="rId645" Type="http://schemas.openxmlformats.org/officeDocument/2006/relationships/header" Target="header117.xml" /><Relationship Id="rId646" Type="http://schemas.openxmlformats.org/officeDocument/2006/relationships/footer" Target="footer117.xml" /><Relationship Id="rId647" Type="http://schemas.openxmlformats.org/officeDocument/2006/relationships/hyperlink" Target="https://advance.lexis.com/api/document?collection=cases-ca&amp;id=urn:contentItem:5W25-5841-F27X-602D-00000-00&amp;context=" TargetMode="External" /><Relationship Id="rId648" Type="http://schemas.openxmlformats.org/officeDocument/2006/relationships/hyperlink" Target="https://advance.lexis.com/api/document?collection=cases-ca&amp;id=urn:contentItem:5P75-P261-FFTT-X4BM-00000-00&amp;context=" TargetMode="External" /><Relationship Id="rId649" Type="http://schemas.openxmlformats.org/officeDocument/2006/relationships/hyperlink" Target="https://advance.lexis.com/api/document?collection=cases-ca&amp;id=urn:contentItem:5TVF-DNY1-F4W2-6246-00000-00&amp;context=" TargetMode="External" /><Relationship Id="rId65" Type="http://schemas.openxmlformats.org/officeDocument/2006/relationships/header" Target="header14.xml" /><Relationship Id="rId650" Type="http://schemas.openxmlformats.org/officeDocument/2006/relationships/hyperlink" Target="https://advance.lexis.com/api/document?collection=cases-ca&amp;id=urn:contentItem:5F7T-S7G1-JNY7-X42B-00000-00&amp;context=" TargetMode="External" /><Relationship Id="rId651" Type="http://schemas.openxmlformats.org/officeDocument/2006/relationships/hyperlink" Target="https://advance.lexis.com/api/document?collection=cases-ca&amp;id=urn:contentItem:5NHR-M691-FH4C-X2C9-00000-00&amp;context=" TargetMode="External" /><Relationship Id="rId652" Type="http://schemas.openxmlformats.org/officeDocument/2006/relationships/hyperlink" Target="https://advance.lexis.com/api/document?collection=cases-ca&amp;id=urn:contentItem:5F7T-S7M1-JCRC-B1J7-00000-00&amp;context=" TargetMode="External" /><Relationship Id="rId653" Type="http://schemas.openxmlformats.org/officeDocument/2006/relationships/hyperlink" Target="https://advance.lexis.com/api/document?collection=cases-ca&amp;id=urn:contentItem:5FX0-KKR1-JCBX-S2K8-00000-00&amp;context=" TargetMode="External" /><Relationship Id="rId654" Type="http://schemas.openxmlformats.org/officeDocument/2006/relationships/hyperlink" Target="https://advance.lexis.com/api/document?collection=cases-ca&amp;id=urn:contentItem:5F7T-S7P1-JCRC-B24V-00000-00&amp;context=" TargetMode="External" /><Relationship Id="rId655" Type="http://schemas.openxmlformats.org/officeDocument/2006/relationships/hyperlink" Target="https://advance.lexis.com/api/document?collection=cases-ca&amp;id=urn:contentItem:5F7T-S7P1-JP4G-61WX-00000-00&amp;context=" TargetMode="External" /><Relationship Id="rId656" Type="http://schemas.openxmlformats.org/officeDocument/2006/relationships/hyperlink" Target="https://advance.lexis.com/api/document?collection=cases-ca&amp;id=urn:contentItem:5F7T-S701-JJYN-B2CY-00000-00&amp;context=" TargetMode="External" /><Relationship Id="rId657" Type="http://schemas.openxmlformats.org/officeDocument/2006/relationships/hyperlink" Target="https://advance.lexis.com/api/document?collection=cases-ca&amp;id=urn:contentItem:5F7T-S7N1-JC5P-G22W-00000-00&amp;context=" TargetMode="External" /><Relationship Id="rId658" Type="http://schemas.openxmlformats.org/officeDocument/2006/relationships/hyperlink" Target="https://advance.lexis.com/api/document?collection=cases-ca&amp;id=urn:contentItem:5F7T-S7P1-JCRC-B23D-00000-00&amp;context=" TargetMode="External" /><Relationship Id="rId659" Type="http://schemas.openxmlformats.org/officeDocument/2006/relationships/hyperlink" Target="https://advance.lexis.com/api/document?collection=cases-ca&amp;id=urn:contentItem:5TBC-4G11-F1P7-B2TS-00000-00&amp;context=" TargetMode="External" /><Relationship Id="rId66" Type="http://schemas.openxmlformats.org/officeDocument/2006/relationships/footer" Target="footer13.xml" /><Relationship Id="rId660" Type="http://schemas.openxmlformats.org/officeDocument/2006/relationships/hyperlink" Target="https://advance.lexis.com/api/document?collection=cases-ca&amp;id=urn:contentItem:5T3J-5D01-JXNB-64HC-00000-00&amp;context=" TargetMode="External" /><Relationship Id="rId661" Type="http://schemas.openxmlformats.org/officeDocument/2006/relationships/hyperlink" Target="https://advance.lexis.com/api/document?collection=cases-ca&amp;id=urn:contentItem:5PVF-9W91-JP4G-63NW-00000-00&amp;context=" TargetMode="External" /><Relationship Id="rId662" Type="http://schemas.openxmlformats.org/officeDocument/2006/relationships/hyperlink" Target="https://advance.lexis.com/api/document?collection=cases-ca&amp;id=urn:contentItem:5F7T-S761-JX8W-M2KK-00000-00&amp;context=" TargetMode="External" /><Relationship Id="rId663" Type="http://schemas.openxmlformats.org/officeDocument/2006/relationships/hyperlink" Target="https://advance.lexis.com/api/document?collection=cases-ca&amp;id=urn:contentItem:5GCC-XVC1-JSRM-60VB-00000-00&amp;context=" TargetMode="External" /><Relationship Id="rId664" Type="http://schemas.openxmlformats.org/officeDocument/2006/relationships/hyperlink" Target="https://advance.lexis.com/api/document?collection=cases-ca&amp;id=urn:contentItem:5F7T-S731-DY33-B0X4-00000-00&amp;context=" TargetMode="External" /><Relationship Id="rId665" Type="http://schemas.openxmlformats.org/officeDocument/2006/relationships/hyperlink" Target="https://advance.lexis.com/api/document?collection=cases-ca&amp;id=urn:contentItem:5M7G-Y311-JJ1H-X0NM-00000-00&amp;context=" TargetMode="External" /><Relationship Id="rId666" Type="http://schemas.openxmlformats.org/officeDocument/2006/relationships/header" Target="header118.xml" /><Relationship Id="rId667" Type="http://schemas.openxmlformats.org/officeDocument/2006/relationships/header" Target="header119.xml" /><Relationship Id="rId668" Type="http://schemas.openxmlformats.org/officeDocument/2006/relationships/footer" Target="footer118.xml" /><Relationship Id="rId669" Type="http://schemas.openxmlformats.org/officeDocument/2006/relationships/footer" Target="footer119.xml" /><Relationship Id="rId67" Type="http://schemas.openxmlformats.org/officeDocument/2006/relationships/footer" Target="footer14.xml" /><Relationship Id="rId670" Type="http://schemas.openxmlformats.org/officeDocument/2006/relationships/header" Target="header120.xml" /><Relationship Id="rId671" Type="http://schemas.openxmlformats.org/officeDocument/2006/relationships/footer" Target="footer120.xml" /><Relationship Id="rId672" Type="http://schemas.openxmlformats.org/officeDocument/2006/relationships/hyperlink" Target="https://advance.lexis.com/api/document?collection=cases-ca&amp;id=urn:contentItem:5WT1-XTC1-JF1Y-B0CS-00000-00&amp;context=" TargetMode="External" /><Relationship Id="rId673" Type="http://schemas.openxmlformats.org/officeDocument/2006/relationships/hyperlink" Target="https://advance.lexis.com/api/document?collection=cases-ca&amp;id=urn:contentItem:5F8T-N3T1-JJSF-2339-00000-00&amp;context=" TargetMode="External" /><Relationship Id="rId674" Type="http://schemas.openxmlformats.org/officeDocument/2006/relationships/hyperlink" Target="https://advance.lexis.com/api/document?collection=cases-ca&amp;id=urn:contentItem:5F7T-S7K1-F1H1-21XX-00000-00&amp;context=" TargetMode="External" /><Relationship Id="rId675" Type="http://schemas.openxmlformats.org/officeDocument/2006/relationships/hyperlink" Target="https://advance.lexis.com/api/document?collection=cases-ca&amp;id=urn:contentItem:5F7T-S6X1-K0BB-S0GH-00000-00&amp;context=" TargetMode="External" /><Relationship Id="rId676" Type="http://schemas.openxmlformats.org/officeDocument/2006/relationships/hyperlink" Target="https://advance.lexis.com/api/document?collection=cases-ca&amp;id=urn:contentItem:5J3K-3F91-DXPM-S2VY-00000-00&amp;context=" TargetMode="External" /><Relationship Id="rId677" Type="http://schemas.openxmlformats.org/officeDocument/2006/relationships/hyperlink" Target="https://advance.lexis.com/api/document?collection=cases-ca&amp;id=urn:contentItem:5F8T-N3V1-JTGH-B1FW-00000-00&amp;context=" TargetMode="External" /><Relationship Id="rId678" Type="http://schemas.openxmlformats.org/officeDocument/2006/relationships/hyperlink" Target="https://advance.lexis.com/api/document?collection=cases-ca&amp;id=urn:contentItem:5SKG-24W1-F2TK-21W2-00000-00&amp;context=" TargetMode="External" /><Relationship Id="rId679" Type="http://schemas.openxmlformats.org/officeDocument/2006/relationships/hyperlink" Target="https://advance.lexis.com/api/document?collection=cases-ca&amp;id=urn:contentItem:5R2T-NSK1-JNCK-20M8-00000-00&amp;context=" TargetMode="External" /><Relationship Id="rId68" Type="http://schemas.openxmlformats.org/officeDocument/2006/relationships/header" Target="header15.xml" /><Relationship Id="rId680" Type="http://schemas.openxmlformats.org/officeDocument/2006/relationships/hyperlink" Target="https://advance.lexis.com/api/document?collection=cases-ca&amp;id=urn:contentItem:5JB0-48F1-FG68-G0W0-00000-00&amp;context=" TargetMode="External" /><Relationship Id="rId681" Type="http://schemas.openxmlformats.org/officeDocument/2006/relationships/hyperlink" Target="https://advance.lexis.com/api/document?collection=cases-ca&amp;id=urn:contentItem:5F8T-N3T1-JJSF-23G2-00000-00&amp;context=" TargetMode="External" /><Relationship Id="rId682" Type="http://schemas.openxmlformats.org/officeDocument/2006/relationships/hyperlink" Target="https://advance.lexis.com/api/document?collection=cases-ca&amp;id=urn:contentItem:5F8T-N3V1-JTGH-B12Y-00000-00&amp;context=" TargetMode="External" /><Relationship Id="rId683" Type="http://schemas.openxmlformats.org/officeDocument/2006/relationships/hyperlink" Target="https://advance.lexis.com/api/document?collection=cases-ca&amp;id=urn:contentItem:5F8T-N3T1-JFKM-6530-00000-00&amp;context=" TargetMode="External" /><Relationship Id="rId684" Type="http://schemas.openxmlformats.org/officeDocument/2006/relationships/hyperlink" Target="https://advance.lexis.com/api/document?collection=legislation-ca&amp;id=urn:contentItem:5VYK-WB61-JJD0-G4F1-00000-00&amp;context=" TargetMode="External" /><Relationship Id="rId685" Type="http://schemas.openxmlformats.org/officeDocument/2006/relationships/hyperlink" Target="https://advance.lexis.com/api/document?collection=legislation-ca&amp;id=urn:contentItem:5VYK-WB01-JJSF-220V-00000-00&amp;context=" TargetMode="External" /><Relationship Id="rId686" Type="http://schemas.openxmlformats.org/officeDocument/2006/relationships/hyperlink" Target="https://advance.lexis.com/api/document?collection=cases-ca&amp;id=urn:contentItem:5F8T-N3V1-JTGH-B1BH-00000-00&amp;context=" TargetMode="External" /><Relationship Id="rId687" Type="http://schemas.openxmlformats.org/officeDocument/2006/relationships/header" Target="header121.xml" /><Relationship Id="rId688" Type="http://schemas.openxmlformats.org/officeDocument/2006/relationships/header" Target="header122.xml" /><Relationship Id="rId689" Type="http://schemas.openxmlformats.org/officeDocument/2006/relationships/footer" Target="footer121.xml" /><Relationship Id="rId69" Type="http://schemas.openxmlformats.org/officeDocument/2006/relationships/footer" Target="footer15.xml" /><Relationship Id="rId690" Type="http://schemas.openxmlformats.org/officeDocument/2006/relationships/footer" Target="footer122.xml" /><Relationship Id="rId691" Type="http://schemas.openxmlformats.org/officeDocument/2006/relationships/header" Target="header123.xml" /><Relationship Id="rId692" Type="http://schemas.openxmlformats.org/officeDocument/2006/relationships/footer" Target="footer123.xml" /><Relationship Id="rId693" Type="http://schemas.openxmlformats.org/officeDocument/2006/relationships/hyperlink" Target="https://advance.lexis.com/api/document?collection=cases-ca&amp;id=urn:contentItem:5G74-D9V1-F2TK-22G5-00000-00&amp;context=" TargetMode="External" /><Relationship Id="rId694" Type="http://schemas.openxmlformats.org/officeDocument/2006/relationships/hyperlink" Target="https://advance.lexis.com/api/document?collection=cases-ca&amp;id=urn:contentItem:5F7T-S701-F8KH-X1HK-00000-00&amp;context=" TargetMode="External" /><Relationship Id="rId695" Type="http://schemas.openxmlformats.org/officeDocument/2006/relationships/hyperlink" Target="https://advance.lexis.com/api/document?collection=cases-ca&amp;id=urn:contentItem:5F7T-S7H1-JG02-S379-00000-00&amp;context=" TargetMode="External" /><Relationship Id="rId696" Type="http://schemas.openxmlformats.org/officeDocument/2006/relationships/hyperlink" Target="https://advance.lexis.com/api/document?collection=cases-ca&amp;id=urn:contentItem:5F81-VJV1-FC6N-X2FC-00000-00&amp;context=" TargetMode="External" /><Relationship Id="rId697" Type="http://schemas.openxmlformats.org/officeDocument/2006/relationships/hyperlink" Target="https://advance.lexis.com/api/document?collection=cases-ca&amp;id=urn:contentItem:5F7T-S751-F361-M195-00000-00&amp;context=" TargetMode="External" /><Relationship Id="rId698" Type="http://schemas.openxmlformats.org/officeDocument/2006/relationships/hyperlink" Target="https://advance.lexis.com/api/document?collection=cases-ca&amp;id=urn:contentItem:5F81-VJV1-JSC5-M1G1-00000-00&amp;context=" TargetMode="External" /><Relationship Id="rId699" Type="http://schemas.openxmlformats.org/officeDocument/2006/relationships/hyperlink" Target="https://advance.lexis.com/api/document?collection=cases-ca&amp;id=urn:contentItem:5F8N-K711-FH4C-X130-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XNS-GRH1-JJYN-B3R2-00000-00&amp;context=" TargetMode="External" /><Relationship Id="rId700" Type="http://schemas.openxmlformats.org/officeDocument/2006/relationships/hyperlink" Target="https://advance.lexis.com/api/document?collection=cases-ca&amp;id=urn:contentItem:5F8P-SBW1-F900-G23J-00000-00&amp;context=" TargetMode="External" /><Relationship Id="rId701" Type="http://schemas.openxmlformats.org/officeDocument/2006/relationships/hyperlink" Target="https://advance.lexis.com/api/document?collection=cases-ca&amp;id=urn:contentItem:5F8N-K6Y1-JJK6-S3SR-00000-00&amp;context=" TargetMode="External" /><Relationship Id="rId702" Type="http://schemas.openxmlformats.org/officeDocument/2006/relationships/header" Target="header124.xml" /><Relationship Id="rId703" Type="http://schemas.openxmlformats.org/officeDocument/2006/relationships/header" Target="header125.xml" /><Relationship Id="rId704" Type="http://schemas.openxmlformats.org/officeDocument/2006/relationships/footer" Target="footer124.xml" /><Relationship Id="rId705" Type="http://schemas.openxmlformats.org/officeDocument/2006/relationships/footer" Target="footer125.xml" /><Relationship Id="rId706" Type="http://schemas.openxmlformats.org/officeDocument/2006/relationships/header" Target="header126.xml" /><Relationship Id="rId707" Type="http://schemas.openxmlformats.org/officeDocument/2006/relationships/footer" Target="footer126.xml" /><Relationship Id="rId708" Type="http://schemas.openxmlformats.org/officeDocument/2006/relationships/hyperlink" Target="https://advance.lexis.com/api/document?collection=cases-ca&amp;id=urn:contentItem:5YJX-VVH1-DY33-B07S-00000-00&amp;context=" TargetMode="External" /><Relationship Id="rId709" Type="http://schemas.openxmlformats.org/officeDocument/2006/relationships/hyperlink" Target="https://advance.lexis.com/api/document?collection=cases-ca&amp;id=urn:contentItem:5F7T-S761-JS5Y-B1SD-00000-00&amp;context=" TargetMode="External" /><Relationship Id="rId71" Type="http://schemas.openxmlformats.org/officeDocument/2006/relationships/hyperlink" Target="https://advance.lexis.com/api/document?collection=cases-ca&amp;id=urn:contentItem:5SJD-51G1-F016-S1Y7-00000-00&amp;context=" TargetMode="External" /><Relationship Id="rId710" Type="http://schemas.openxmlformats.org/officeDocument/2006/relationships/hyperlink" Target="https://advance.lexis.com/api/document?collection=cases-ca&amp;id=urn:contentItem:5F7T-S7P1-JNJT-B2PP-00000-00&amp;context=" TargetMode="External" /><Relationship Id="rId711" Type="http://schemas.openxmlformats.org/officeDocument/2006/relationships/hyperlink" Target="https://advance.lexis.com/api/document?collection=cases-ca&amp;id=urn:contentItem:5F7T-S7N1-JGHR-M318-00000-00&amp;context=" TargetMode="External" /><Relationship Id="rId712" Type="http://schemas.openxmlformats.org/officeDocument/2006/relationships/hyperlink" Target="https://advance.lexis.com/api/document?collection=cases-ca&amp;id=urn:contentItem:5F7T-S7M1-JNCK-22HM-00000-00&amp;context=" TargetMode="External" /><Relationship Id="rId713" Type="http://schemas.openxmlformats.org/officeDocument/2006/relationships/hyperlink" Target="https://advance.lexis.com/api/document?collection=cases-ca&amp;id=urn:contentItem:5S2J-PSY1-FG68-G2GN-00000-00&amp;context=" TargetMode="External" /><Relationship Id="rId714" Type="http://schemas.openxmlformats.org/officeDocument/2006/relationships/hyperlink" Target="https://advance.lexis.com/api/document?collection=cases-ca&amp;id=urn:contentItem:5F7T-S711-F5KY-B158-00000-00&amp;context=" TargetMode="External" /><Relationship Id="rId715" Type="http://schemas.openxmlformats.org/officeDocument/2006/relationships/header" Target="header127.xml" /><Relationship Id="rId716" Type="http://schemas.openxmlformats.org/officeDocument/2006/relationships/header" Target="header128.xml" /><Relationship Id="rId717" Type="http://schemas.openxmlformats.org/officeDocument/2006/relationships/footer" Target="footer127.xml" /><Relationship Id="rId718" Type="http://schemas.openxmlformats.org/officeDocument/2006/relationships/footer" Target="footer128.xml" /><Relationship Id="rId719" Type="http://schemas.openxmlformats.org/officeDocument/2006/relationships/header" Target="header129.xml" /><Relationship Id="rId72" Type="http://schemas.openxmlformats.org/officeDocument/2006/relationships/hyperlink" Target="https://advance.lexis.com/api/document?collection=cases-ca&amp;id=urn:contentItem:5F7T-S7F1-FBN1-21WG-00000-00&amp;context=" TargetMode="External" /><Relationship Id="rId720" Type="http://schemas.openxmlformats.org/officeDocument/2006/relationships/footer" Target="footer129.xml" /><Relationship Id="rId721" Type="http://schemas.openxmlformats.org/officeDocument/2006/relationships/hyperlink" Target="https://advance.lexis.com/api/document?collection=cases-ca&amp;id=urn:contentItem:5XGF-8F11-JBT7-X37R-00000-00&amp;context=" TargetMode="External" /><Relationship Id="rId722" Type="http://schemas.openxmlformats.org/officeDocument/2006/relationships/hyperlink" Target="https://advance.lexis.com/api/document?collection=cases-ca&amp;id=urn:contentItem:5F7T-S7M1-JJK6-S1KF-00000-00&amp;context=" TargetMode="External" /><Relationship Id="rId723" Type="http://schemas.openxmlformats.org/officeDocument/2006/relationships/hyperlink" Target="https://advance.lexis.com/api/document?collection=cases-ca&amp;id=urn:contentItem:5GCC-XVB1-JGHR-M4MC-00000-00&amp;context=" TargetMode="External" /><Relationship Id="rId724" Type="http://schemas.openxmlformats.org/officeDocument/2006/relationships/hyperlink" Target="https://advance.lexis.com/api/document?collection=cases-ca&amp;id=urn:contentItem:5H3D-T8W1-JT99-208G-00000-00&amp;context=" TargetMode="External" /><Relationship Id="rId725" Type="http://schemas.openxmlformats.org/officeDocument/2006/relationships/hyperlink" Target="https://advance.lexis.com/api/document?collection=cases-ca&amp;id=urn:contentItem:5F7T-S7B1-FH4C-X381-00000-00&amp;context=" TargetMode="External" /><Relationship Id="rId726" Type="http://schemas.openxmlformats.org/officeDocument/2006/relationships/hyperlink" Target="https://advance.lexis.com/api/document?collection=cases-ca&amp;id=urn:contentItem:5F7T-S7N1-JC5P-G2DS-00000-00&amp;context=" TargetMode="External" /><Relationship Id="rId727" Type="http://schemas.openxmlformats.org/officeDocument/2006/relationships/header" Target="header130.xml" /><Relationship Id="rId728" Type="http://schemas.openxmlformats.org/officeDocument/2006/relationships/header" Target="header131.xml" /><Relationship Id="rId729" Type="http://schemas.openxmlformats.org/officeDocument/2006/relationships/footer" Target="footer130.xml" /><Relationship Id="rId73" Type="http://schemas.openxmlformats.org/officeDocument/2006/relationships/hyperlink" Target="https://advance.lexis.com/api/document?collection=cases-ca&amp;id=urn:contentItem:5F8T-N3V1-JTGH-B153-00000-00&amp;context=" TargetMode="External" /><Relationship Id="rId730" Type="http://schemas.openxmlformats.org/officeDocument/2006/relationships/footer" Target="footer131.xml" /><Relationship Id="rId731" Type="http://schemas.openxmlformats.org/officeDocument/2006/relationships/header" Target="header132.xml" /><Relationship Id="rId732" Type="http://schemas.openxmlformats.org/officeDocument/2006/relationships/footer" Target="footer132.xml" /><Relationship Id="rId733" Type="http://schemas.openxmlformats.org/officeDocument/2006/relationships/hyperlink" Target="https://advance.lexis.com/api/document?collection=cases-ca&amp;id=urn:contentItem:5G9F-PW81-F2F4-G0M4-00000-00&amp;context=" TargetMode="External" /><Relationship Id="rId734" Type="http://schemas.openxmlformats.org/officeDocument/2006/relationships/hyperlink" Target="https://advance.lexis.com/api/document?collection=cases-ca&amp;id=urn:contentItem:5F7T-S7F1-JFKM-61VX-00000-00&amp;context=" TargetMode="External" /><Relationship Id="rId735" Type="http://schemas.openxmlformats.org/officeDocument/2006/relationships/hyperlink" Target="https://advance.lexis.com/api/document?collection=cases-ca&amp;id=urn:contentItem:5F8T-N3V1-FH4C-X1XK-00000-00&amp;context=" TargetMode="External" /><Relationship Id="rId736" Type="http://schemas.openxmlformats.org/officeDocument/2006/relationships/hyperlink" Target="https://advance.lexis.com/api/document?collection=cases-ca&amp;id=urn:contentItem:5F7T-S7H1-F016-S463-00000-00&amp;context=" TargetMode="External" /><Relationship Id="rId737" Type="http://schemas.openxmlformats.org/officeDocument/2006/relationships/hyperlink" Target="https://advance.lexis.com/api/document?collection=cases-ca&amp;id=urn:contentItem:5F7H-KW91-JPGX-S27C-00000-00&amp;context=" TargetMode="External" /><Relationship Id="rId738" Type="http://schemas.openxmlformats.org/officeDocument/2006/relationships/hyperlink" Target="https://advance.lexis.com/api/document?collection=cases-ca&amp;id=urn:contentItem:5F8P-SCK1-FGJR-249P-00000-00&amp;context=" TargetMode="External" /><Relationship Id="rId739" Type="http://schemas.openxmlformats.org/officeDocument/2006/relationships/hyperlink" Target="https://advance.lexis.com/api/document?collection=cases-ca&amp;id=urn:contentItem:5F7T-S7C1-F7ND-G040-00000-00&amp;context=" TargetMode="External" /><Relationship Id="rId74" Type="http://schemas.openxmlformats.org/officeDocument/2006/relationships/hyperlink" Target="https://advance.lexis.com/api/document?collection=cases-ca&amp;id=urn:contentItem:5F7T-S7H1-F016-S44K-00000-00&amp;context=" TargetMode="External" /><Relationship Id="rId740" Type="http://schemas.openxmlformats.org/officeDocument/2006/relationships/hyperlink" Target="https://advance.lexis.com/api/document?collection=cases-ca&amp;id=urn:contentItem:5F8T-N3V1-FC1F-M4DM-00000-00&amp;context=" TargetMode="External" /><Relationship Id="rId741" Type="http://schemas.openxmlformats.org/officeDocument/2006/relationships/hyperlink" Target="https://advance.lexis.com/api/document?collection=cases-ca&amp;id=urn:contentItem:5F8T-N3T1-JFKM-654F-00000-00&amp;context=" TargetMode="External" /><Relationship Id="rId742" Type="http://schemas.openxmlformats.org/officeDocument/2006/relationships/header" Target="header133.xml" /><Relationship Id="rId743" Type="http://schemas.openxmlformats.org/officeDocument/2006/relationships/header" Target="header134.xml" /><Relationship Id="rId744" Type="http://schemas.openxmlformats.org/officeDocument/2006/relationships/footer" Target="footer133.xml" /><Relationship Id="rId745" Type="http://schemas.openxmlformats.org/officeDocument/2006/relationships/footer" Target="footer134.xml" /><Relationship Id="rId746" Type="http://schemas.openxmlformats.org/officeDocument/2006/relationships/header" Target="header135.xml" /><Relationship Id="rId747" Type="http://schemas.openxmlformats.org/officeDocument/2006/relationships/footer" Target="footer135.xml" /><Relationship Id="rId748" Type="http://schemas.openxmlformats.org/officeDocument/2006/relationships/hyperlink" Target="https://advance.lexis.com/api/document?collection=cases-ca&amp;id=urn:contentItem:5X64-2YP1-FJDY-X0D2-00000-00&amp;context=" TargetMode="External" /><Relationship Id="rId749" Type="http://schemas.openxmlformats.org/officeDocument/2006/relationships/hyperlink" Target="https://advance.lexis.com/api/document?collection=cases-ca&amp;id=urn:contentItem:5F8T-N3V1-JF75-M3WJ-00000-00&amp;context=" TargetMode="External" /><Relationship Id="rId75" Type="http://schemas.openxmlformats.org/officeDocument/2006/relationships/hyperlink" Target="https://advance.lexis.com/api/document?collection=cases-ca&amp;id=urn:contentItem:5JVG-2XS1-JN14-G1JY-00000-00&amp;context=" TargetMode="External" /><Relationship Id="rId750" Type="http://schemas.openxmlformats.org/officeDocument/2006/relationships/hyperlink" Target="https://advance.lexis.com/api/document?collection=cases-ca&amp;id=urn:contentItem:5N24-5XB1-FGY5-M10V-00000-00&amp;context=" TargetMode="External" /><Relationship Id="rId751" Type="http://schemas.openxmlformats.org/officeDocument/2006/relationships/hyperlink" Target="https://advance.lexis.com/api/document?collection=cases-ca&amp;id=urn:contentItem:5JB0-48F1-FG68-G0W3-00000-00&amp;context=" TargetMode="External" /><Relationship Id="rId752" Type="http://schemas.openxmlformats.org/officeDocument/2006/relationships/hyperlink" Target="https://advance.lexis.com/api/document?collection=cases-ca&amp;id=urn:contentItem:5TJS-PYN1-JS0R-22F6-00000-00&amp;context=" TargetMode="External" /><Relationship Id="rId753" Type="http://schemas.openxmlformats.org/officeDocument/2006/relationships/hyperlink" Target="https://advance.lexis.com/api/document?collection=cases-ca&amp;id=urn:contentItem:5F7T-S7D1-JN6B-S188-00000-00&amp;context=" TargetMode="External" /><Relationship Id="rId754" Type="http://schemas.openxmlformats.org/officeDocument/2006/relationships/hyperlink" Target="https://advance.lexis.com/api/document?collection=cases-ca&amp;id=urn:contentItem:5VRC-45N1-JSXV-G0X3-00000-00&amp;context=" TargetMode="External" /><Relationship Id="rId755" Type="http://schemas.openxmlformats.org/officeDocument/2006/relationships/hyperlink" Target="https://advance.lexis.com/api/document?collection=cases-ca&amp;id=urn:contentItem:5F7T-S6Y1-F81W-21BG-00000-00&amp;context=" TargetMode="External" /><Relationship Id="rId756" Type="http://schemas.openxmlformats.org/officeDocument/2006/relationships/hyperlink" Target="https://advance.lexis.com/api/document?collection=cases-ca&amp;id=urn:contentItem:5F7T-S7F1-FBN1-21C2-00000-00&amp;context=" TargetMode="External" /><Relationship Id="rId757" Type="http://schemas.openxmlformats.org/officeDocument/2006/relationships/hyperlink" Target="https://advance.lexis.com/api/document?collection=cases-ca&amp;id=urn:contentItem:5F8T-N3V1-FH4C-X1XY-00000-00&amp;context=" TargetMode="External" /><Relationship Id="rId758" Type="http://schemas.openxmlformats.org/officeDocument/2006/relationships/hyperlink" Target="https://advance.lexis.com/api/document?collection=cases-ca&amp;id=urn:contentItem:5G7T-4HT1-JF75-M001-00000-00&amp;context=" TargetMode="External" /><Relationship Id="rId759" Type="http://schemas.openxmlformats.org/officeDocument/2006/relationships/header" Target="header136.xml" /><Relationship Id="rId76" Type="http://schemas.openxmlformats.org/officeDocument/2006/relationships/hyperlink" Target="https://advance.lexis.com/api/document?collection=cases-ca&amp;id=urn:contentItem:5F7T-S7C1-JSRM-60TP-00000-00&amp;context=" TargetMode="External" /><Relationship Id="rId760" Type="http://schemas.openxmlformats.org/officeDocument/2006/relationships/header" Target="header137.xml" /><Relationship Id="rId761" Type="http://schemas.openxmlformats.org/officeDocument/2006/relationships/footer" Target="footer136.xml" /><Relationship Id="rId762" Type="http://schemas.openxmlformats.org/officeDocument/2006/relationships/footer" Target="footer137.xml" /><Relationship Id="rId763" Type="http://schemas.openxmlformats.org/officeDocument/2006/relationships/header" Target="header138.xml" /><Relationship Id="rId764" Type="http://schemas.openxmlformats.org/officeDocument/2006/relationships/footer" Target="footer138.xml" /><Relationship Id="rId765" Type="http://schemas.openxmlformats.org/officeDocument/2006/relationships/hyperlink" Target="https://advance.lexis.com/api/document?collection=cases-ca&amp;id=urn:contentItem:5WX1-B7V1-JWR6-S3MB-00000-00&amp;context=" TargetMode="External" /><Relationship Id="rId766" Type="http://schemas.openxmlformats.org/officeDocument/2006/relationships/hyperlink" Target="https://advance.lexis.com/api/document?collection=cases-ca&amp;id=urn:contentItem:5WC3-G9C1-K0HK-24XP-00000-00&amp;context=" TargetMode="External" /><Relationship Id="rId767" Type="http://schemas.openxmlformats.org/officeDocument/2006/relationships/hyperlink" Target="https://advance.lexis.com/api/document?collection=cases-ca&amp;id=urn:contentItem:5H7P-6RS1-JGBH-B275-00000-00&amp;context=" TargetMode="External" /><Relationship Id="rId768" Type="http://schemas.openxmlformats.org/officeDocument/2006/relationships/hyperlink" Target="https://advance.lexis.com/api/document?collection=cases-ca&amp;id=urn:contentItem:5J1W-BKB1-F1P7-B4WC-00000-00&amp;context=" TargetMode="External" /><Relationship Id="rId769" Type="http://schemas.openxmlformats.org/officeDocument/2006/relationships/hyperlink" Target="https://advance.lexis.com/api/document?collection=cases-ca&amp;id=urn:contentItem:5F7T-S781-F27X-616N-00000-00&amp;context=" TargetMode="External" /><Relationship Id="rId77" Type="http://schemas.openxmlformats.org/officeDocument/2006/relationships/hyperlink" Target="https://advance.lexis.com/api/document?collection=cases-ca&amp;id=urn:contentItem:5VN2-23P1-DY89-M2PK-00000-00&amp;context=" TargetMode="External" /><Relationship Id="rId770" Type="http://schemas.openxmlformats.org/officeDocument/2006/relationships/hyperlink" Target="https://advance.lexis.com/api/document?collection=cases-ca&amp;id=urn:contentItem:5WCY-8S11-FFMK-M08J-00000-00&amp;context=" TargetMode="External" /><Relationship Id="rId771" Type="http://schemas.openxmlformats.org/officeDocument/2006/relationships/hyperlink" Target="https://advance.lexis.com/api/document?collection=cases-ca&amp;id=urn:contentItem:5F7T-S7K1-JSJC-X15T-00000-00&amp;context=" TargetMode="External" /><Relationship Id="rId772" Type="http://schemas.openxmlformats.org/officeDocument/2006/relationships/hyperlink" Target="https://advance.lexis.com/api/document?collection=cases-ca&amp;id=urn:contentItem:5F7T-S7C1-JCJ5-20GV-00000-00&amp;context=" TargetMode="External" /><Relationship Id="rId773" Type="http://schemas.openxmlformats.org/officeDocument/2006/relationships/hyperlink" Target="https://advance.lexis.com/api/document?collection=cases-ca&amp;id=urn:contentItem:5F7T-S751-JX3N-B0P1-00000-00&amp;context=" TargetMode="External" /><Relationship Id="rId774" Type="http://schemas.openxmlformats.org/officeDocument/2006/relationships/hyperlink" Target="https://advance.lexis.com/api/document?collection=cases-ca&amp;id=urn:contentItem:5F7T-S761-JCBX-S0ND-00000-00&amp;context=" TargetMode="External" /><Relationship Id="rId775" Type="http://schemas.openxmlformats.org/officeDocument/2006/relationships/hyperlink" Target="https://advance.lexis.com/api/document?collection=cases-ca&amp;id=urn:contentItem:5F7T-S721-F4NT-X2S1-00000-00&amp;context=" TargetMode="External" /><Relationship Id="rId776" Type="http://schemas.openxmlformats.org/officeDocument/2006/relationships/hyperlink" Target="https://advance.lexis.com/api/document?collection=cases-ca&amp;id=urn:contentItem:5F7T-S721-FG12-61V0-00000-00&amp;context=" TargetMode="External" /><Relationship Id="rId777" Type="http://schemas.openxmlformats.org/officeDocument/2006/relationships/hyperlink" Target="https://advance.lexis.com/api/document?collection=cases-ca&amp;id=urn:contentItem:5F7T-S6Y1-F65M-60C3-00000-00&amp;context=" TargetMode="External" /><Relationship Id="rId778" Type="http://schemas.openxmlformats.org/officeDocument/2006/relationships/hyperlink" Target="https://advance.lexis.com/api/document?collection=cases-ca&amp;id=urn:contentItem:5F7T-S701-JJYN-B2W8-00000-00&amp;context=" TargetMode="External" /><Relationship Id="rId779" Type="http://schemas.openxmlformats.org/officeDocument/2006/relationships/hyperlink" Target="https://advance.lexis.com/api/document?collection=cases-ca&amp;id=urn:contentItem:5F7T-S741-F2F4-G21V-00000-00&amp;context=" TargetMode="External" /><Relationship Id="rId78" Type="http://schemas.openxmlformats.org/officeDocument/2006/relationships/hyperlink" Target="https://advance.lexis.com/api/document?collection=cases-ca&amp;id=urn:contentItem:5NH3-PSK1-JCJ5-216V-00000-00&amp;context=" TargetMode="External" /><Relationship Id="rId780" Type="http://schemas.openxmlformats.org/officeDocument/2006/relationships/header" Target="header139.xml" /><Relationship Id="rId781" Type="http://schemas.openxmlformats.org/officeDocument/2006/relationships/header" Target="header140.xml" /><Relationship Id="rId782" Type="http://schemas.openxmlformats.org/officeDocument/2006/relationships/footer" Target="footer139.xml" /><Relationship Id="rId783" Type="http://schemas.openxmlformats.org/officeDocument/2006/relationships/footer" Target="footer140.xml" /><Relationship Id="rId784" Type="http://schemas.openxmlformats.org/officeDocument/2006/relationships/header" Target="header141.xml" /><Relationship Id="rId785" Type="http://schemas.openxmlformats.org/officeDocument/2006/relationships/footer" Target="footer141.xml" /><Relationship Id="rId786" Type="http://schemas.openxmlformats.org/officeDocument/2006/relationships/hyperlink" Target="https://advance.lexis.com/api/document?collection=cases-ca&amp;id=urn:contentItem:5F7T-S7K1-JSJC-X0YM-00000-00&amp;context=" TargetMode="External" /><Relationship Id="rId787" Type="http://schemas.openxmlformats.org/officeDocument/2006/relationships/hyperlink" Target="https://advance.lexis.com/api/document?collection=cases-ca&amp;id=urn:contentItem:5F7T-S6X1-K0BB-S0PF-00000-00&amp;context=" TargetMode="External" /><Relationship Id="rId788" Type="http://schemas.openxmlformats.org/officeDocument/2006/relationships/hyperlink" Target="https://advance.lexis.com/api/document?collection=cases-ca&amp;id=urn:contentItem:5F7T-S7F1-FBN1-21SS-00000-00&amp;context=" TargetMode="External" /><Relationship Id="rId789" Type="http://schemas.openxmlformats.org/officeDocument/2006/relationships/hyperlink" Target="https://advance.lexis.com/api/document?collection=cases-ca&amp;id=urn:contentItem:5F7T-S7H1-FCSB-S3N1-00000-00&amp;context=" TargetMode="External" /><Relationship Id="rId79" Type="http://schemas.openxmlformats.org/officeDocument/2006/relationships/hyperlink" Target="https://advance.lexis.com/api/document?collection=cases-ca&amp;id=urn:contentItem:5MCR-RDN1-JBDT-B2K7-00000-00&amp;context=" TargetMode="External" /><Relationship Id="rId790" Type="http://schemas.openxmlformats.org/officeDocument/2006/relationships/header" Target="header142.xml" /><Relationship Id="rId791" Type="http://schemas.openxmlformats.org/officeDocument/2006/relationships/header" Target="header143.xml" /><Relationship Id="rId792" Type="http://schemas.openxmlformats.org/officeDocument/2006/relationships/footer" Target="footer142.xml" /><Relationship Id="rId793" Type="http://schemas.openxmlformats.org/officeDocument/2006/relationships/footer" Target="footer143.xml" /><Relationship Id="rId794" Type="http://schemas.openxmlformats.org/officeDocument/2006/relationships/header" Target="header144.xml" /><Relationship Id="rId795" Type="http://schemas.openxmlformats.org/officeDocument/2006/relationships/footer" Target="footer144.xml" /><Relationship Id="rId796" Type="http://schemas.openxmlformats.org/officeDocument/2006/relationships/hyperlink" Target="https://advance.lexis.com/api/document?collection=cases-ca&amp;id=urn:contentItem:5TGV-PHG1-JB7K-22M7-00000-00&amp;context=" TargetMode="External" /><Relationship Id="rId797" Type="http://schemas.openxmlformats.org/officeDocument/2006/relationships/hyperlink" Target="https://advance.lexis.com/api/document?collection=cases-ca&amp;id=urn:contentItem:5F7T-S7C1-JCJ5-20BB-00000-00&amp;context=" TargetMode="External" /><Relationship Id="rId798" Type="http://schemas.openxmlformats.org/officeDocument/2006/relationships/hyperlink" Target="https://advance.lexis.com/api/document?collection=cases-ca&amp;id=urn:contentItem:5F7H-KW81-F1WF-M077-00000-00&amp;context=" TargetMode="External" /><Relationship Id="rId799" Type="http://schemas.openxmlformats.org/officeDocument/2006/relationships/hyperlink" Target="https://advance.lexis.com/api/document?collection=cases-ca&amp;id=urn:contentItem:5F8T-N3V1-FH4C-X24P-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P1-JBDT-B0VT-00000-00&amp;context=" TargetMode="External" /><Relationship Id="rId800" Type="http://schemas.openxmlformats.org/officeDocument/2006/relationships/hyperlink" Target="https://advance.lexis.com/api/document?collection=cases-ca&amp;id=urn:contentItem:5JH9-BW81-F22N-X47T-00000-00&amp;context=" TargetMode="External" /><Relationship Id="rId801" Type="http://schemas.openxmlformats.org/officeDocument/2006/relationships/header" Target="header145.xml" /><Relationship Id="rId802" Type="http://schemas.openxmlformats.org/officeDocument/2006/relationships/header" Target="header146.xml" /><Relationship Id="rId803" Type="http://schemas.openxmlformats.org/officeDocument/2006/relationships/footer" Target="footer145.xml" /><Relationship Id="rId804" Type="http://schemas.openxmlformats.org/officeDocument/2006/relationships/footer" Target="footer146.xml" /><Relationship Id="rId805" Type="http://schemas.openxmlformats.org/officeDocument/2006/relationships/header" Target="header147.xml" /><Relationship Id="rId806" Type="http://schemas.openxmlformats.org/officeDocument/2006/relationships/footer" Target="footer147.xml" /><Relationship Id="rId807" Type="http://schemas.openxmlformats.org/officeDocument/2006/relationships/hyperlink" Target="https://advance.lexis.com/api/document?collection=cases-ca&amp;id=urn:contentItem:5F7T-S7H1-FCSB-S3W9-00000-00&amp;context=" TargetMode="External" /><Relationship Id="rId808" Type="http://schemas.openxmlformats.org/officeDocument/2006/relationships/hyperlink" Target="https://advance.lexis.com/api/document?collection=cases-ca&amp;id=urn:contentItem:5F7T-S6X1-F7ND-G3JB-00000-00&amp;context=" TargetMode="External" /><Relationship Id="rId809" Type="http://schemas.openxmlformats.org/officeDocument/2006/relationships/hyperlink" Target="https://advance.lexis.com/api/document?collection=cases-ca&amp;id=urn:contentItem:5F7T-S761-F81W-2254-00000-00&amp;context=" TargetMode="External" /><Relationship Id="rId81" Type="http://schemas.openxmlformats.org/officeDocument/2006/relationships/hyperlink" Target="https://advance.lexis.com/api/document?collection=cases-ca&amp;id=urn:contentItem:5K0Y-G9P1-DYMS-61NK-00000-00&amp;context=" TargetMode="External" /><Relationship Id="rId810" Type="http://schemas.openxmlformats.org/officeDocument/2006/relationships/hyperlink" Target="https://advance.lexis.com/api/document?collection=cases-ca&amp;id=urn:contentItem:5F7T-S6X1-JTNR-M3S5-00000-00&amp;context=" TargetMode="External" /><Relationship Id="rId811" Type="http://schemas.openxmlformats.org/officeDocument/2006/relationships/header" Target="header148.xml" /><Relationship Id="rId812" Type="http://schemas.openxmlformats.org/officeDocument/2006/relationships/header" Target="header149.xml" /><Relationship Id="rId813" Type="http://schemas.openxmlformats.org/officeDocument/2006/relationships/footer" Target="footer148.xml" /><Relationship Id="rId814" Type="http://schemas.openxmlformats.org/officeDocument/2006/relationships/footer" Target="footer149.xml" /><Relationship Id="rId815" Type="http://schemas.openxmlformats.org/officeDocument/2006/relationships/header" Target="header150.xml" /><Relationship Id="rId816" Type="http://schemas.openxmlformats.org/officeDocument/2006/relationships/footer" Target="footer150.xml" /><Relationship Id="rId817" Type="http://schemas.openxmlformats.org/officeDocument/2006/relationships/hyperlink" Target="https://advance.lexis.com/api/document?collection=cases-ca&amp;id=urn:contentItem:5TWR-3431-JKB3-X2D7-00000-00&amp;context=" TargetMode="External" /><Relationship Id="rId818" Type="http://schemas.openxmlformats.org/officeDocument/2006/relationships/hyperlink" Target="https://advance.lexis.com/api/document?collection=cases-ca&amp;id=urn:contentItem:5F7T-S7H1-JFKM-627B-00000-00&amp;context=" TargetMode="External" /><Relationship Id="rId819" Type="http://schemas.openxmlformats.org/officeDocument/2006/relationships/hyperlink" Target="https://advance.lexis.com/api/document?collection=cases-ca&amp;id=urn:contentItem:5F7T-S7H1-JS5Y-B33H-00000-00&amp;context=" TargetMode="External" /><Relationship Id="rId82" Type="http://schemas.openxmlformats.org/officeDocument/2006/relationships/hyperlink" Target="https://advance.lexis.com/api/document?collection=cases-ca&amp;id=urn:contentItem:5M13-K1S1-JKHB-644X-00000-00&amp;context=" TargetMode="External" /><Relationship Id="rId820" Type="http://schemas.openxmlformats.org/officeDocument/2006/relationships/hyperlink" Target="https://advance.lexis.com/api/document?collection=cases-ca&amp;id=urn:contentItem:5F7T-XR01-JCBX-S2GJ-00000-00&amp;context=" TargetMode="External" /><Relationship Id="rId821" Type="http://schemas.openxmlformats.org/officeDocument/2006/relationships/hyperlink" Target="https://advance.lexis.com/api/document?collection=legislation-ca&amp;id=urn:contentItem:5VYC-W1N1-FD4T-B08D-00000-00&amp;context=" TargetMode="External" /><Relationship Id="rId822" Type="http://schemas.openxmlformats.org/officeDocument/2006/relationships/hyperlink" Target="https://advance.lexis.com/api/document?collection=cases-ca&amp;id=urn:contentItem:5F7T-S6X1-K0BB-S0BG-00000-00&amp;context=" TargetMode="External" /><Relationship Id="rId823" Type="http://schemas.openxmlformats.org/officeDocument/2006/relationships/hyperlink" Target="https://advance.lexis.com/api/document?collection=cases-ca&amp;id=urn:contentItem:5F7T-S751-FJDY-X3RN-00000-00&amp;context=" TargetMode="External" /><Relationship Id="rId824" Type="http://schemas.openxmlformats.org/officeDocument/2006/relationships/hyperlink" Target="https://advance.lexis.com/api/document?collection=cases-ca&amp;id=urn:contentItem:5F7T-S741-F528-G2FD-00000-00&amp;context=" TargetMode="External" /><Relationship Id="rId825" Type="http://schemas.openxmlformats.org/officeDocument/2006/relationships/hyperlink" Target="https://advance.lexis.com/api/document?collection=cases-ca&amp;id=urn:contentItem:5F7T-S771-JSJC-X04S-00000-00&amp;context=" TargetMode="External" /><Relationship Id="rId826" Type="http://schemas.openxmlformats.org/officeDocument/2006/relationships/hyperlink" Target="https://advance.lexis.com/api/document?collection=cases-ca&amp;id=urn:contentItem:5H01-8H81-JB7K-226Y-00000-00&amp;context=" TargetMode="External" /><Relationship Id="rId827" Type="http://schemas.openxmlformats.org/officeDocument/2006/relationships/hyperlink" Target="https://advance.lexis.com/api/document?collection=cases-ca&amp;id=urn:contentItem:5F7T-S771-F2TK-22YF-00000-00&amp;context=" TargetMode="External" /><Relationship Id="rId828" Type="http://schemas.openxmlformats.org/officeDocument/2006/relationships/hyperlink" Target="https://advance.lexis.com/api/document?collection=cases-ca&amp;id=urn:contentItem:5F7T-S7D1-JXG3-X175-00000-00&amp;context=" TargetMode="External" /><Relationship Id="rId829" Type="http://schemas.openxmlformats.org/officeDocument/2006/relationships/hyperlink" Target="https://advance.lexis.com/api/document?collection=cases-ca&amp;id=urn:contentItem:5F7T-S7K1-DY33-B1KR-00000-00&amp;context=" TargetMode="External" /><Relationship Id="rId83" Type="http://schemas.openxmlformats.org/officeDocument/2006/relationships/hyperlink" Target="https://advance.lexis.com/api/document?collection=cases-ca&amp;id=urn:contentItem:5F7T-S7N1-F06F-24PD-00000-00&amp;context=" TargetMode="External" /><Relationship Id="rId830" Type="http://schemas.openxmlformats.org/officeDocument/2006/relationships/hyperlink" Target="https://advance.lexis.com/api/document?collection=cases-ca&amp;id=urn:contentItem:5GCC-XVB1-JSXV-G0CX-00000-00&amp;context=" TargetMode="External" /><Relationship Id="rId831" Type="http://schemas.openxmlformats.org/officeDocument/2006/relationships/hyperlink" Target="https://advance.lexis.com/api/document?collection=cases-ca&amp;id=urn:contentItem:5F7T-S6T1-DY89-M2YK-00000-00&amp;context=" TargetMode="External" /><Relationship Id="rId832" Type="http://schemas.openxmlformats.org/officeDocument/2006/relationships/hyperlink" Target="https://advance.lexis.com/api/document?collection=cases-ca&amp;id=urn:contentItem:5F7T-S7M1-F4W2-61YM-00000-00&amp;context=" TargetMode="External" /><Relationship Id="rId833" Type="http://schemas.openxmlformats.org/officeDocument/2006/relationships/hyperlink" Target="https://advance.lexis.com/api/document?collection=cases-ca&amp;id=urn:contentItem:5F7T-S7M1-JFSV-G3NX-00000-00&amp;context=" TargetMode="External" /><Relationship Id="rId834" Type="http://schemas.openxmlformats.org/officeDocument/2006/relationships/hyperlink" Target="https://advance.lexis.com/api/document?collection=cases-ca&amp;id=urn:contentItem:5G8K-Y431-JWR6-S2D8-00000-00&amp;context=" TargetMode="External" /><Relationship Id="rId835" Type="http://schemas.openxmlformats.org/officeDocument/2006/relationships/hyperlink" Target="https://advance.lexis.com/api/document?collection=cases-ca&amp;id=urn:contentItem:5F7T-S7N1-JC5P-G1WX-00000-00&amp;context=" TargetMode="External" /><Relationship Id="rId836" Type="http://schemas.openxmlformats.org/officeDocument/2006/relationships/hyperlink" Target="https://advance.lexis.com/api/document?collection=cases-ca&amp;id=urn:contentItem:5F7T-S7C1-F4NT-X2YG-00000-00&amp;context=" TargetMode="External" /><Relationship Id="rId837" Type="http://schemas.openxmlformats.org/officeDocument/2006/relationships/hyperlink" Target="https://advance.lexis.com/api/document?collection=cases-ca&amp;id=urn:contentItem:5F7T-S7M1-JNCK-22NY-00000-00&amp;context=" TargetMode="External" /><Relationship Id="rId838" Type="http://schemas.openxmlformats.org/officeDocument/2006/relationships/hyperlink" Target="https://advance.lexis.com/api/document?collection=cases-ca&amp;id=urn:contentItem:5F7T-S7K1-DY33-B1FW-00000-00&amp;context=" TargetMode="External" /><Relationship Id="rId839" Type="http://schemas.openxmlformats.org/officeDocument/2006/relationships/hyperlink" Target="https://advance.lexis.com/api/document?collection=cases-ca&amp;id=urn:contentItem:5F7T-S7H1-JS5Y-B341-00000-00&amp;context=" TargetMode="External" /><Relationship Id="rId84" Type="http://schemas.openxmlformats.org/officeDocument/2006/relationships/hyperlink" Target="https://advance.lexis.com/api/document?collection=cases-ca&amp;id=urn:contentItem:5F7T-S7K1-DY33-B1KS-00000-00&amp;context=" TargetMode="External" /><Relationship Id="rId840" Type="http://schemas.openxmlformats.org/officeDocument/2006/relationships/hyperlink" Target="https://advance.lexis.com/api/document?collection=cases-ca&amp;id=urn:contentItem:5F7T-S7M1-JPP5-22RG-00000-00&amp;context=" TargetMode="External" /><Relationship Id="rId841" Type="http://schemas.openxmlformats.org/officeDocument/2006/relationships/hyperlink" Target="https://advance.lexis.com/api/document?collection=cases-ca&amp;id=urn:contentItem:5F7T-S6T1-F528-G0WW-00000-00&amp;context=" TargetMode="External" /><Relationship Id="rId842" Type="http://schemas.openxmlformats.org/officeDocument/2006/relationships/hyperlink" Target="https://advance.lexis.com/api/document?collection=cases-ca&amp;id=urn:contentItem:5F8N-K751-F22N-X248-00000-00&amp;context=" TargetMode="External" /><Relationship Id="rId843" Type="http://schemas.openxmlformats.org/officeDocument/2006/relationships/hyperlink" Target="https://advance.lexis.com/api/document?collection=cases-ca&amp;id=urn:contentItem:5F8N-K751-F016-S4NJ-00000-00&amp;context=" TargetMode="External" /><Relationship Id="rId844" Type="http://schemas.openxmlformats.org/officeDocument/2006/relationships/hyperlink" Target="https://advance.lexis.com/api/document?collection=cases-ca&amp;id=urn:contentItem:5F7T-S7G1-F5KY-B1V4-00000-00&amp;context=" TargetMode="External" /><Relationship Id="rId845" Type="http://schemas.openxmlformats.org/officeDocument/2006/relationships/numbering" Target="numbering.xml" /><Relationship Id="rId846" Type="http://schemas.openxmlformats.org/officeDocument/2006/relationships/styles" Target="styles.xml" /><Relationship Id="rId85" Type="http://schemas.openxmlformats.org/officeDocument/2006/relationships/hyperlink" Target="https://advance.lexis.com/api/document?collection=cases-ca&amp;id=urn:contentItem:5F7T-S7N1-F57G-S262-00000-00&amp;context=" TargetMode="External" /><Relationship Id="rId86" Type="http://schemas.openxmlformats.org/officeDocument/2006/relationships/hyperlink" Target="https://advance.lexis.com/api/document?collection=cases-ca&amp;id=urn:contentItem:5F7T-S7D1-FBFS-S1M7-00000-00&amp;context=" TargetMode="External" /><Relationship Id="rId87" Type="http://schemas.openxmlformats.org/officeDocument/2006/relationships/hyperlink" Target="https://advance.lexis.com/api/document?collection=cases-ca&amp;id=urn:contentItem:5F7T-S7D1-JN6B-S131-00000-00&amp;context=" TargetMode="External" /><Relationship Id="rId88" Type="http://schemas.openxmlformats.org/officeDocument/2006/relationships/hyperlink" Target="https://advance.lexis.com/api/document?collection=cases-ca&amp;id=urn:contentItem:5J17-BK31-F5T5-M244-00000-00&amp;context=" TargetMode="External" /><Relationship Id="rId89" Type="http://schemas.openxmlformats.org/officeDocument/2006/relationships/hyperlink" Target="https://advance.lexis.com/api/document?collection=cases-ca&amp;id=urn:contentItem:5F8T-N3V1-JF75-M3S6-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B1-F7ND-G50F-00000-00&amp;context=" TargetMode="External" /><Relationship Id="rId91" Type="http://schemas.openxmlformats.org/officeDocument/2006/relationships/hyperlink" Target="https://advance.lexis.com/api/document?collection=cases-ca&amp;id=urn:contentItem:5F7T-S7D1-DY89-M463-00000-00&amp;context=" TargetMode="External" /><Relationship Id="rId92" Type="http://schemas.openxmlformats.org/officeDocument/2006/relationships/hyperlink" Target="https://advance.lexis.com/api/document?collection=cases-ca&amp;id=urn:contentItem:5F7T-S7P1-JP4G-61YC-00000-00&amp;context=" TargetMode="External" /><Relationship Id="rId93" Type="http://schemas.openxmlformats.org/officeDocument/2006/relationships/hyperlink" Target="https://advance.lexis.com/api/document?collection=cases-ca&amp;id=urn:contentItem:5F8T-N3V1-JTGH-B0YB-00000-00&amp;context=" TargetMode="External" /><Relationship Id="rId94" Type="http://schemas.openxmlformats.org/officeDocument/2006/relationships/hyperlink" Target="https://advance.lexis.com/api/document?collection=cases-ca&amp;id=urn:contentItem:5F7T-S7B1-F7ND-G4YK-00000-00&amp;context=" TargetMode="External" /><Relationship Id="rId95" Type="http://schemas.openxmlformats.org/officeDocument/2006/relationships/hyperlink" Target="https://advance.lexis.com/api/document?collection=cases-ca&amp;id=urn:contentItem:5F7T-S7H1-F016-S3X8-00000-00&amp;context=" TargetMode="External" /><Relationship Id="rId96" Type="http://schemas.openxmlformats.org/officeDocument/2006/relationships/hyperlink" Target="https://advance.lexis.com/api/document?collection=cases-ca&amp;id=urn:contentItem:5F7T-S7D1-F7ND-G0MH-00000-00&amp;context=" TargetMode="External" /><Relationship Id="rId97" Type="http://schemas.openxmlformats.org/officeDocument/2006/relationships/hyperlink" Target="https://advance.lexis.com/api/document?collection=cases-ca&amp;id=urn:contentItem:5F7T-S741-FJM6-61DM-00000-00&amp;context=" TargetMode="External" /><Relationship Id="rId98" Type="http://schemas.openxmlformats.org/officeDocument/2006/relationships/hyperlink" Target="https://advance.lexis.com/api/document?collection=cases-ca&amp;id=urn:contentItem:5J0C-MF51-JSXV-G2N2-00000-00&amp;context=" TargetMode="External" /><Relationship Id="rId99" Type="http://schemas.openxmlformats.org/officeDocument/2006/relationships/hyperlink" Target="https://advance.lexis.com/api/document?collection=cases-ca&amp;id=urn:contentItem:5F82-1SH1-F8KH-X1YH-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MOBE Ltd. v. Loudoun, [2017] B.C.J. No. 2901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115053311</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