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Aiken (Guardian ad litem of) v. Van Dyk, [2001] B.C.J. No. 1751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100 Mile House and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30, 31 and August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100 Mile House Registry No. 93 1973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Lake Registry No. 97-11230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Lake Registry New File Nos. 99-12562, 99-12562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B.C.L.R. (3d)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M.V.R. (4th) 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204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Samantha Quinn Aiken, an infant by her Guardian ad litem, Laurel-Lee Aiken and the said Laurel-Lee Aiken, plaintiffs, and Symon Van Dyk, defendant, and Gregory Randall Aiken, third party (100 Mile House Registry No. 93 1973) (Williams Lake Registry New File No. 99-12562) And between Samantha Quinn Aiken, an infant by her Guardian ad litem, Laurel-Lee Aiken and the said Laurel-Lee Aiken, plaintiffs, and Gregory Randall Aiken, defendant (Williams Lake Registry No. 97-11230) (Williams Lake Registry New File No. 99-12562)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P.D. Messner, Q.C., for the plaintiffs. J.A. Horne, Q.C., for Symon Van Dyk. Gregory Randall Aiken acted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POWERS J."/>
            <w:bookmarkEnd w:id="2"/>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Samantha Quinn Aiken, was born March 21, 1991. She was between 13 and 14 months old on May 4, 1992, when she was run over by the front wheel of a garbage truck in front of her home. This is the second time the issue of liability has been tried. Two proceedings are being tried together: one in which Samantha an infant by her Guardian Ad Litem, her mother Laurel-Lee Aiken, and her mother Lauren-Lee Aiken are the plaintiffs, and Symon Van Dyk, the driver of the garbage truck, is the defendant, and her father Gregory Randall Aiken is a third party; the second proceeding involves Samantha and her mother as plaintiffs and her father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Samantha's home is at a 108 Mile Ranch subdivision with her parents and her older sister who was approximately five years of age at the time of the accident. This is a residential area with lots of young families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home is located on a cul-de-sac. On the morning of May 4, 1992, Samantha's mother was at work and her father was doing some yard work. Samantha's older sister and a five-year-old friend were playing in the front yard. Samantha was also in the front yard. The friend's mother, Leslie Kim Dickie, was visiting relatives in a home on the other side of the cul-de-sac.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May 4, 1992, was a Monday and the day on which garbage was generally picked up in the neighbourhood. Mr. Aiken had been doing some spring-cleaning and had more garbage than usual, including a large wooden bin on wheels. The bin and the garbage were placed at the foot of the driveway on the right side, if one is facing the house. This is approximately 70 feet from the front of the house. The garbage truck arrived to pick up the garbage and pulled into the cul-de-sac stopping with the back portion of the truck across the driveway near the garbage. The truck did not enter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Aiken and the children had been in the front yard for approximately 15 or 20 minutes by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of the witnesses, Ms. Dickie, unfortunately has died since the first trial. However, a transcript of her evidence given at the first trial was available and by agreement has been admitted and marked as an exhibit in this trial. Her evidence is that she heard the garbage truck arrive and was concerned about where her daughter was at the time and therefore looked out of the front window across the cul-de-sac to the Aiken home. The home she was visiting is approximately 108 feet from the cul-de-sac and the cul-de-sac is approximately 38 feet wide between the two driveways of these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Dickie recalled seeing her daughter and Samantha's sister in the front yard with Mr. Aiken. She recalled seeing Mr. Aiken holding Samantha in his arms. Mr. Aiken's recollection is that he may have carried Samantha out of the home when they first exited the home, but at the time the garbage truck arrived he was no longer carrying Samantha, but she was in the front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garbage truck was being driven by Mr. Van Dyk, who is also the owner of the truck. He operates the truck under contract to the Cariboo Regional District and had completed one four-year contract with them and was in his second four-year contract. He was familiar with the area and picked up garbage from approximately 600 to 625 places each Monday. He was being assisted that day by a "swamper", Mr. Larry Bahry. Mr. Bahry, approximately 11/2 years previously, had worked on a number of occasions for Mr. Van Dyk but at this time had just recommenced working for him. He was a casual employee who would be called to see if he wished to work on a particular Monday. Mr. Bahry could work as he chose and Mr. Van Dyk had a list of other people who could work for him as swamper if necessary. The swamper was paid a flat rate of $50 per day, although on a couple of occasions he had been paid extra money if the job took longer than normal. His job was to ride on the back of the truck and at each stop dump the garbage into the back of the truck and operate the compactor. Mr. Van Dyk's job was to drive the truck. The job was not complicated and did not require any tools or special instructions. Mr. Van Dyk argued that Mr. Bahry was not an employee, suggesting that perhaps he was an independent contractor himself. There is no merit to that argument and I find that he was an employee of Mr. Van Dyk's.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Van Dyk does not remember seeing anybody in the yard when the truck first arrived. He did notice the large quantity of garbage and got out to assist Mr. Bahry. At that time he did see Mr. Aiken and the two older children, but did not see the child Samantha. He had a brief discussion with Mr. Aiken and Mr. Aiken assisted Mr. Bahry in loading the garbage. Normally a stop takes 20 to 30 seconds, but given the quantity of garbage in this case, I am satisfied it took a little longer. No specific evidence was given as to the exact length of the stop. Mr. Van Dyk said he watched the garbage being loaded as he stood at the left rear of the truck. He said Mr. Aiken gathered up the bin and that he himself went back to the truck. He noted Mr. Bahry walk away from the truck on the left side towards the neighbours for the next pickup. Mr. Van Dyk said that while in the truck he saw Mr. Aiken and the two older children going up the driveway. His intention was to back up and then proceed around the cul-de-sac. He said that he looked through the windows and checked the mirrors, placed the vehicle in reverse and released the brake. He had just begun to back up and when checking his mirrors saw Mr. Bahry in the right hand mirror throwing up his arms. He immediately stopped. He had not seen Mr. Bahry give any other signal before this. He said he had backed the truck up approximately six or seven feet at that time. His evidence is that he did not pull the truck forward before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Bahry indicated that when the truck arrived at the cul-de-sac, he did see the garbage in the front of the Aiken residence and saw Mr. Aiken and initially two children in the yard. He then saw the third child Samantha. He recalls Mr. Aiken and the children being in the driveway and Mr. Aiken helping him to dump the bin into the garbage truck. When the garbage was loaded, he remembers Mr. Aiken walking up the driveway and Mr. Bahry saw the two children walking with him. He did not see Samantha, who he described as a toddler, and assumed that she was with or in front of Mr. Aiken. The last time he had seen Samantha, she was to the left side of the driveway approximately 20 to 25 feet up the driveway. He went to check for garbage at the neighbour's and then got up onto the back of the right rear of the truck. He said he looked approximately 45 degrees off to the right side of the truck and had seen Mr. Aiken and that he looked down the side of the truck and did not see anybody. He gave Mr. Van Dyk a hand signal and assumed Mr. Van Dyk had seen it because the truck began to back up. At approximately that moment, as the truck began to back up, he saw Mr. Aiken waving his arms and looked and saw what he thought was a child's hand sticking up from under the front tire. He immediately signaled Mr. Van Dyk and the truck came to a stop. His evidence was that the truck had backed three or four feet, maybe five feet. He does not recall the truck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he got back on the truck he began operating the compactor. His evidence is that the compactor does not operate unless the button or switch is held down. This compactor operates independently from the truck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Dickie's evidence was that after she had initially seen the garbage truck arrive, she continued assisting her relatives and returned to the window when she heard what she described as "a bunch of noise". In an earlier statement she indicated that the noise was a backup beeper, but the truck was not equipped with a beeper and she conceded that she had simply assumed that is what it was and now assumed it was the compactor which she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Dickie's evidence was that when she looked across the cul-de-sac she could see under the truck and could see Samantha's legs running towards the front of the truck. Ms. Dickie said she saw Samantha run directly in front of the right-hand corner of the truck, in front of the tire. She remembers the truck rolling forward as Samantha was getting close to the truck and that she was knocked down to a sitting position and the tire went on top of her and she went forward. Ms. Dickie described Samantha's movement as running fast. She remembered the truck moving two or three feet very slowly. She does remember Mr. Aiken removing Samantha from under the wheel after the truck backed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Aiken recalls being in the front yard with all three children. He was going to be doing some yard work and acknowledges that he was also supervising or watching the children. His evidence is that they were in the yard in front of the house, which is to the right of the driveway as you are facing the house. He said that Samantha was near him at that time. The front of the driveway to the back of the house is approximately 100 feet. The garbage is normally kept at the back of the house. He said that he did have a discussion with Mr. Bahry or Mr. Van Dyk but could not remember which, and then assisted in loading the garbage. He recalls all three children being in the front yard and behind him. There are some small trees in the yard near the driveway, but nothing to obscure a person's vision of the front yard. He said that after the garbage was dumped he took the bin to the back of the house. He said Samantha had moved to the left-hand side of the driveway but was no closer to the truck. In the first trial he estimated she was 20 to 30 feet from the truck, but he said that he has since done an actual measurement and believed she was 60 feet from the truck. He did not believe she was in any immediate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some discussion about what his understanding was about whether the truck could move while the garbage was being compacted. His evidence was that he did not think the truck could move while the compactor was operating, but he did not specifically think about that while he was returning the bin to the back of the house. Nothing really turns on this because he does acknowledge that he had no idea when the truck might move again, although he certainly knew it was going to move. His evidence is that after he returned the bin he began walking down the driveway and saw Samantha near the front of the truck and getting too close. He says that he yelled at the swamper but the compactor was going and was very loud. His evidence is that as Samantha got closer to the truck, the truck moved forward, and that she was bumped by something and run over. He was running and yelling and waving his arms. He said the front bumper hit her, knocking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Aiken's evidence is that when he saw Samantha near the truck, she was 10 or 15 feet from the front of it and realized that she was in danger. He had not expected her to move from where he had last seen her. His impression was that the truck rolled forward. He did not disagree with Ms. Dickie's estimate that it moved forward two to three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front right wheel of the truck was probably just off the pavement at the time it struck Samantha. Mr. Bahry remembers the wheels being turned towards the left, and if the truck were backed up with the wheels in that position, the front of the truck would swing slightly towards the right, and the gravel beside the paved portion of the cul-de-sac.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Van Dyk agrees that there are a number of blind spots on the truck that would prevent the driver from seeing somebody in those particular spots. For instance, from the front of the truck, which is described as a snub-nosed truck, the blind spot extends approximately seven feet before a 28-inch tall person would be visible. To the right side, the blind spot extends out approximately ten feet. In addition to that, the side mirrors and the doorposts would also obstruct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Van Dyk and Mr. Bahry did not have any specific signals that they made to each other when operating the truck other than hand signals for going forward or backward. Mr. Van Dyk had told Mr. Bahry, and Mr. Bahry knew, that there were a number of children in the area and that they had to be alert to the presence of those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Understandably there are differences in each of the witness's recollection of how events unfolded in excess of nine years ago. Everyone wishes this accident had not occurred. Mr. Aiken deals with the fact that Samantha walks with a limp and has difficulty participating in sports and this causes him daily concern. Mr. Van Dyk was so distressed by the accident that although he finished his rounds that day, he had to hire somebody else to drive his truck for approximately the next five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issue before me is the liability of Mr. Aiken and Mr. Van Dyk for the damages suffered by Samantha. The Court of Appeal, after the first trial, ordered that there be a new trial of both of these actions tried together and the evidence adduced in one proceeding be evidence in the other. The original claim against Mr. Van Dyk arose out of his operation of the truck itself and the manner in which he operated it. However subsequent to the appeal, the statement of claim was amended to include a claim that Mr. Bahry was negligent and that Mr. Van Dyk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Bahry who was his employee. The third party claim against Mr. Aiken by Mr. Van Dyk is that Mr. Aiken is liable to contribute or indemnify Mr. Van Dyk for any claims made against Mr. Van Dyk on the basis that Mr. Aiken failed to properly supervise or safeguard Samantha.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proceeding in which Mr. Aiken is the defendant, the allegation is that he failed to properly supervise or safeguard Samantha in these circumstances and that this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contributing and leading to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one suggests that Samantha is in any way responsible for what happened to her. She was less than 14 months old and could not be expected to have appreciated the danger that the garbage truck represented or any warnings that might have been given to her by anybody. Samantha had been walking for just about a month and is described as a toddler, not quite as steady on her feet as the older two children. Mr. Aiken agreed that it is necessary to watch small children and that they do the strangest things at the most unexpected times. This is something that Mr. Van Dyk and Mr. Bahry were aware of as well and why Mr. Van Dyk had discussed with Mr. Bahry the need to keep an eye out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AIKEN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Aiken as Samantha's father was responsible for supervising her on the day in question. He was aware of her ability to walk and in fact from the time the garbage truck arrived when she was on the right side of the driveway until he was returning the bin to the back of the house, he was aware that she had moved to the left side of the driveway or into the grassy area on the left side of the driveway. He would certainly be aware that the garbage truck could present a danger to Samantha if she came too close to the truck. He recalled her being approximately 60 feet away from the truck when he was returning the bin to the back of the house. When he returned, his evidence is that she was within 10 to 12 feet of the front of the truck and moving towards it. His evidence was that he did not expect her to move. I am sure Mr. Aiken would do anything he could to change or correct this momentary lapse of attention or error in judgment. However his primary concern should have been with Samantha, especially while the garbage truck was present. He was certainly aware that the truck would be moving at any moment, having completed the task of picking up his garbage. It was not reckless or willful on his part but it was an error in judgment that in the circumstances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a result I must find that he is liable for the injuries suffered by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VAN DYK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argues that Mr. Van Dyk is liable in this case whether his truck moved forward or backward and that his liability arises either from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that of his employee Mr. Bahry. In the written closing remarks counsel for the plaintiff states the questions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Van Dyk take the extra care in reversing his truck as demanded by s. 193 of the Motor Vehicle 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cause the vehicle to move backwards into an intersection or over a crosswalk, and must not in any event or at any place cause a vehicle to move backwards unless the movement can be made in safety.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Van Dyke take the extra care in moving the truck in either direction in the presence of child pedestrians as demanded by s. 181(a)(b) and (c) of said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180A a driver of a vehicle must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Bahry negligent to any degree for his part in this accident occurring?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Van Dyk vicariously liable on the basis of respondeat superior for the actions or lack of action on the part of Mr. Bahry?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Black's Law Dictionary, 6th Edition, p. 1311 explains this doctrine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doctrine or maxim means that a master is liable in certain cases for the wrongful acts of his servant, and a principal for those of his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doctrine an employer is liable for injury to person or property of another proximately resulting from acts of employee done within scope of his employment in the employer's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Van Dyk did not see Samantha nor was he aware of her presence until after the accident. The plaintiff argues that she was there to be seen, that Mr. Bahry, Ms. Dickie, and Mr. Aiken were all aware of her presence and that Mr. Van Dyk should have been as well. In any event, the plaintiff says that Mr. Van Dyk was aware of the other two children being present and aware the children were in the area, and therefore should have been alerted to the potential dangers and use more caution than he did when he put the truck into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argued that because Mr. Van Dyk should have been alerted to the potential danger to children who were present, that simply because Samantha may have been in one of his blind spots or an area where his vision was blocked because of the design of the truck, this does not limit his liability. The plaintiff argues that on this occasion the truck was stopped for a longer period than normal and that Mr. Van Dyk should have walked around the truck to make sure there were no children present before he placed the truck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referred to Dao (Guardian Ad Litem of) v. Sabatino </w:t>
      </w:r>
      <w:hyperlink r:id="rId11" w:history="1">
        <w:r>
          <w:rPr>
            <w:rFonts w:ascii="arial" w:eastAsia="arial" w:hAnsi="arial" w:cs="arial"/>
            <w:i/>
            <w:color w:val="0077CC"/>
            <w:sz w:val="20"/>
            <w:u w:val="single"/>
            <w:shd w:val="clear" w:color="auto" w:fill="FFFFFF"/>
            <w:lang w:val="en-US" w:eastAsia="en-US" w:bidi="ar-SA"/>
          </w:rPr>
          <w:t>(1996) 24 B.C.L.R. (3d) 29</w:t>
        </w:r>
      </w:hyperlink>
      <w:r>
        <w:rPr>
          <w:rFonts w:ascii="arial" w:eastAsia="arial" w:hAnsi="arial" w:cs="arial"/>
          <w:color w:val="000000"/>
          <w:sz w:val="20"/>
          <w:lang w:val="en-US" w:eastAsia="en-US" w:bidi="ar-SA"/>
        </w:rPr>
        <w:t xml:space="preserve"> (C.A.). In that case a driver was found 50% liable for injuries caused to a six-year-old child crossing at an uncontrolled intersection. The child ran out from the front of a line of stopped vehicles into the lane in which the defendant was driving. The defendant did not have an opportunity to avoid the collision at the last moment, but the Court of Appeal said in the circumstances of traffic being stopped at the intersection near a school and a park, that the driver should have exercised more caution when approaching the intersection, that in failing to be alert to these circumstances, the driver was negligent. The plaintiff argues that Mr. Van Dyk would be negligent if he did not see what was there to be seen. (Harbour v. Nash, (1921) 60 D.L.R. 232; Sorenson v. Sidnick et al, </w:t>
      </w:r>
      <w:hyperlink r:id="rId12" w:history="1">
        <w:r>
          <w:rPr>
            <w:rFonts w:ascii="arial" w:eastAsia="arial" w:hAnsi="arial" w:cs="arial"/>
            <w:i/>
            <w:color w:val="0077CC"/>
            <w:sz w:val="20"/>
            <w:u w:val="single"/>
            <w:shd w:val="clear" w:color="auto" w:fill="FFFFFF"/>
            <w:lang w:val="en-US" w:eastAsia="en-US" w:bidi="ar-SA"/>
          </w:rPr>
          <w:t>[1987] B.C.J. No. 2367</w:t>
        </w:r>
      </w:hyperlink>
      <w:r>
        <w:rPr>
          <w:rFonts w:ascii="arial" w:eastAsia="arial" w:hAnsi="arial" w:cs="arial"/>
          <w:color w:val="000000"/>
          <w:sz w:val="20"/>
          <w:lang w:val="en-US" w:eastAsia="en-US" w:bidi="ar-SA"/>
        </w:rPr>
        <w:t xml:space="preserve">; Chan v. Blacklock, </w:t>
      </w:r>
      <w:hyperlink r:id="rId13" w:history="1">
        <w:r>
          <w:rPr>
            <w:rFonts w:ascii="arial" w:eastAsia="arial" w:hAnsi="arial" w:cs="arial"/>
            <w:i/>
            <w:color w:val="0077CC"/>
            <w:sz w:val="20"/>
            <w:u w:val="single"/>
            <w:shd w:val="clear" w:color="auto" w:fill="FFFFFF"/>
            <w:lang w:val="en-US" w:eastAsia="en-US" w:bidi="ar-SA"/>
          </w:rPr>
          <w:t>[1981] B.C.J. No. 996</w:t>
        </w:r>
      </w:hyperlink>
      <w:r>
        <w:rPr>
          <w:rFonts w:ascii="arial" w:eastAsia="arial" w:hAnsi="arial" w:cs="arial"/>
          <w:color w:val="000000"/>
          <w:sz w:val="20"/>
          <w:lang w:val="en-US" w:eastAsia="en-US" w:bidi="ar-SA"/>
        </w:rPr>
        <w:t xml:space="preserve"> (B.C.S.C.); Andrews et al v. Hamm, </w:t>
      </w:r>
      <w:hyperlink r:id="rId14" w:history="1">
        <w:r>
          <w:rPr>
            <w:rFonts w:ascii="arial" w:eastAsia="arial" w:hAnsi="arial" w:cs="arial"/>
            <w:i/>
            <w:color w:val="0077CC"/>
            <w:sz w:val="20"/>
            <w:u w:val="single"/>
            <w:shd w:val="clear" w:color="auto" w:fill="FFFFFF"/>
            <w:lang w:val="en-US" w:eastAsia="en-US" w:bidi="ar-SA"/>
          </w:rPr>
          <w:t>[1987] B.C.J. No. 1296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also argues that the presence of blind spots or other matters which obscure the driver's vision, such as setting sun, do not excuse a driver from failing to see something that is there to be seen. (Andrews et al v. Hamm, supra; Petijevich et al v. Law, </w:t>
      </w:r>
      <w:hyperlink r:id="rId15"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 D.L.R. (3d) 690</w:t>
        </w:r>
      </w:hyperlink>
      <w:r>
        <w:rPr>
          <w:rFonts w:ascii="arial" w:eastAsia="arial" w:hAnsi="arial" w:cs="arial"/>
          <w:color w:val="000000"/>
          <w:sz w:val="20"/>
          <w:lang w:val="en-US" w:eastAsia="en-US" w:bidi="ar-SA"/>
        </w:rPr>
        <w:t xml:space="preserve">; Morrison v. Pankratz et al, </w:t>
      </w:r>
      <w:hyperlink r:id="rId16" w:history="1">
        <w:r>
          <w:rPr>
            <w:rFonts w:ascii="arial" w:eastAsia="arial" w:hAnsi="arial" w:cs="arial"/>
            <w:i/>
            <w:color w:val="0077CC"/>
            <w:sz w:val="20"/>
            <w:u w:val="single"/>
            <w:shd w:val="clear" w:color="auto" w:fill="FFFFFF"/>
            <w:lang w:val="en-US" w:eastAsia="en-US" w:bidi="ar-SA"/>
          </w:rPr>
          <w:t>[1991] B.C.J. No. 3968</w:t>
        </w:r>
      </w:hyperlink>
      <w:r>
        <w:rPr>
          <w:rFonts w:ascii="arial" w:eastAsia="arial" w:hAnsi="arial" w:cs="arial"/>
          <w:color w:val="000000"/>
          <w:sz w:val="20"/>
          <w:lang w:val="en-US" w:eastAsia="en-US" w:bidi="ar-SA"/>
        </w:rPr>
        <w:t xml:space="preserve"> (B.C.S.C.); Williams (Guardian ad litem of) v. Yacub, </w:t>
      </w:r>
      <w:hyperlink r:id="rId17" w:history="1">
        <w:r>
          <w:rPr>
            <w:rFonts w:ascii="arial" w:eastAsia="arial" w:hAnsi="arial" w:cs="arial"/>
            <w:i/>
            <w:color w:val="0077CC"/>
            <w:sz w:val="20"/>
            <w:u w:val="single"/>
            <w:shd w:val="clear" w:color="auto" w:fill="FFFFFF"/>
            <w:lang w:val="en-US" w:eastAsia="en-US" w:bidi="ar-SA"/>
          </w:rPr>
          <w:t>(1996), 14 B.C.L.R. (3d) 291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Andrews v. Hamm the defendant had stopped his vehicle at a stop sign at an intersection and then proceeded. The sun was low, causing momentary blindness. The defendant did not see two school children that were crossing the street in front of him and struck them. The court found that he was aware that there were high school students in the area, that the corner was a short distance from the high school, and that he should have exercised more care in proceeding as he did. Petijevich v. Law is a similar case where the defendant driver said that a blind spot was caused by a flashing traffic light. The court found that the presence of a blind spot required the driver to exercise more caution when approaching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says that the Williams case is very similar to the present case. The accident in Williams occurred in a residential area where children were known to be present. The defendant driver was familiar with the area. He had stopped his vehicle, which was a van, in order to speak to his children. There were a number of other children in the area of various ages. The van was stationary for about three to five minutes. The defendant was aware that children played in the area and crossed the street frequently, and was aware that his vehicle had two blind spots including one in front of the vehicle. The three-year-old plaintiff had stopped in front of the van and the defendant was not aware of her presence. The defendant driver was found liable because he did not take the special precautions demanded when he was aware of the presence of children and their propensity to cross the street. In the Williams case there was more than the mere presence of children and that all of the circumstances demanded more caution than the driver took. The test cited from O'Brien Mrakic, </w:t>
      </w:r>
      <w:hyperlink r:id="rId18" w:history="1">
        <w:r>
          <w:rPr>
            <w:rFonts w:ascii="arial" w:eastAsia="arial" w:hAnsi="arial" w:cs="arial"/>
            <w:i/>
            <w:color w:val="0077CC"/>
            <w:sz w:val="20"/>
            <w:u w:val="single"/>
            <w:shd w:val="clear" w:color="auto" w:fill="FFFFFF"/>
            <w:lang w:val="en-US" w:eastAsia="en-US" w:bidi="ar-SA"/>
          </w:rPr>
          <w:t>[1984] B.C.J. No. 1864</w:t>
        </w:r>
      </w:hyperlink>
      <w:r>
        <w:rPr>
          <w:rFonts w:ascii="arial" w:eastAsia="arial" w:hAnsi="arial" w:cs="arial"/>
          <w:color w:val="000000"/>
          <w:sz w:val="20"/>
          <w:lang w:val="en-US" w:eastAsia="en-US" w:bidi="ar-SA"/>
        </w:rPr>
        <w:t>, (B.C.C.A.)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...knowing that the actions of children are unpredictable, a driver has a duty to take reasonable precautions for the safety of a child on or near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that Mr. Van Dyk could have used his horn or asked the swamper, the other children, or Mr. Aiken if it was safe for him to move his truck. It was suggested that he should have at least walked around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also referred to Petersenn et al v. Phillips, </w:t>
      </w:r>
      <w:hyperlink r:id="rId19" w:history="1">
        <w:r>
          <w:rPr>
            <w:rFonts w:ascii="arial" w:eastAsia="arial" w:hAnsi="arial" w:cs="arial"/>
            <w:i/>
            <w:color w:val="0077CC"/>
            <w:sz w:val="20"/>
            <w:u w:val="single"/>
            <w:shd w:val="clear" w:color="auto" w:fill="FFFFFF"/>
            <w:lang w:val="en-US" w:eastAsia="en-US" w:bidi="ar-SA"/>
          </w:rPr>
          <w:t>[1983] B.C.J. No. 1062</w:t>
        </w:r>
      </w:hyperlink>
      <w:r>
        <w:rPr>
          <w:rFonts w:ascii="arial" w:eastAsia="arial" w:hAnsi="arial" w:cs="arial"/>
          <w:color w:val="000000"/>
          <w:sz w:val="20"/>
          <w:lang w:val="en-US" w:eastAsia="en-US" w:bidi="ar-SA"/>
        </w:rPr>
        <w:t>. In this case a 12-year-old paperboy waiting at a newspaper shack to pick up his papers was struck by the pickup truck that delivered the papers. The driver was aware that typically there were a number of children between the ages of 10 and 14 playing around the newspaper shack. The delivery truck backed into its spot more quickly than it should have following an arc. The plaintiff had seen the truck and had been in a safe position but stepped in between the truck and the building. The driver was liable because he was aware of the children in the area and of the blind spot in his vision as he was backing up. The defendant was found 75% at fault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Mr. Van Dyk acted reasonably. He did not see Samantha when she was on the lawn but this is distinguishable from a case where a defendant does not see somebody who is in front of their vehicle or behind their vehicle when they should. He was aware of the other two children and that children could be expected in the area generally and therefore was required to exercise extra caution. He did not walk around his vehicle before putting it in motion but there is no indication that the truck was there for any unreasonable length of time, only slightly longer than normal. He did see the two children he was aware of walking away from the truck with Mr. Aiken. He did check his mirrors and windows and saw nothing to indicate to him that there was any danger. He did not see Mr. Bahry give the all-clear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if Mr. Van Dyk had walked around the truck according to the evidence of Mr. Aiken, what he would have seen was the child Samantha approximately 60 feet from the vehicle. He would not have been alerted to her presence in the immediate vicinity of the vehicle. In any event, in these circumstances, particularly with the presence of the swamper Mr. Bahry, it was not negligent for Mr. Van Dyk to put his vehicle in motion without walking around it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does not indicate that honking the horn would have done anything to prevent Samantha from being struck by the vehicle, nor given Mr. Aiken sufficient warning in order to stop Mr. Van Dyk from proceeding or to remove Samantha from danger. In fact Mr. Aiken, on his own evidence, saw Samantha moving towards the truck just before it was placed in motion. Therefore sounding the horn or any other warning device before the truck was placed in motion would not have made a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a conflict in the evidence as to whether the truck moved forward running over Samantha, or backed up with the front wheels running over Samantha. Mr. Aiken and Ms. Dickie are both very clear that the truck slowly rolled forward two or three feet striking the child and running over her. Mr. Van Dyk and Mr. Bahry are equally certain that the vehicle did not move forward but moved backwards six to seven feet. The defence suggested that there is no significant difference whether the vehicle was backing up or moving forward and the plaintiff submitted that, if anything, there is a heavier onus on the defendants if the vehicle was backing up based on the wording of the Motor Vehicle Act that I referred to earlier and the authorities including Solterman v. Vanetta, [1979] B.C.D. Div. 3385-10 (B.C.S.C.); Blehm v. Corby, </w:t>
      </w:r>
      <w:hyperlink r:id="rId20" w:history="1">
        <w:r>
          <w:rPr>
            <w:rFonts w:ascii="arial" w:eastAsia="arial" w:hAnsi="arial" w:cs="arial"/>
            <w:i/>
            <w:color w:val="0077CC"/>
            <w:sz w:val="20"/>
            <w:u w:val="single"/>
            <w:shd w:val="clear" w:color="auto" w:fill="FFFFFF"/>
            <w:lang w:val="en-US" w:eastAsia="en-US" w:bidi="ar-SA"/>
          </w:rPr>
          <w:t>[1994] 3 M.V.R. (3d) 93</w:t>
        </w:r>
      </w:hyperlink>
      <w:r>
        <w:rPr>
          <w:rFonts w:ascii="arial" w:eastAsia="arial" w:hAnsi="arial" w:cs="arial"/>
          <w:color w:val="000000"/>
          <w:sz w:val="20"/>
          <w:lang w:val="en-US" w:eastAsia="en-US" w:bidi="ar-SA"/>
        </w:rPr>
        <w:t xml:space="preserve"> (B.C.C.A.); Sullivan (Guardian ad litem of) v. Sullivan, </w:t>
      </w:r>
      <w:hyperlink r:id="rId21" w:history="1">
        <w:r>
          <w:rPr>
            <w:rFonts w:ascii="arial" w:eastAsia="arial" w:hAnsi="arial" w:cs="arial"/>
            <w:i/>
            <w:color w:val="0077CC"/>
            <w:sz w:val="20"/>
            <w:u w:val="single"/>
            <w:shd w:val="clear" w:color="auto" w:fill="FFFFFF"/>
            <w:lang w:val="en-US" w:eastAsia="en-US" w:bidi="ar-SA"/>
          </w:rPr>
          <w:t>[1996] B.C.J. No. 948</w:t>
        </w:r>
      </w:hyperlink>
      <w:r>
        <w:rPr>
          <w:rFonts w:ascii="arial" w:eastAsia="arial" w:hAnsi="arial" w:cs="arial"/>
          <w:color w:val="000000"/>
          <w:sz w:val="20"/>
          <w:lang w:val="en-US" w:eastAsia="en-US" w:bidi="ar-SA"/>
        </w:rPr>
        <w:t xml:space="preserve"> (B.C.S.C.); Brown v. Walton &amp; Berkenshaw &amp; Brown, </w:t>
      </w:r>
      <w:hyperlink r:id="rId22" w:history="1">
        <w:r>
          <w:rPr>
            <w:rFonts w:ascii="arial" w:eastAsia="arial" w:hAnsi="arial" w:cs="arial"/>
            <w:i/>
            <w:color w:val="0077CC"/>
            <w:sz w:val="20"/>
            <w:u w:val="single"/>
            <w:shd w:val="clear" w:color="auto" w:fill="FFFFFF"/>
            <w:lang w:val="en-US" w:eastAsia="en-US" w:bidi="ar-SA"/>
          </w:rPr>
          <w:t>[1943] 2 D.L.R. 437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Samantha was either in a blind spot just in front of the truck, or a blind spot just beside the front portion of the truck, slightly behind and off to the side of the front wheels. If the truck was backing up it struck her because when the driver turned the wheels to the left, the front of the truck swung slightly to the right striking Samantha and running over her. This is not a case where a driver backs over or into something or somebody that is behind his vehicle. In this case the blind spot is either just to the front or to the side of the vehicle. In any event, this case is distinguishable from the Morrison decision in which the defendant moved the vehicle backward quickly without obvious attention to the known hazards. That is the same thing that occurred in the Sullivan case. I find Mr. Van Dyk not directly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WAS MR. BAHRY NEGLIGENT AND IS MR. VAN DYK RESPONSIBLE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already indicated that I find Mr. Bahry to have been a casual employee of Mr. Van Dyk's and not an independent contract as was argued. Mr. Bahry and Mr. Van Dyk had discussed the presence of children and it was agreed that they were to be on the lookout for children because there were lots of them and it was important to make sure the children were not near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swamper was aware that Samantha was in the front yard of the home, having seen her approximately 25 to 30 feet from the truck. When he got onto the back of the truck, just before the truck was put in motion, he saw Mr. Aiken and the two older children walking up the driveway. He assumed that Samantha was with them. He said that he looked across the yard and down the side of the truck. He did not see anything and therefore gave the all clear signal. Had he seen something, it is certainly reasonable to assume he could have gotten Mr. Van Dyk's attention before the truck was put in motion. Based on the evidence of Ms. Dickie and Mr. Aiken, I find that Samantha was still moving towards the truck just a moment or less before it was placed in motion. She either moved from the side of the truck, just in front of it, or was standing just beside it when it began to move. She should have been visible to the swamper at that time. The swamper did not see her, although he did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in this case both Mr. Van Dyk and the swamper were responsible for keeping a lookout for children near the truck. This is a situation where they were in essence operating the truck together and both being responsible to keep a lookout to ensure the safe operation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child was there to be seen but for whatever reason was not seen by the swamper. This is a case where a person operating or involved in the operation of the motor vehicle is negligent if they do not see something that is there to be seen. Mr. Bahry was negligent in not seeing Samantha near the truck just before it was put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suggests that the swamper should have done a walk-around before the truck was put in motion. That was not the normal practice and I find that was not necessary. Failure to do so does not in this case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referred to the case Fraser (Guardian ad litem of) v. Nicholls, </w:t>
      </w:r>
      <w:hyperlink r:id="rId23" w:history="1">
        <w:r>
          <w:rPr>
            <w:rFonts w:ascii="arial" w:eastAsia="arial" w:hAnsi="arial" w:cs="arial"/>
            <w:i/>
            <w:color w:val="0077CC"/>
            <w:sz w:val="20"/>
            <w:u w:val="single"/>
            <w:shd w:val="clear" w:color="auto" w:fill="FFFFFF"/>
            <w:lang w:val="en-US" w:eastAsia="en-US" w:bidi="ar-SA"/>
          </w:rPr>
          <w:t>[1993] B.C.J. No. 412</w:t>
        </w:r>
      </w:hyperlink>
      <w:r>
        <w:rPr>
          <w:rFonts w:ascii="arial" w:eastAsia="arial" w:hAnsi="arial" w:cs="arial"/>
          <w:color w:val="000000"/>
          <w:sz w:val="20"/>
          <w:lang w:val="en-US" w:eastAsia="en-US" w:bidi="ar-SA"/>
        </w:rPr>
        <w:t xml:space="preserve"> (B.C.S.C.). In the Fraser case the father of a five year old boy helped the boy from the back of a car leaving him on the edge of a street while the father turned to help the younger sister out of the car. Without looking the young boy stepped into oncoming traffic. The defendant was travelling at moderate speed and maintaining a proper lookout and could not see the plaintiff. This is distinguishable from the present case where I find that the child was in an area where she could have been seen just before she stepped in front of or beside the garbage truck. The case the defendant's refer to Taylor v. King </w:t>
      </w:r>
      <w:hyperlink r:id="rId24" w:history="1">
        <w:r>
          <w:rPr>
            <w:rFonts w:ascii="arial" w:eastAsia="arial" w:hAnsi="arial" w:cs="arial"/>
            <w:i/>
            <w:color w:val="0077CC"/>
            <w:sz w:val="20"/>
            <w:u w:val="single"/>
            <w:shd w:val="clear" w:color="auto" w:fill="FFFFFF"/>
            <w:lang w:val="en-US" w:eastAsia="en-US" w:bidi="ar-SA"/>
          </w:rPr>
          <w:t>(1993), 82 B.C.L.R. (2d) 108</w:t>
        </w:r>
      </w:hyperlink>
      <w:r>
        <w:rPr>
          <w:rFonts w:ascii="arial" w:eastAsia="arial" w:hAnsi="arial" w:cs="arial"/>
          <w:color w:val="000000"/>
          <w:sz w:val="20"/>
          <w:lang w:val="en-US" w:eastAsia="en-US" w:bidi="ar-SA"/>
        </w:rPr>
        <w:t xml:space="preserve"> deals with the responsibility of a parent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child and is not responsible except for the proposition cited at p. 117, para. 33. There the Court of Appeal referred to the decision of Mr. Justice Errico in Hundal (Guardian ad litem of) v. Rupert Square Shopping Centre Ltd., </w:t>
      </w:r>
      <w:hyperlink r:id="rId25" w:history="1">
        <w:r>
          <w:rPr>
            <w:rFonts w:ascii="arial" w:eastAsia="arial" w:hAnsi="arial" w:cs="arial"/>
            <w:i/>
            <w:color w:val="0077CC"/>
            <w:sz w:val="20"/>
            <w:u w:val="single"/>
            <w:shd w:val="clear" w:color="auto" w:fill="FFFFFF"/>
            <w:lang w:val="en-US" w:eastAsia="en-US" w:bidi="ar-SA"/>
          </w:rPr>
          <w:t>[1992] B.C.J. No. 2099</w:t>
        </w:r>
      </w:hyperlink>
      <w:r>
        <w:rPr>
          <w:rFonts w:ascii="arial" w:eastAsia="arial" w:hAnsi="arial" w:cs="arial"/>
          <w:color w:val="000000"/>
          <w:sz w:val="20"/>
          <w:lang w:val="en-US" w:eastAsia="en-US" w:bidi="ar-SA"/>
        </w:rPr>
        <w:t>, Prince Rupert Registry No. 6917 (B.C.S.C.) where Mr. Justice Errico cited from a decision McCallion v. Dodd, [ [1966] N.Z.L.R. 710] at 715: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stranger would render himself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if he had on a particular occasion assumed or accepted the care and charge of the child. It seems to me, however, that parents are in a somewhat different position, and at all times while present are under a legal duty to exercise reasonable care to protect their child from foreseeable dangers. I do not consider that a parent while present is ever able to shed responsibility for the child's safety though on the facts it may appear that he was not negligent by reason of his preoccupation with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relates to Mr. Aiken's responsibility to the child Samantha but is not authority for the proposition that a person operating or responsible for the safe operation of a motor vehicle does not also share some responsibility for a child who may be in danger by close proximity to that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was also referred to the decision of Arnold v. Teno et al </w:t>
      </w:r>
      <w:hyperlink r:id="rId26" w:history="1">
        <w:r>
          <w:rPr>
            <w:rFonts w:ascii="arial" w:eastAsia="arial" w:hAnsi="arial" w:cs="arial"/>
            <w:i/>
            <w:color w:val="0077CC"/>
            <w:sz w:val="20"/>
            <w:u w:val="single"/>
            <w:shd w:val="clear" w:color="auto" w:fill="FFFFFF"/>
            <w:lang w:val="en-US" w:eastAsia="en-US" w:bidi="ar-SA"/>
          </w:rPr>
          <w:t>(1978), 83 D.L.R. (3d) 609</w:t>
        </w:r>
      </w:hyperlink>
      <w:r>
        <w:rPr>
          <w:rFonts w:ascii="arial" w:eastAsia="arial" w:hAnsi="arial" w:cs="arial"/>
          <w:color w:val="000000"/>
          <w:sz w:val="20"/>
          <w:lang w:val="en-US" w:eastAsia="en-US" w:bidi="ar-SA"/>
        </w:rPr>
        <w:t xml:space="preserve"> (S.C.C.) on the issue of the liability of a parent and an operator of an ice cream truck to which children were attracted. The circumstances of that case are so different from our own that it is not of assistance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was also referred to the first decision in this action dated May 13, 1997. In that decision the driver was found not to be liable at all but the issue of the responsibility of the actions of the swamper were not argued with regard to whether these actions resulted in any liability on the part of the driver. I agree that the driver was not directly responsible but is responsible for what I find to be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swamper. However, that does not end the matter the apportionment of liability must also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7" w:history="1">
        <w:r>
          <w:rPr>
            <w:rFonts w:ascii="arial" w:eastAsia="arial" w:hAnsi="arial" w:cs="arial"/>
            <w:i/>
            <w:color w:val="0077CC"/>
            <w:sz w:val="20"/>
            <w:u w:val="single"/>
            <w:shd w:val="clear" w:color="auto" w:fill="FFFFFF"/>
            <w:lang w:val="en-US" w:eastAsia="en-US" w:bidi="ar-SA"/>
          </w:rPr>
          <w:t>R.S.B.C. 1996, Chap. 333, s. 1</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argued that the apportionment of liability should be 10% against Mr. Aiken and 90% against Mr. Van Dyk. The plaintiff referred to a decision Faint v. Costin, </w:t>
      </w:r>
      <w:hyperlink r:id="rId28" w:history="1">
        <w:r>
          <w:rPr>
            <w:rFonts w:ascii="arial" w:eastAsia="arial" w:hAnsi="arial" w:cs="arial"/>
            <w:i/>
            <w:color w:val="0077CC"/>
            <w:sz w:val="20"/>
            <w:u w:val="single"/>
            <w:shd w:val="clear" w:color="auto" w:fill="FFFFFF"/>
            <w:lang w:val="en-US" w:eastAsia="en-US" w:bidi="ar-SA"/>
          </w:rPr>
          <w:t>[1996] B.C.J. No. 613</w:t>
        </w:r>
      </w:hyperlink>
      <w:r>
        <w:rPr>
          <w:rFonts w:ascii="arial" w:eastAsia="arial" w:hAnsi="arial" w:cs="arial"/>
          <w:color w:val="000000"/>
          <w:sz w:val="20"/>
          <w:lang w:val="en-US" w:eastAsia="en-US" w:bidi="ar-SA"/>
        </w:rPr>
        <w:t xml:space="preserve"> (B.C.S.C.) in which the mother of a two-year-old child was found 15% at fault when the mother placed the child on the edge of a road and the child was struck by an approaching vehicle. In Faint v. Costin it is apparent that the court found the driver was driving in excess of the speed limit on a narrow road and failed to see the child when he or she should have. The mother's fault was very momentary and the majority of the fault obviously was the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present case, the presence of the father does not eliminate the responsibility of Mr. Van Dyk or the swamper. (Galasky v. O'Donnell, </w:t>
      </w:r>
      <w:hyperlink r:id="rId29" w:history="1">
        <w:r>
          <w:rPr>
            <w:rFonts w:ascii="arial" w:eastAsia="arial" w:hAnsi="arial" w:cs="arial"/>
            <w:i/>
            <w:color w:val="0077CC"/>
            <w:sz w:val="20"/>
            <w:u w:val="single"/>
            <w:shd w:val="clear" w:color="auto" w:fill="FFFFFF"/>
            <w:lang w:val="en-US" w:eastAsia="en-US" w:bidi="ar-SA"/>
          </w:rPr>
          <w:t>[1994] 1 S.C.R. 670</w:t>
        </w:r>
      </w:hyperlink>
      <w:r>
        <w:rPr>
          <w:rFonts w:ascii="arial" w:eastAsia="arial" w:hAnsi="arial" w:cs="arial"/>
          <w:color w:val="000000"/>
          <w:sz w:val="20"/>
          <w:lang w:val="en-US" w:eastAsia="en-US" w:bidi="ar-SA"/>
        </w:rPr>
        <w:t xml:space="preserve">) However, in the present case, the child's father, Mr. Aiken, was the person primarily responsible to ensure the safety of the child. I find that his actions were the significant contribution to the injuries the child suffered and apportion liability at 80% against the father and 20% against Mr. Van Dyk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swamper.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swamper's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failing to see the child in a dangerous position. The father's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allowing the situation to occur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father was the person supervising the children. He was well aware of the plaintiff's ability to move and of the danger that the truck presented. As the father said, certainly the child was not responsible for what occurred and it is something that he lives with every day seeing the child grow up with the effect of the injuries that she sustained. As I said earlier, it is an accident that all the adults wish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Subject to any further submissions the parties wish to make, the plaintiff will have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Akintoye v. Birnbaum, [2017] B.C.J. No. 1267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20-24, April 6,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S116477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Solomon Olalekan Akintoye, Plaintiff, and Jeremiah Birnbaum, Jennifer White, City of Vancouver, John Doe 1 and John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 w:name="Keywords"/>
      <w:bookmarkEnd w:id="3"/>
      <w:r>
        <w:rPr>
          <w:rFonts w:ascii="arial" w:eastAsia="arial" w:hAnsi="arial" w:cs="arial"/>
          <w:b/>
          <w:color w:val="000000"/>
          <w:sz w:val="20"/>
          <w:lang w:val="en-US" w:eastAsia="en-US" w:bidi="ar-SA"/>
        </w:rPr>
        <w:t xml:space="preserve">Tort law — Trespass — To person — Assault — Battery — Defences — Justification — Statutory justification — Action for assault, battery, false imprisonment,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was stopped by police — Police had mistakenly identified plaintiff as someone subject to arrest warrant — Plaintiff was argumentative and failed to comply with police direction — When officer removed plaintiff's hands from pockets, altercation ensued — Investigative detention of plaintiff was lawful — Attempts to hand cuff him and use of force were reasonable and reasonably necessary — Defendants established defence of statutory justification — Defendants were validly exercising their common law powers during plaintiff's investigative detention — Physical force used to effect lawful arrest was justified.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legal procedure or process — False arrest or imprisonment — Action for assault, battery, false imprisonment,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was stopped by police — Police had mistakenly identified plaintiff as someone subject to arrest warrant — Plaintiff was argumentative and failed to comply with police direction — When officer removed plaintiff's hands from pockets, altercation ensued — Investigative detention of plaintiff was lawful — Attempts to hand cuff him and use of force were reasonable and reasonably necessary — Defendants established defence of statutory justification — Defendants were validly exercising their common law powers during plaintiff's investigative detention — Physical force used to effect lawful arrest was justified.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 w:name="Case Summary"/>
            <w:bookmarkEnd w:id="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assault, battery, false imprisonment,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stopped by the defendant police officers as he walked along a sidewalk. The defendant White had mistakenly identified the plaintiff as someone who was subject to an arrest warrant for fraud-related charges. While she went to check the identity document provided by the plaintiff on her onboard computer, the plaintiff followed her and bent over her. The defendants alleged the plaintiff was argumentative from the start. He began to yell and followed White to the police car where he stood over her as she sat in the driver's seat with the door open. The plaintiff denied yelling or standing over White. The defendants alleged the plaintiff refused to remove his hands from his pockets. The defendant Birnbaum then pulled the plaintiff's hand from his pocket and a physical struggle occurred that also involved other police officers who arrived in response to a call for emergency assistance. Ultimately the plaintiff was restrained on the ground, carried to a police wagon, charged with assaulting a peace officer and taken to the city jail where he remained overnight. The plaintiff alleged he was brutally attacked during his encounter with police. The defendants acknowledged that police officers used some physical force in an effort to handcuff the plaintiff but denied many of his specific allegations of violence.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 w:name="Holdings of Court"/>
            <w:bookmarkEnd w:id="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investigative detention of the plaintiff was lawful. The attempts to hand cuff him and the use of force were reasonable and reasonably necessary, given the totality of the circumstances. The impugned actions of the defendants were reasonable and reasonably necessary, in light of the nature and trajectory of the plaintiff's conduct, the importance of the police duties to investigate and to protect life and safety, as well as the particulars of the investigation here to confirm and execute an arrest warrant. Birnbaum had reasonable grounds to believe White's safety was at risk when the use of force began. His belief extended to his own safety when he asked the plaintiff to remove his hand from his pocket and then physically removed the hand himself with the intention of placing the plaintiff in handcuffs. Birnbaum's reasonable safety concerns also made the subsequent force he used reasonable and reasonably necessary. The defendants established the defence of statutory justification. The defendants were validly exercising their common law powers during the plaintiff's investigative detention. The physical force officers used to effect the plaintiff's lawful arrest was justified. The court accepted that the plaintiff was upset about being stopped. He was argumentative with White from the outset. His behaviour escalated. He never stopped fighting and struggling against the attempts of the additional officers to handcuff his unrestrained wrist by thrashing his body, flailing his legs and keeping his right arm inaccessible. The plaintiff was not subjected to any physical force after being handcuffed although he continued to thrash his body and kick his legs. The four officers had reasonable grounds to believe the use of force was necessary to place the plaintiff under arrest.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for lack of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 w:name="Legislation Cited"/>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9"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37"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(1)(b), s. 270(1)(a), s. 495(1)(b)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 w:name="Counsel_0"/>
      <w:bookmarkEnd w:id="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N.M.G. Chantler, D.C.S.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Toy, K. Nakanishi.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 w:name="Judgment_0"/>
      <w:bookmarkEnd w:id="8"/>
      <w:r>
        <w:pict>
          <v:line id="_x0000_s1031"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 w:name="M.L. FLEMING J."/>
            <w:bookmarkEnd w:id="9"/>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afternoon of April 18, 2011 Solomon Akintoye was stopped by two police officers, Jennifer White and Jeremiah Birnbaum, as he walked along a sidewalk in downtown Vancouver. Constable White had mistakenly identified him as someone who was subject to an arrest warrant for fraud-related charges. Those charges included the creation of false credit cards and identity documents. Mr. Akintoye provided her with his Ontario health card and she returned to the police car intending to conduct a search using an on-board computer. There is a dispute about much of what happened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allege the plaintiff was argumentative from the start. He began to yell and followed Constable White to the police car where he stood over her as she sat in the driver's seat with the door open. The defendants also allege that after he was directed away from that location, the plaintiff thrust one of his hands into the pocket of his pants, refused to remove it, and balled it into a fist.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denies yelling or standing over Constable White. He asserts his hands were in his pockets from the outset because he had forgotten to wear a belt and was concerned his pants would fall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do not disagree that Constable Birnbaum pulled the plaintiff's hand from his pocket and a physical struggle occurred that also involved other police officers who arrived in response to a call for emergency assistance. Ultimately the plaintiff was restrained on the ground, carried to a police wagon, charged with two counts of assaulting a peace officer and taken to the city jail where he remained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Akintoye alleges he was brutally attacked during his encounter with police that day. The defendants acknowledge that police officers used some physical force in an effort to handcuff the plaintiff. They deny however many of his specific allegations of violence. The defendants assert that in addition to ignoring or refusing to comply with their requests and directions, Mr. Akintoye became increasingly volatile. He not only actively resisted but also physically fought against their attempts to restrain him after his hand was removed from his pocket. For ease of reference I will refer to the events that occurred between the plaintiff and police officers on April 18, 2011 as the Police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Akintoye made further allegations that are not contained in his pleadings although his notice of civil claim was amended shortly before the trial began. They include, most notably, being thrown into the back of the police wagon, stripped of his clothing at the city jail, and denied access to medical care and a lawyer for many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Akintoye also did not plead a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His action is based on the intentional torts of assault, battery, false imprisonment,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alleges he suffered significant physical and psychological injuries as a result of the Police Incident and seeks compensatory,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deny liability for the officers' use of force relying mainly on the defence of justification under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They assert the force used was reasonable and incidental to attempts to place the plaintiff in handcuffs based on safety concerns that arose during a valid investigative detention and then during the course of a lawful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key legal issue in this case is whether the common law authorizes the police to use physical force against a person under 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Akintoye was 27 years old at the time of the Police Incident. He lived in Ontario until late 2010, after coming to Canada from Nigeria in 2003 as a refugee. He was employed by a bakery from 2004 until on or about May 2007 when he suffered an injury to his hip in the workplace. He received benefits from the Ontario Worker Safety Information Board and unemployment insurance. Although his tax returns show very little employment income after 2007, his family doctor indicated he was ready to return to work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moved to Surrey, BC in late 2010 and struggled to find steady employment. He worked in a warehouse for a short time and part time with the Portland Hotel Society, a non-profit agency ("PHS") until a few days before the Police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Akintoye suffers from schizophrenia. There is some dispute about when symptoms of the illness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Police Incident the plaintiff was admitted to Vancouver General Hospital ("VGH") on April 21, 2011. In addition to complaining of generalized pain, weakness and dizziness, he reported feelings of depression as well as some psychotic symptoms. He was discharged on April 24, 2011 and referred to the Early Psychosis Intervention Program ("EPI") where he was assessed and treated until August 2011. Both the VGH and EPI records indicate the plaintiff described psychotic symptoms he had experienced in the past. On July 11, 2011 Dr. Atila Ketene, the plaintiff's family doctor at the time, diagnosed him with schizophrenia (onset 2008) based on the history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Based on the Police Incident, Mr. Akintoye filed a complaint against the Vancouver Police Board with the BC Human Rights Tribunal alleging discrimination through the delivery of policing services on the grounds of race, colour and place of origin, contrary to s. 8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matter proceeded to a three-day hearing in July 2013. Mr. Akintoye and several police officers testified. In reasons dated December 9, 2013, </w:t>
      </w:r>
      <w:hyperlink r:id="rId39" w:history="1">
        <w:r>
          <w:rPr>
            <w:rFonts w:ascii="arial" w:eastAsia="arial" w:hAnsi="arial" w:cs="arial"/>
            <w:i/>
            <w:color w:val="0077CC"/>
            <w:sz w:val="20"/>
            <w:u w:val="single"/>
            <w:shd w:val="clear" w:color="auto" w:fill="FFFFFF"/>
            <w:lang w:val="en-US" w:eastAsia="en-US" w:bidi="ar-SA"/>
          </w:rPr>
          <w:t>[2013] B.C.H.R.T.D. No. 298</w:t>
        </w:r>
      </w:hyperlink>
      <w:r>
        <w:rPr>
          <w:rFonts w:ascii="arial" w:eastAsia="arial" w:hAnsi="arial" w:cs="arial"/>
          <w:color w:val="000000"/>
          <w:sz w:val="20"/>
          <w:lang w:val="en-US" w:eastAsia="en-US" w:bidi="ar-SA"/>
        </w:rPr>
        <w:t xml:space="preserve">, the Human Rights Tribunal concluded that no reasonable inference could be drawn from the evidence that racial stereotyping played any part in the decision of the police to stop, handcuff or arrest Mr. Akintoye. Consequently, the tribunal found he had not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and his complaint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trial in this proceeding, in addition to his own evidence, Mr. Akintoye relied upon the medical opinion of Dr. Ketene regarding the injuries he alleged were caused by the Police Incident. The witnesses for the defendants included Constables White and Birnbaum, as well as Constables McEvoy, Goodall and Roycombough and Sergeant Emerslund who became involved in the Police Incident after hearing a call for emergency assistance. John Irving, a senior instructor with the Justice Institute of BC, gave fact evidence regarding the training police officers receive in the use of force. A number of documents were admitted into evidence by consent, as well as a notice to admit setting out admissions related to the conduct of Constable Gregoriou, Constable Roycombough's partner during the Police Incident. I note the parties' document agreement makes the statements of the plaintiff contained in his clinical records, along with any diagnoses, admissible for the fact they were made but not their truth. The observations of physicians and health care providers however are facts and admissible without further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For the reasons that follow, I have decided the defendants are not liable to the plaintiff, although he was detained because of a mistake about his identity, and no doubt intensely distressed by the Police Incident. In summary I have determined one, the investigative detention of Mr. Akintoye was lawful, meaning the decision to carry it out and the manner in which it was conducted, including the attempts to hand cuff him and the use of force, were reasonable and reasonably necessary given the totality of the circumstances; two, the physical force officers used to effect his lawful arrest was justified; and three, his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 for lack of evidence. I have therefore not addressed Mr. Akintoye's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Nor have I addressed his unpled allegations about events that occurred after he was placed in the police wagon and taken to the city jail, including the removal of his clothing, the failure to provide medical care and the delay in allowing him access to legal advice. In all civil cases, the pleadings define the issues of fact and law to be determined in an action (</w:t>
      </w:r>
      <w:r>
        <w:rPr>
          <w:rFonts w:ascii="arial" w:eastAsia="arial" w:hAnsi="arial" w:cs="arial"/>
          <w:i/>
          <w:color w:val="000000"/>
          <w:sz w:val="20"/>
          <w:lang w:val="en-US" w:eastAsia="en-US" w:bidi="ar-SA"/>
        </w:rPr>
        <w:t>Xu v. Hu</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2015 BCSC 1400</w:t>
        </w:r>
      </w:hyperlink>
      <w:r>
        <w:rPr>
          <w:rFonts w:ascii="arial" w:eastAsia="arial" w:hAnsi="arial" w:cs="arial"/>
          <w:color w:val="000000"/>
          <w:sz w:val="20"/>
          <w:lang w:val="en-US" w:eastAsia="en-US" w:bidi="ar-SA"/>
        </w:rPr>
        <w:t xml:space="preserve"> at para. 14). In </w:t>
      </w:r>
      <w:r>
        <w:rPr>
          <w:rFonts w:ascii="arial" w:eastAsia="arial" w:hAnsi="arial" w:cs="arial"/>
          <w:i/>
          <w:color w:val="000000"/>
          <w:sz w:val="20"/>
          <w:lang w:val="en-US" w:eastAsia="en-US" w:bidi="ar-SA"/>
        </w:rPr>
        <w:t>Xu</w:t>
      </w:r>
      <w:r>
        <w:rPr>
          <w:rFonts w:ascii="arial" w:eastAsia="arial" w:hAnsi="arial" w:cs="arial"/>
          <w:color w:val="000000"/>
          <w:sz w:val="20"/>
          <w:lang w:val="en-US" w:eastAsia="en-US" w:bidi="ar-SA"/>
        </w:rPr>
        <w:t xml:space="preserve">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 Amongst other things, they [the pleadings] give opposing parties fair notice of the case to be met and provide the boundaries and context for document disclosure: </w:t>
      </w:r>
      <w:r>
        <w:rPr>
          <w:rFonts w:ascii="arial" w:eastAsia="arial" w:hAnsi="arial" w:cs="arial"/>
          <w:i/>
          <w:color w:val="000000"/>
          <w:sz w:val="20"/>
          <w:lang w:val="en-US" w:eastAsia="en-US" w:bidi="ar-SA"/>
        </w:rPr>
        <w:t>Lax Kw'alaams Indian Band v. Canada (Attorney General)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2011 SCC 56</w:t>
        </w:r>
      </w:hyperlink>
      <w:r>
        <w:rPr>
          <w:rFonts w:ascii="arial" w:eastAsia="arial" w:hAnsi="arial" w:cs="arial"/>
          <w:color w:val="000000"/>
          <w:sz w:val="20"/>
          <w:lang w:val="en-US" w:eastAsia="en-US" w:bidi="ar-SA"/>
        </w:rPr>
        <w:t xml:space="preserve">, para. 43;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para. 5. For this reason, if a party has been unfairly disadvantaged by a failure to raise, or properly particularise, an issue in pleadings the court should not determine that issue.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Akintoye did not seek leave to further amend his pleadings during the trial. His testimony about what happened at the city jail was brief, on some points unclear, and on others not consistent with unreasonable treatment. He described for example refusing to change into a yellow uniform before his clothes were removed and being offered medical treatment by a doctor and or a nurse, although not immediately. His counsel made few if any submissions about the significance of the unpled allegations which certainly did not appear to play an important role in his claim for damages. Balancing the relative prejudice to the parties, it is clear to me the defendants would have been unfairly disadvantaged if I were to decide issues arising from Mr. Akintoye's unpled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Remarks about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testimony of the plaintiff and the police officers regarding the circumstances of the Police Incident are in conflict. Determining what likely happened requires me to assess the accuracy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Schizophrenia is a psychiatric disorder that involves a number of serious symptoms including hallucinations, delusions, disorganized speech and disorganized behaviour. Mr. Akintoye acknowledged he sometimes confuses his hallucinations with reality and his illness has a negative effect on his memory and his ability to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counsel suggested his evidence should be assessed in a way that provides for a level playing field to ensure that he is not denied access to justice, based on his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must be remembered the court's assessment of credibility is part of the broader search for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law permits one approach to assessing the truthfulness of the testimony of any interested witness. The test was articulated many years ago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with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accuracy of a witness's testimony is determined by examining several factors. They include: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and opportunity of the witness to observe the events at issue;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ability to remember those events;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being influenced by his or her interest in recalling those events;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and external consistency of the witness's evidence: did his or her testimony change between direct and cross-examination; are there inconsistencies in his or her prior statements, his or her discovery evidence and his or her evidence at trial;</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witness's evidence harmonizes with or is contradicted by other evidence, particularly independent or undisputed evidence;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his or her evidence seems unreasonable, improbable or unlikely bearing in mind the probabilities affecting the case;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4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46"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Regarding the last factor,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and other authorities have discussed the dangers of relying </w:t>
      </w:r>
      <w:r>
        <w:rPr>
          <w:rFonts w:ascii="arial" w:eastAsia="arial" w:hAnsi="arial" w:cs="arial"/>
          <w:i/>
          <w:color w:val="000000"/>
          <w:sz w:val="20"/>
          <w:lang w:val="en-US" w:eastAsia="en-US" w:bidi="ar-SA"/>
        </w:rPr>
        <w:t>wholly</w:t>
      </w:r>
      <w:r>
        <w:rPr>
          <w:rFonts w:ascii="arial" w:eastAsia="arial" w:hAnsi="arial" w:cs="arial"/>
          <w:color w:val="000000"/>
          <w:sz w:val="20"/>
          <w:lang w:val="en-US" w:eastAsia="en-US" w:bidi="ar-SA"/>
        </w:rPr>
        <w:t xml:space="preserve"> upon demeanour to determine credibility recognizing the risk of preferring the testimony of the better actor, and conversely, misinterpreting a witness's countenance as deceptive (see: </w:t>
      </w:r>
      <w:r>
        <w:rPr>
          <w:rFonts w:ascii="arial" w:eastAsia="arial" w:hAnsi="arial" w:cs="arial"/>
          <w:i/>
          <w:color w:val="000000"/>
          <w:sz w:val="20"/>
          <w:lang w:val="en-US" w:eastAsia="en-US" w:bidi="ar-SA"/>
        </w:rPr>
        <w:t>R. v. Jeng</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2004 BCCA 464</w:t>
        </w:r>
      </w:hyperlink>
      <w:r>
        <w:rPr>
          <w:rFonts w:ascii="arial" w:eastAsia="arial" w:hAnsi="arial" w:cs="arial"/>
          <w:color w:val="000000"/>
          <w:sz w:val="20"/>
          <w:lang w:val="en-US" w:eastAsia="en-US" w:bidi="ar-SA"/>
        </w:rPr>
        <w:t xml:space="preserve"> at para. 54). Underlying the caution regarding demeanour is an appreciation that how witnesses behave when they are lying or telling the truth is not well understood or universal.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For this reason I have focused on other factors in assessing the credibility of Mr. Akintoye. To the extent that his demeanour during cross-examination was evasive and hostile, for example, I have considered the potential impact of his psychiatric illness and his subjective experience of the Police Incident and placed less weight on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he testified than I otherwise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note at this stage the passage of time, along with the dynamic, fast-paced and highly charged nature of the circumstances surrounding the Police Incident have likely affected the ability of all of the witnesses to recall precisely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Police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October 2010 Constable White investigated a man who I will refer to as Mr. N for fraud. She arrested him that same day and during a search found several credit cards and identification including "photo ID" with different names and dates of birth. When she interviewed him, Mr. N admitted to creating the documents. Subsequently, Constable White requested a warrant for the arrest of Mr. N and learned one had been issued for several offences including credit card fraud and creating false documents. Constable White said she had not seen Mr. N since nor stopped anyone she thought was him. At some point prior to April 18, 2011, however, Constable White had queried the arrest warrant and determined it remained outstanding. She could not recall if his photograph appeared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Constables Birnbaum and White were partners by the fall of 2010, but he was away when she dealt with Mr. 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Akintoye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he went to Frog Hollow Neighbourhood House around noon on April 18, 2011 to pick up a pay cheque from the PHS. He made his way from Frog Hollow to 910 Richards Street where he had an appointment with a physiotherapist. Upon arriving, however, he received a message it had been cancelled. Mr. Akintoye had another appointment scheduled for 2:00 p.m. regarding a temporary, full-time job at the Army and Navy Store. He testified, however, it was around that time when he left the building on Richards Street and noticed a police car driving along behind him as he walked south on the east sidewalk of Richards Street, a one-way street. He said the police car followed, then stopped, then followed him for about one block before Constables White and Birnbaum got out and identified themselves as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Akintoye recalled Constable White telling him they were looking for someone who "had a warrant" but also there was a warrant for his arrest. He denied Constable White ever addressed him by another name. When she asked for his identification, Mr. Akintoye took his Ontario health card out of his backpack and handed it to her. He remembered Constable White saying she would be back before she took his card with her to the police car. Constable Birnbaum remained on the sidewalk and according to Mr. Akintoye asked him to move closer to the front of the police car. Constable White returned to where he was standing wanting him to spell his last name which he did. He also let her know he needed a lawyer and he was not the person she was looking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Akintoye denied yelling at the officers or showing any signs of aggression, although he said he was not happy they did not trust him or with how they treated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the plaintiff Constable Birnbaum was dictatorial and started to "get at me". He described the officer asking him twice to remove his hand from his pocket and referring to him as an asshole. Mr. Akintoye was surprised and upset by this. Several seconds later Constable Birnbaum grabbed his left arm and pulled his hand out of his pocket. Acknowledging he had refused to comply with Constable Birnbaum's directions, Mr. Akintoye said he rushed out of the house that day without a belt and explained to the officer his pants may slide down. In cross-examination, Mr. Akintoye was asked if he balled his left hand into a fist before it was pulled from his pocket. Instead of answering, he asked counsel how the officer could have seen such a thing, a reference I assume to the fact he was wearing a hoodie.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the plaintiff insisted he had both hands in his pockets throughout the encounter there was no evidence about what happened with his right hand. Significantly, at the end of his testimony Mr. Akintoye described the pants he was wearing that day as tight jeans.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Mr. Akintoye, after taking a hold of his left arm, Constable Birnbaum dragged him to the police car and forced him over the hood while calling for back up. Constable White got out of the police car at that point. In cross-examination, Mr. Akintoye disagreed both constables told him to stop resisting but he also said he could not recall hearing that particular direction, or "give me your arms or you are going into handcuffs". He was also unable to recall if he pulled his left arm underneath his body after Constable White put his right hand into a handcuff. When he was asked whether Constable White struck his thigh twice with her knee, he testified he could not see properly due to being punched in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Recalling that six or seven officers arrived within one minute of the back up call, Mr. Akintoye said he strongly believed the police had set him up. He viewed them as coming to attack him and "demolish my life", an indication of delusional thinking. Although the plaintiff acknowledged the accuracy of his memory has been affected by subsequent symptoms of schizophrenia, his evidence about when those symptoms began was inconsistent. For example, he firmly denied suffering from hallucinations before the Police Incident but he also testified that when he left his home that day he heard a voice that said, "I'm going to start with you now". His denials are also inconsistent with entries in clinical records regarding the history he provided to various health care providers. According to the VGH "CTU" admission note dated April 21, 2011 the plaintiff described his auditory hallucinations as starting three years earlier. An EPI assessment report dated June 8, 2011 indicates that during one appointment the plaintiff referred to a range of psychotic symptoms he had experienced in the past including positive auditory hallucinations when he was young which later became negative; and on the day of the Police Incident, people on the street telling him "it is coming" and "turn back now". At another point he indicated he had had symptoms for the "past 3 years". The EPI assessment report also discussed an appointment the plaintiff had with a psychiatrist at an Ontario hospital in 2008 which he did not attend because he was worried he would be medicated, "like his sister" and get worse. When he was asked during his evidence about his apparent statements in these records, Mr. Akintoye said he could not recollect.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clinical notes of Dr. Ketene contain similar references. On July 18, 2011 Dr. Ketene diagnosed the plaintiff with schizophrenia (onset 2008) based on his description of hearing negative voices and experiencing other hallucinations since that time. Although Dr. Ketene concluded the plaintiff's symptoms were subclinical before the Police Incident and much more severe afterward, his records specify the plaintiff told him he had crashed his vehicle into a bridge in 2008 while he was experiencing a visual hallucination of a car stopped in his path on the highway. The vehicle was destroyed after he tried to zig zag around the imagined obstacle. In cross-examination Mr. Akintoye denied hallucinating when he crashed into the bridge but he also testified he could not recall if he told Dr. Ketene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Regarding the violence that occurred during the Police Incident, during his direct examination the plaintiff said that he was punched in the face and on all sides of his body, kicked in the legs and stomach with boots and his head was smashed onto the ground. He could not recall how he ended up there, although he indicated he was standing when the punches started and officers kept punching him, "all the way down". Mr. Akintoye estimated the punching and kicking continued for four or five minutes. Under cross-examination he could not recall Constable White telling him he was going to the ground or landing on top of her. When asked if the other officers also told him to stop resisting and to give them his left hand, he stated he was not himself by then and he could not recollect. More than once he said all he could see were stars after the punches started coming. He described the force of every punch as being enough to kill somebody.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direct examination Mr. Akintoye denied trying to kick or punch anyone himself, but under cross-examination he could not recall if he continued kicking his legs out once he was on the ground. Mr. Akintoye testified he was placed in handcuffs and a leg vice as he lay on the sidewalk and then left there for 25 minutes. According to Mr. Akintoye he was never given a reason for being handcuffed. Nor was he told why he was placed under arrest. Several officers carried him to a police van and dumped him inside. He remembered being asked if he wanted to go to the hospital but he could not respond. He described feeling "serious" pain all over his body from his head to his toes; bleeding from his forehead, elbow and knees; and screaming, "pain, pain,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Akintoye remembered being taken to the jail less than five minutes after he was placed in the police wagon. He indicated he could not respond to an offer of medical help before leaving the scene. At the jail he was told to change into a yellow uniform. When he did not comply, someone removed his clothing. In direct examination he said he did not receive medical assistance "immediately" but "after" a doctor or nurse offered him medication. When asked if he was assessed by a doctor he testified he remained unable to speak. At the same time however he gave evidence that he asked over and over again if he could speak to his lawyer.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Constables White and Birnbaum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April 19, 2011, Constables White and Birnbaum were on general patrol together in the downtown core. Their shift started at 2:00 p.m. After a briefing at 1:45 p.m. they left police headquarters on Cambie Street between 2:00 p.m. and 3:00 p.m. Constable White was driving. They turned from Nelson Street onto Richards Street travelling southbound, intending to stop at a coffee shop on Davie Street. In the 1000 block, Constable White saw the plaintiff walking down the sidewalk and thought he was Mr. N. Constable White could not recall what she said exactly to Constable Birnbaum, indicating it was something like, "there he is" or "that's him". He remembered her saying words to the effect of, "I think I have a warrant for that guy". Constable Birnbaum said he knew little about her investigation. Constable White could not recall what she told him before that day but her impression was he knew about Mr.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White said she stopped the police car within seconds of spotting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Constable White described Mr. N as a black male, between the ages of 35 and 45, about six feet tall, with an average build and short hair. She indicated there was nothing really distinctive about his appearance. The evidence includes two Vancouver Police Department prison release documents, one for Mr. N and the other for the plaintiff. Each contains a photograph or "mug shot" along with identifying information. When she was asked to look at the photographs together, Constable White readily acknowledged the men's faces appear different. The photographs and other identifying information indicate however that in addition to their race, Mr. N and Mr. Akintoye have a number of similar physical characteristics including their build, height, short hair, facial hair and apparent age. Although Mr. N is older than Mr. Akintoye he does not look as though he is in the mug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the driver's door of the police car next to the curb on the east side of the street, Constable White reached the sidewalk before Constable Birnbaum. She addressed the plaintiff as Mr. N. He looked away, said something like, "I don't know anyone here" and took a few steps as if to leave. She told him to stop and there was a warrant for his arrest. Mr. Akintoye denied that was true but stopped. Constable White asked him for identification and although he was arguing with her, he gave her his Ontario health card. It did not surprise her to see the card was not in Mr. N's name given her earlier dealings with him. Her intention at that point was to confirm the existence of the warrant and whether the name was among Mr. N's aliases, using the on-board computer. Constable White's testimony that she continued to believe the plaintiff was Mr. N never wavered.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was confident that before returning to the police car to use the onboard computer she directed the plaintiff to remain where he was, although she could not remember the precise words she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Constable Birnbaum was standing on the sidewalk by then acting as the cover officer; his role was to stand back and observe the situation closely. He described Mr. Akintoye as angry, yelling and confrontational from the start, clearly upset that police were stopping him. Constable Birnbaum recalled Constable White telling the plaintiff to stay with him before she returned to the police car and sat in the driver's seat with the door open. Shortly after she turned her back, however, the plaintiff followed her and stood in the space between her and the open car door yelling and protesting.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Constable White gave similar evidence. She did not describe him as yelling initially. Instead she recalled the plaintiff arguing and objecting. She remembered his demeanour changing the moment she sat down in the police car. He walked towards her yelling that she could not take his ID and "run" his name. Both constables considered it unsafe for Mr. Akintoye to be standing where he was. She recalled Constable Birnbaum telling him to get away from the open door and Mr. Akintoye moving to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Constable Birnbaum stated that in general police do not allow a person in that space for officer safety reasons but he was particularly concerned because the plaintiff's behaviour had gone from yelling and arguing to yelling, arguing and following Constable White. He seemed fixated on her. According to Constable Birnbaum the plaintiff ignored his directions so he took hold of his upper arm and brought him around to the other side of the car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Uncertain about which name on the Ontario health card was the surname, Constable White said she stood or popped up next to the driver's seat of the police car and asked the plaintiff to identify his last name. He resisted somewhat but then told her. After she began to input his name, she heard Constable Birnbaum tell the plaintiff to take his hands out of his pockets and the plaintiff argue his pants would fall down if he did so. She stopped the computer search at that point to help Constable Birnbaum. Constable White testified she was 100% certain the plaintiff's hands had not been in his pockets before that. Although she could not recall where they were, she was adamant she would have noticed and told him to take them out. She indicated one of the first things she learned during use of force training was not to deal with people while their hands are in their pockets because of the risk to officer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Constable Birnbaum's evidence was very similar. He too was positive the plaintiff's hands could not have been in his pockets up to that point because his training and experience as a police officer would have alerted him to that fact. Constable Birnbaum testified that after he brought the plaintiff to the other side of the police car door, he actually saw Mr. Akintoye put his left hand in his pocket. He testified he does not always ask people to remove their hands during investigative detentions but he did with the plaintiff because he was concerned about officer safety given the whole context. In response, Mr. Akintoye refused and argued his pants would fall down, which Constable Birnbaum did not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asking him a second or third time, Constable Birnbaum swore at the plaintiff, saying something like, "if you are going to act like an asshole you'll be treated like one". He said he had experienced success in dealing with people on the street using that sort of language. He had found it ended power struggles and the plaintiff up to that point had not been acknowledging his requests and commands. Constable Birnbaum then told the plaintiff if he did not remove his hand from his pocket he would be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Constable Birnbaum said he noticed the plaintiff "balling" up his hand in his pocket to form a fist, causing more concern. After the plaintiff refused his third request, Constable Birnbaum took hold of his left arm and removed his hand from the pocket, intending to handcuff him. Almost immediately, Mr. Akintoye tried to pull his arm away. Thinking he was preparing to fight, Constable Birnbaum put the plaintiff's left arm behind his back and positioned him over the hood of the police car to gain better control, using the "bent arm" manoeuvre and applying his weight to the plaintiff's shoulder. Constable Birnbaum described the plaintiff as yelling, thrashing and kicking at that point. He said he remembered Constable White calling for cover, although her evidence was she tried to do this later, as she came to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Constable Birnbaum disagreed that officers are not permitted to use handcuffs during investigative detentions. He also disagreed that if he was concerned about officer safety his only option was a pat-down search. Constable Birnbaum said he never had control over the plaintiff and it would have been unsafe to search for a weapon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Constable White denied hearing Constable Birnbaum refer to Mr. Akintoye as an asshole but she did recall him saying, "you are going into handcuffs," as she was getting out of the police car. She saw Constable Birnbaum put the plaintiff over the hood of the police car with his left arm behind his back and saw the plaintiff squirming and wiggling but not fighting. At that stage Constable White's role was to handcuff the plaintiff. When she placed a handcuff on his left wrist, he pulled his right arm up against his chest out of reach although she was directing him to give her that arm and to stop resisting. According to Constable White the plaintiff was tense and twisting at that point. She struck his upper thigh with her knee twice to distract him and stop his resistance, but he kept his right arm out of reach tight against his chest and did not comply when she repeated her direction. Constable White found she could not "out muscle" the plaintiff with her left arm so she leaned on him and said again, "give me your arm or you are going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 to Constable White, the plaintiff started kicking out or "mule kicking" towards her and Constable Birnbaum. From then on, she viewed herself as involved in arresting Mr. Akintoye for assaulting a police officer. She said she did not tell him he was under arrest because she was focused on trying to stop his aggression as quickly as possible. When she moved to take him to the ground however she lost her balance as he twisted. She fell backward bringing Mr. Akintoye down on top of her. She described his head as between her chest and neck, indicating it may have hit her during the fall but not the ground. Constable Birnbaum specified that Constable White landed on the road in the space between the police car and the curb beneath Mr. Akintoye who was kicking and thrashing his body back and forth. He did not see what happened to Mr. Akintoye's head when he was brought down on top of her. Constable White stated the plaintiff was "full body thrashing" like a fish out of water. She attempted to contain him with a bear hug. She could not get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Constable Birnbaum was holding on to the loose handcuff trying to ensure it did not hit anyone. Both officers described the danger it presented as a metal object with a serrated edge. Constable Birnbaum stood over the two of them attempting to keep them in place while he called for "code three" cover or emergency back-up. Mr. Akintoye continued to thrash and yell or scream.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Constable Birnbaum was aware of Constable White's previous knee strikes. He denied ever using his legs to strike or kick the plaintiff himself, specifying that kicking is contrary to police training. Both constables also denied that either of them punched or choked Mr. Akintoye.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Constable White recalled hearing sirens and then other officers pulling the plaintiff off of her. Constable Birnbaum remembered yelling and police commands but not what was said. He saw a melee of bodies on the ground but he could not say what force the other officers used, maintaining his focus on the handcuffs.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Constables McEvoy, Goodall, Roycombough and Gregoriou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not clear which two officers arrived first in response to Constable Birnbaum's code three cover call but they certainly arrived quickly. Such calls are made sparingly and only when an officer needs immediate help. All four constables were on patrol close by in the downtown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McEvoy said he and his partner Constable Goodall pulled up behind a parked police car. He saw Constables Birnbaum and White struggling with a man on the ground. Constable McEvoy described Constable White as "laid out" on the street with her arms wrapped around the plaintiff's feet and legs. Constable Birnbaum was struggling to hold his arm. The plaintiff was thrashing and flailing and seemed to be trying to kick his legs. Constable McEvoy noticed a handcuff on the plaintiff's left wrist so he moved to his upper right side and attempted to get a hold of the plaintiff's right arm which he was pulling under his body. Constable McEvoy recalled clearly that he told the plaintiff he was under arrest and to put his hands behind his back throughout his involvement. The plaintiff kept his arm out of reach but lifted his head and arched upwards. Constable McEvoy was on his knees by then and concerned the plaintiff was trying to reposition himself to stand up. In an effort to gain control, he said he pushed the plaintiff's head to the ground with an open hand. The plaintiff brought his right arm up to his face and Constable McEvoy was able to pull it around behind his back. Constable McEvoy believed the plaintiff's head was turned to the side, when he applied enough force to keep it on the ground. He firmly denied smashing the plaintiff's head or intending to cause him pain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was Constable McEvoy who placed a leg restraint around the plaintiff's ankles after he was handcuffed, testifying the plaintiff continued to kick his legs and roll around. He recalled the police wagon arriving very quickly. The plaintiff was still very tense and struggling physically at that point. Constable McEvoy and other officers carried and placed him in the wagon on his stomach. He said he did not recall seeing other officers strike the plaintiff, indicating he was focused on what he was doing. He also did not observe any injuries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McEvoy's partner Constable Goodall recalled hearing a clicking noise on the police radio shortly before the code three cover call, and arriving at almost the same time as Constables Roycombough and Gregoriou. He observed the plaintiff on his belly on the sidewalk with Constable Birnbaum at "his upper portion". His attention was drawn to Constable White's position on the ground which he found hard to describe. He indicated she was wedged into a ball between the tire of the police car and the curb holding on to the plaintiff's legs. Constable Goodall also remembered the plaintiff trying to roll in an attempt to get up and his arms being at his sides. He could not recall what Constable Birnbaum was doing but believed both he and Constable White had been trying to take the plaintiff into custody and he was resisting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he got closer Constable Goodall saw handcuffs on one of the plaintiff's wrists. He ran towards the three of them and went to the plaintiff's left side directing him to stop resisting. The plaintiff did not respond and held his left hand tight to his side as Constable Goodall tried to put his arm behind his back and handcuff him. Constable Goodall struck the plaintiff with his fist once at that point in the left rib area as hard as he could, based on his training. He expected the pain would distract the plaintiff from resisting and he saw the need to gain immediate control due to the loose handcuff. Constable Goodall was concerned about it being used as a weapon as well as the location of Constable White. Constable Goodall was on his knees and the plaintiff remained on his belly. After the first strike the plaintiff put his hands behind his back and someone finished handcuffing him. Constable Goodall did not know who that was. He denied observing any of the other officers strike the plaintiff. He also did not recall the plaintiff's head being pushed into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Roycombough's initial observations were much the same as Constable Goodall's although he remembered the plaintiff being on top of Constable White as she lay on the ground between the wheel of the police car and the curb. He also recalled Constable Birnbaum holding on to the plaintiff although he could not be sure where. His impression was Constable Birnbaum was trying to pull the plaintiff off of Constable White. Constable Roycombough said he began to do the same thing but it was very difficult. The plaintiff seemed to be throwing his body back on top of Constable White. Constable Roycombough remembered grabbing a hold of one of the plaintiff's arms but then losing control. He was flailing and thrashing his arms and legs very violently and making "short jolty" movements with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Constable Roycombough indicated that after repeatedly telling the plaintiff to stop resisting and to give him his hands, he struck the plaintiff's upper body once with his knee, believing there was no other option and it would distract him or cause temporary "motor dysfunction". Constable Roycombough described the circumstances as dangerous. He was on his knees in a high stress fight situation. The knee strike had no impact however. The plaintiff continued thrashing and flailing but he firmly denied using any other force. He also denied seeing anyone punch the plaintiff in the head, kick him or smash his head into the ground, but he also indicated he was unaware of what the other officers were doing. His head was down and he was focused on gaining control of one of the plaintiff's limbs. In cross-examination Constable Roycombough readily agreed his knee strike would have been painful, stating police officers are taught to use maximum force during a strike and not repeated strikes.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had no recollection of a leg restraint being used. He remembered there was yelling and a pitched screaming but no words and no crying. He recalled the plaintiff being carried to the police wagon very soon after he was subdued but not 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of his partner Constable Gregoriou is contained in a notice to admit. It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Cst. Gregoriou assisted other VPD constables in placing the Plaintiff into handcuffs. While doing so, for the purposes of attempting to place the Plaintiff into handcuffs, Cst. Gregoriou delivered a single knee strike to the Plaintiff's upper hip area with only limited effect.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Mr. Akintoye was in custody Cst. Gregoriou was provided with information from other constables, and that combined with his own knowledge from his personal involvement with the Plaintiff, believed he had reasonable and probable grounds that the Plaintiff had committed the offence of assault police officer (two counts).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3:15 PM on April 18, 2011, Cst. Gregoriou advised the Plaintiff that he was under arrest for assault police officer (two counts) and provided him with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under sections 10(a) and 10(b), to which the Plaintiff responded "yes" to each. The Plaintiff was also asked whether he wanted to speak to a lawyer to which the Plaintiff responded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Sergeant Emerslund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Sergeant Emerslund, now retired, recalled leaving the Vancouver Supreme Court at around 2:55 p.m. on April 18, 2011 when he heard a call for cover followed seconds later by Constable Birnbaum's code three call. When he arrived at the Police Incident there were three police cars stopped on the east side of Richards Street and he saw six police officers involved in a struggle. As he came closer he could see Constable White lying on her back on the road between the curb and the tire of a police car with a man, the plaintiff, on top of her, kicking as she tried to hold his feet. The plaintiff was yelling and screaming words to the effect of, "let me go" and "you can't do this". Sergeant Emerslund testified that he stood by and watched, specifying his role as the sergeant on duty required him to attend serious incidents and ensure police procedures and policies were followed. However he also testified he did not observe any of the officers strike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He was able to recall Constable White getting out from under him and the plaintiff facing south on his stomach and side kicking and thrashing as the officers tried to subdue him and get his hands together. After the plaintiff was placed in handcuffs Sergeant Emerslund oversaw him being searched and carried to the police wagon. The plaintiff continued moving on the ground during the search and squirming as he was carried. Sergeant Emerslund denied the plaintiff was </w:t>
      </w:r>
      <w:r>
        <w:rPr>
          <w:rFonts w:ascii="arial" w:eastAsia="arial" w:hAnsi="arial" w:cs="arial"/>
          <w:i/>
          <w:color w:val="000000"/>
          <w:sz w:val="20"/>
          <w:lang w:val="en-US" w:eastAsia="en-US" w:bidi="ar-SA"/>
        </w:rPr>
        <w:t>thrown</w:t>
      </w:r>
      <w:r>
        <w:rPr>
          <w:rFonts w:ascii="arial" w:eastAsia="arial" w:hAnsi="arial" w:cs="arial"/>
          <w:color w:val="000000"/>
          <w:sz w:val="20"/>
          <w:lang w:val="en-US" w:eastAsia="en-US" w:bidi="ar-SA"/>
        </w:rPr>
        <w:t xml:space="preserve"> into the wagon, stating he was there to ensure that did not happen and he actually observed him being placed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Sergeant Emerslund spoke to Constables White and Birnbaum after the plaintiff had been subdued. Based on what they told him and his own observations of the plaintiff, as well as cuts to Constable White's elbows and one hand, he advised Constable Gregoriou to formally arrest the plaintiff for two counts of assaulting a peace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Sergeant Emerslund was present when Constable White completed her computer search and learned the plaintiff was not Mr. N. That result did not change his mind about the arrest of Mr. Akintoye, or his opinion she had reasonable grounds to believe Mr. Akintoye was that person and under a duty to investigate further when she first detained him. He directed Constables Goodall and McEvoy to canvass the area for witnesses and security cameras. None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Sergeant Emerslund the plaintiff remained on the ground after he was subdued in handcuffs and a leg restraint for two or three minutes before the police wagon arrived. He continued yelling once he was placed in the police wagon which left for the jail 15 or 20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Given his response to police, Sergeant Emerslund was concerned the plaintiff may be suffering from a mental illness or the effects of drugs. He considered sending him to St. Paul's Hospital but there was an issue with how long it would take to have the plaintiff admitted. Sergeant Emerslund knew an assessment could be done later at the jail where there were two nurses and a doctor on duty during the day. He was not prepared to release the plaintiff at the scene given his highly aggressive state. The sergeant said he was concerned there could be further violence or a problem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Sergeant Emerslund went to speak to the plaintiff in the police wagon aware he had asked to speak to counsel. He indicated he was trying to find out if the plaintiff was injured but he acknowledged he was also seeking information. He denied observing any blood or marks on him. The plaintiff was still yelling and probably crying at that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John Irving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John Irving, a senior use of force instructor with the Justice Institute of BC gave evidence about the training he provides to police officers. Most if not all of the constables testified to completing their use of force training with Mr. Irving or at the Justice Institute. He emphasized that officers learn their ongoing assessment of all the circumstances drives the selection of force options. He explained the national use of force framework which provides a visual model utilized in use of force training. The model correlates a continuum of subject behaviour (cooperative, passively resistant, actively resistant and assaultive) with appropriate forms of police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Irving confirmed the evidence of the constables regarding their training and the techniques they used in dealing with Mr. Akintoye. For example officers are trained to pay attention to what is happening with a person's hands given the risk they pose. Mr. Irving indicated officers are taught to direct a person to show his hands. The message they receive is empty hands are safest. Handcuffs are used to restrict the movement of hands. He described a single handcuff as potentially, a very dangerous weapon. A leg restraint or hobble is appropriate any time a person is using his legs to cause harm to himself or others. In cross-examination Mr. Irving agreed that when an officer yells and swears it can escalate a person but he also identified yelling and swearing along with speaking calmly as appropriate forms of communication. Yelling and swearing are intended to shock a person into de-escalation.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Irving also confirmed officers are taught to use a knee strike with active resistors and to hit as hard as possible when they use physical force. A strike is supposed to hurt enough to create a distraction through temporary motor dysfunction allowing the officer to gain control of the person. Officers are taught how to execute a knee strike standing or kneeling. They are instructed to aim for the legs or torso.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described the bent arm bar technique as a way of putting a combative person under some semblance of control in order to place him in handcuffs. It usually involves taking the person to the ground face down making it much harder to resist and fight. Mr. Irving indicated time is of the essence when officers are using force. The longer the interaction the greater the risk those involved will get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Having examined closely the probabilities affecting the case and the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factors with less emphasis on demeanour in relation to Mr. Akintoye, it is my assessment his evidence must be approached cautiously and the testimony of the police witnesses was largely but not entirely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are a number of reasons why I have significant concerns about the plaintiff's credibility. Mr. Akintoye's ability to accurately remember events is affected by his illness but his recollections also aligned closely with his self-interest. On several important issues including his own conduct, the conduct of the officers, the onset of psychotic symptoms and to some extent his physical injuries, his testimony was also inconsistent. It not only changed between direct and cross-examination but during cross-examination, his testimony about a particular issue often involved a combination of not answering the question, denying circumstances relating to the issue and also stating he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addition, I found some of the plaintiff's evidence improbable. A key example arises from his claim his hands had remained in his pockets throughout and he refused to remove his hand(s) from his pocket(s) </w:t>
      </w:r>
      <w:r>
        <w:rPr>
          <w:rFonts w:ascii="arial" w:eastAsia="arial" w:hAnsi="arial" w:cs="arial"/>
          <w:i/>
          <w:color w:val="000000"/>
          <w:sz w:val="20"/>
          <w:lang w:val="en-US" w:eastAsia="en-US" w:bidi="ar-SA"/>
        </w:rPr>
        <w:t>because</w:t>
      </w:r>
      <w:r>
        <w:rPr>
          <w:rFonts w:ascii="arial" w:eastAsia="arial" w:hAnsi="arial" w:cs="arial"/>
          <w:color w:val="000000"/>
          <w:sz w:val="20"/>
          <w:lang w:val="en-US" w:eastAsia="en-US" w:bidi="ar-SA"/>
        </w:rPr>
        <w:t xml:space="preserve"> he was concerned his pants would fall down otherwise. Mr. Akintoye indicated he was living in Surrey at the time and forget his belt that morning. It is simply not plausible that he travelled all the way from Surrey to Frog Hollow and then to Richards Street downtown that day, intending to walk to his next appointment, located some distance away, holding up his pants with a hand or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His evidence regarding the extreme violence inflicted by the police officers also strikes me as improbable, bearing in mind the Police Incident occurred mid-afternoon in downtown Vancouver where police officers would reasonably expect their actions to be observed by any number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Further, Mr. Akintoye's allegations he was punched in the face and body, kicked with boots repeatedly and his face smashed into the pavement are inconsistent with the documentary evidence. The prison release document lists no signs of injury except for a "mark" on the plaintiff's forehead under the heading, "Scars Marks Tattoos". In direct examination the plaintiff confirmed the accuracy of other parts of the same document. He attended the emergency department of Surrey Memorial Hospital ("SMH") on April 19, 2011. The hospital record completed by a physician indicates the plaintiff complained of pain in his neck, right shoulder, right wrist and right middle finger. The SMH "triage form" states the plaintiff reported dizziness and body ache. The SMH "triage assessment" document provides a more detailed description of his complaints: "Injured while being handled by Vancouver police yesterday. Rt forehead bump from being pushed to ground. Rt shoulder blade area bruised feeling [and] scraped. Lt middle finger pain. Rt wrist pain. States is tired and dizzy." In direct examination the plaintiff said he described all of the physical injuries he had received at the hands of the police to the doctor at SMH. The physician noted however "zero" signs of head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An ambulance care report dated April 21, 2011 describes a "very small scab" on the upper right side of the plaintiff's face and no other obvious injuries. The VGH admission record for that day indicates the plaintiff reported generalized pain and dizziness. The nursing record expressly noted no sign of external injuries. In a discharge summary, Dr. David Collins wrote the plaintiff requested that pictures be taken to document his injuries. Dr. Collins specified however that "other than a small, less than 0.5 cm abrasion to the forehead, which improved during the hospital course", he "did not really see significant physical evidence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clinical records of Dr. Ketene document other physical injuries to the plaintiff on April 27, 2011, including healing abrasions on his right elbow, his right knee, right forehead and between his eyebrows, as well as healed abrasions on his wrist. According to his records, the plaintiff complained of pain at the upper right quadrant of his liver border, in the epigastric area, and in the right kidney area during a physical examination. The plaintiff missed a subsequent ultrasound appointment scheduled to rule out hematoma or bruising to his liver and right kidney. Dr. Ketene examined him again on May 30, 2011. The plaintiff reported tenderness to areas of his neck and back. Dr. Ketene noted diminished range of motion. In cross-examination he agreed the plaintiff did not complain of physical symptoms after that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Obviously any of the abrasions Dr. Ketene observed on April 27, 2011 that were not present during the plaintiff's stay at VGH could not have been caused during the Police Incident. It may be that the physicians and nurses at SMH and VGH, as well as the ambulance attendant examined him less closely or took incomplete notes. I would be somewhat surprised however if Dr. Collins failed to record, in particular, an abrasion between the plaintiff's eyebrows, if it was there to be seen, given the precision with which he described the size and improvement in the abrasion on his forehead. Assuming the same small healing abrasion Dr. Collins observed had not healed by April 27, 2011, Dr. Ketene's record regarding the injury is much less specific. In fact there is no indication of the length, width or depth of any of the abrasions although Mr. Akintoye told him that day he had been beaten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By contrast, the evidence of the police officers was materially consistent both internally and externally. Minor discrepancies in their descriptions of the Police Incident are well explained by differences in their exposure to the circumstances. Each of them testified in a straight forward, sincere manner. They were responsive and reasonable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Despite this positive impression, I do not accept the evidence of Constables Goodall, McEvoy, Roycombough and Sergeant Emerslund on one particular point. All four testified they did not observe or recollect any of the other officers using force against the plaintiff. Constable White said the same thing, which is more understandable because she was not in a position to directly observe many of the interactions during the Police Incident. Constable Birnbaum was the most candid. He actually acknowledged another officer's use of force insofar as he testified to being aware of Constable White's knee strikes. "Read-ins" from his examination for discovery include testimony that he also saw the plaintiff "get striked" by the other officers although he could not be more specific, describing a melee.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Irving's evidence satisfies me all of the police officers were trained to continually assess the totality of the circumstances when determining the appropriate use of force. Furthermore Sergeant Emerslund said he was there in part to watch and ensure police policies and procedures were followed. I do not doubt the officers' perceptions and recollections were impacted by the intensity and dynamic nature of the Police Incident, as well as the passage of time, but apart from the plaintiff's behaviour what could be more important to pay attention to than the actions of other officers? I am not suggesting the police witnesses were dishonest when they denied being able to recall or ever being aware that other officers used force. Rather I view them as unable to resist the influence of interest with respect to this particular aspect of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Nonetheless and based on a number of factors, I accept that each constable described his or her own use of force accurately. Those factors include the probabilities affecting the case, again the time and location of the Police Incident; Sergeant Emerslund's presence; the medical records regarding the plaintiff's injuries; my assessment of the plaintiff's credibility and the demeanour of the constables, which did not suggest a preoccupation with their authority as police officers, aggression, or any disregard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Accordingly where the evidence of the plaintiff and the police officers conflict I largely prefer the evidence of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light of the evidence and my assessment of credibility, I make the following findings and draw the following inferences: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infer the plaintiff was likely experiencing some psychotic symptoms prior to and at the time of the Police Incident, bearing in mind the intensity of his reaction, and the prior symptoms including hallucinations and delusions he reported to health care providers reviewed above, all of which is consistent with his testimony about hearing negative voices that day and believing the police officers had come to attack him and demolish his life. I draw this inference bearing in the mind the plaintiff's memory difficulties may well have effected all aspects of his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White honestly believed Mr. Akintoye was Mr. N when she saw him walking down Richards Street. Although their faces are readily distinguished when comparing their mug shots, they have a number of similar physical characteristics including race, short hair, height, build, facial hair and apparent age.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stopped the police car within seconds of seeing Mr. Akintoye, addressed him as Mr. N and indicated he was to remain where he was while she checked the Ontario health card he provided her with against Mr. N's aliases and confirmed his arrest warrant remained outstanding.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had limited knowledge of Mr. N prior to the Police Incident although he understood Constable White was stopping him because she thought there was a warrant for his arrest.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upset about being stopped. He was argumentative with Constable White from the outset. His behaviour escalated once she took his identification and returned to the police car. He began yelling at her and continued to argue. He followed her and stood in the space between the open driver's door and the driver's seat of the police car.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ignored Constable Birnbaum's requests to move away from Constable White who was seated in the driver seat, so Constable Birnbaum took hold of his upper arm and directed him to the other side of the police car door.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White stood up very briefly and asked the plaintiff to identify which of the names that appeared on the health card was his last name which he did.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 saw Mr. Akintoye place his left hand into the pocket of his pants, Constable Birnbaum asked him to remove it. Mr. Akintoye refused, arguing his pants would fall down, although his hands had not been in his pockets before then.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told the plaintiff to remove his hand again once or twice and used the word "asshole" in an attempt to gain his compliance. The plaintiff was very upset and startled by this use of language. Constable Birnbaum also told him he would be handcuffed if he did not comply.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noticed the plaintiff balling up his hand inside his pocket as he continued to refuse to remove his hand from his pocket.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grabbed the plaintiff's left arm to pull his hand from his pocket, intending to place the plaintiff in handcuffs. However the plaintiff tried to pull his arm away. Constable Birnbaum thought the plaintiff was planning to fight so he used the "bent arm manoeuvre" to gain better control. As the plaintiff was face down over the hood of the police car, he struggled against Constable Birnbaum. I accept he also kicked out at him.</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time, the plaintiff had become more and more distressed, sensing he was under attack and in danger, which made it increasingly difficult for him to perceive what was actually happening.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White had not finished inputting the plaintiff's last name into the onboard computer when she heard Constable Birnbaum tell the plaintiff to take his hands out of his pockets. She got out of the police car and went to his right side. She observed the plaintiff physically resisting as he was bent over the hood of the police car, squirming and wiggling but not kicking. Once she placed a handcuff on the plaintiff's left wrist he pulled his other arm up against his chest and out of reach. He continued to struggle physically against both constables and was unresponsive to their repeated directions to stop resisting and to provide them with his other arm. Both officers were concerned about the danger posed by the loose handcuff given it is made of metal and has a serrated edge.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White struck the plaintiff's upper thigh with her knee twice in an attempt to distract him and stop his behaviour. The knee strikes were not effective, however. Instead of complying with their directions, the plaintiff began kicking out at both officers and twisting his body. At that point, Constable White told the plaintiff he was going to the ground if he did not comply. Intending to take him forward, she lost her balance and fell backwards pulling the plaintiff on top of her with his head against her upper torso.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Constable White attempted to make a call for cover. Constable Birnbaum completed a code three call as soon as she fell. Lying on her back she was wedged into a confined space on the ground with the plaintiff on top of her fighting uncontrollably. He was thrashing his body and flailing his limbs. Constable Birnbaum tried to maintain control of the loose handcuff and the plaintiff from above while Constable White struggled to hang on to him from beneath.</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Constables Goodall, McEvoy, Roycombough and Gregoriou arrived very quickly in response to the emergency call. They came upon a chaotic and volatile situation. Each of them observed Constable White lying in a vulnerable and confined position on the ground with the plaintiff either on top of her or to her side as he fought against her and Constable Birnbaum.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plaintiff was moved from a position that prevented Constable White from being able to get off the ground to then being on his stomach on the ground is unclear.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however he never stopped fighting and struggling against the attempts of the four additional officers to handcuff his unrestrained wrist by thrashing his body, flailing his legs and keeping his right arm inaccessible.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force used by Constables McEvoy, Goodall and Roycombough was as they described. I accept Constable Gregoriou's use of force was limited to the single knee strike described in the notice to admit. I find that each of the four constables had some awareness of the force used by the others and governed their actions accordingly. At no point was the plaintiff's head smashed to the ground. He was never kicked. Nor was he struck in the face.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subjected to any physical force after being handcuffed although he continued to thrash his body and kick his legs, apart from Constable McEvoy placing the hobble or leg restraint around his lower legs to restrain their movement.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also continued to yell and perhaps scream. He was unable to focus on the many verbal commands made by the four additional officers to stop resisting and give up his arm.</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remained on the ground in handcuffs and the hobble for a relatively short period of time before the police wagon arrived.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continued to struggle while being carried to the police wagon. I do not accept he was aggressively thrown or dumped into the police wagon.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some point before the wagon took him to the jail he was offered medical assistance. He was informed he was under arrest for two counts of assaulting a peace officer and read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by Constable Gregoriou.</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none of the officers observed any obvious physical injuries to the plaintiff, I accept he suffered some very minor abrasions land temporarily experienced tenderness localized to where he was struck with a knee or fist.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Again, the plaintiff's action against the defendants is based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Despite its name, the tort of assault involves the intentional creation of the apprehension of immediate harmful or offensive conduct but no actual touching. A battery occurs whenever unlawful force is intentionally inflicted on another person that is either physically harmful or offensive to his reasonable sense of dignity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246, 263). False imprisonment is the intentional and total confinement of a person against his will without justification. If a police officer acts with legal authority, his or her imprisonment of a person will be justified. An imprisonment will not be justified when it follows an unlawful detention or arrest (</w:t>
      </w:r>
      <w:r>
        <w:rPr>
          <w:rFonts w:ascii="arial" w:eastAsia="arial" w:hAnsi="arial" w:cs="arial"/>
          <w:i/>
          <w:color w:val="000000"/>
          <w:sz w:val="20"/>
          <w:lang w:val="en-US" w:eastAsia="en-US" w:bidi="ar-SA"/>
        </w:rPr>
        <w:t>Ward v. City of Vancouver</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2007 BCSC 3</w:t>
        </w:r>
      </w:hyperlink>
      <w:r>
        <w:rPr>
          <w:rFonts w:ascii="arial" w:eastAsia="arial" w:hAnsi="arial" w:cs="arial"/>
          <w:color w:val="000000"/>
          <w:sz w:val="20"/>
          <w:lang w:val="en-US" w:eastAsia="en-US" w:bidi="ar-SA"/>
        </w:rPr>
        <w:t xml:space="preserve"> at paras. 48-49, aff'd </w:t>
      </w:r>
      <w:hyperlink r:id="rId50" w:history="1">
        <w:r>
          <w:rPr>
            <w:rFonts w:ascii="arial" w:eastAsia="arial" w:hAnsi="arial" w:cs="arial"/>
            <w:i/>
            <w:color w:val="0077CC"/>
            <w:sz w:val="20"/>
            <w:u w:val="single"/>
            <w:shd w:val="clear" w:color="auto" w:fill="FFFFFF"/>
            <w:lang w:val="en-US" w:eastAsia="en-US" w:bidi="ar-SA"/>
          </w:rPr>
          <w:t>2009 BCCA 23</w:t>
        </w:r>
      </w:hyperlink>
      <w:r>
        <w:rPr>
          <w:rFonts w:ascii="arial" w:eastAsia="arial" w:hAnsi="arial" w:cs="arial"/>
          <w:color w:val="000000"/>
          <w:sz w:val="20"/>
          <w:lang w:val="en-US" w:eastAsia="en-US" w:bidi="ar-SA"/>
        </w:rPr>
        <w:t xml:space="preserve">, rev'd on other grounds, </w:t>
      </w:r>
      <w:hyperlink r:id="rId51"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Justification is a defence to both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plaintiff to prove (a) the defendants owed him a duty of care; (b) the standard of care required of the defendants to fulfill the duty of care; (c) the defendants breached that duty by failing to exercise that standard of care; and (d) the breach of the duty of care caused the plaintiff to suffer injuries, damage or losses that were not too remote (</w:t>
      </w:r>
      <w:r>
        <w:rPr>
          <w:rFonts w:ascii="arial" w:eastAsia="arial" w:hAnsi="arial" w:cs="arial"/>
          <w:i/>
          <w:color w:val="000000"/>
          <w:sz w:val="20"/>
          <w:lang w:val="en-US" w:eastAsia="en-US" w:bidi="ar-SA"/>
        </w:rPr>
        <w:t>Laktin v. Vancouver (City)</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2013 BCSC 2270</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defendants concede that police officers subjected Mr. Akintoye to unwanted force during the Police Incident, and absent a valid defence they would be liable for battery. They rely on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provides a statutory justification for an officer's use of force during the exercise of his or her lawful authority. The relevant parts of the provision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Protection of persons acting under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(1) Every one who is required or authorized by law to do anything in the administration or enforcement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is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Section 25(1) is not a source of extra police powers. Instead it operates to justify the use of force when a police officer's conduct is permitted pursuant to a separate statutory or common law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defendants accept that under s. 25, they bear the onus of proving on a balance of probabilities, three requirements described in </w:t>
      </w:r>
      <w:r>
        <w:rPr>
          <w:rFonts w:ascii="arial" w:eastAsia="arial" w:hAnsi="arial" w:cs="arial"/>
          <w:i/>
          <w:color w:val="000000"/>
          <w:sz w:val="20"/>
          <w:lang w:val="en-US" w:eastAsia="en-US" w:bidi="ar-SA"/>
        </w:rPr>
        <w:t>Chartier v. Graves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[2001] O.J. No. 634</w:t>
        </w:r>
      </w:hyperlink>
      <w:r>
        <w:rPr>
          <w:rFonts w:ascii="arial" w:eastAsia="arial" w:hAnsi="arial" w:cs="arial"/>
          <w:color w:val="000000"/>
          <w:sz w:val="20"/>
          <w:lang w:val="en-US" w:eastAsia="en-US" w:bidi="ar-SA"/>
        </w:rPr>
        <w:t xml:space="preserve"> at para. 54 (S.C.), as follows: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conduct was required or authorized by law in administering or enforcing the law;</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acted on reasonable grounds in using force;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did not use unnecessary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third requirement focuses on the level or degree of force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Nasogaluak</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2010 SCC 6</w:t>
        </w:r>
      </w:hyperlink>
      <w:r>
        <w:rPr>
          <w:rFonts w:ascii="arial" w:eastAsia="arial" w:hAnsi="arial" w:cs="arial"/>
          <w:color w:val="000000"/>
          <w:sz w:val="20"/>
          <w:lang w:val="en-US" w:eastAsia="en-US" w:bidi="ar-SA"/>
        </w:rPr>
        <w:t>, the Supreme Court of Canada specified the degree of "allowable" force is constrained by the principles of proportionality, necessity and reasonableness, cautioning: "courts must guard against the illegitimate use of power by the police against members of our society, given its grave consequences"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subjective-objective or modified objective test is applied to assess the reasonableness of a police officer's belief that the force used was necessary: he or she must subjectively believe the force used was necessary and that belief must be objectively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Recognizing police officers often engage in dangerous and demanding work that requires them to react quickly, they are not expected to measure the level of force used "with exactitude". Put another way, they are not required to use the least amount of force necessary to achieve a valid law enforcement objective. Although entitled to be wrong in judging the degree of force required, an officer must act reasonably (</w:t>
      </w:r>
      <w:r>
        <w:rPr>
          <w:rFonts w:ascii="arial" w:eastAsia="arial" w:hAnsi="arial" w:cs="arial"/>
          <w:i/>
          <w:color w:val="000000"/>
          <w:sz w:val="20"/>
          <w:lang w:val="en-US" w:eastAsia="en-US" w:bidi="ar-SA"/>
        </w:rPr>
        <w:t>Crampton v. Walton</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2005 ABCA 81</w:t>
        </w:r>
      </w:hyperlink>
      <w:r>
        <w:rPr>
          <w:rFonts w:ascii="arial" w:eastAsia="arial" w:hAnsi="arial" w:cs="arial"/>
          <w:color w:val="000000"/>
          <w:sz w:val="20"/>
          <w:lang w:val="en-US" w:eastAsia="en-US" w:bidi="ar-SA"/>
        </w:rPr>
        <w:t xml:space="preserve"> at para. 22). The common law accepts that a range of use of force responses may be reasonable in a given set of circumstances (</w:t>
      </w:r>
      <w:r>
        <w:rPr>
          <w:rFonts w:ascii="arial" w:eastAsia="arial" w:hAnsi="arial" w:cs="arial"/>
          <w:i/>
          <w:color w:val="000000"/>
          <w:sz w:val="20"/>
          <w:lang w:val="en-US" w:eastAsia="en-US" w:bidi="ar-SA"/>
        </w:rPr>
        <w:t>Bencsetler v. Vancouver (City)</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2015 BCSC 1422</w:t>
        </w:r>
      </w:hyperlink>
      <w:r>
        <w:rPr>
          <w:rFonts w:ascii="arial" w:eastAsia="arial" w:hAnsi="arial" w:cs="arial"/>
          <w:color w:val="000000"/>
          <w:sz w:val="20"/>
          <w:lang w:val="en-US" w:eastAsia="en-US" w:bidi="ar-SA"/>
        </w:rPr>
        <w:t xml:space="preserve"> at para. 153). The reasonableness, proportionality and necessity of the police conduct are assessed in light of those circumstances, not based on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suggest the approach taken in </w:t>
      </w:r>
      <w:r>
        <w:rPr>
          <w:rFonts w:ascii="arial" w:eastAsia="arial" w:hAnsi="arial" w:cs="arial"/>
          <w:i/>
          <w:color w:val="000000"/>
          <w:sz w:val="20"/>
          <w:lang w:val="en-US" w:eastAsia="en-US" w:bidi="ar-SA"/>
        </w:rPr>
        <w:t>Berntt v. Vancouver (City)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should be applied to determine whether the officers' use of force was justified. Justice Southin described the trial judge as adopting the role of a "doppelganger" at the moment of the impugned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judge must go with the officer, at least from the time the officer first was sent to the place where the riot was in progress. I say "at least" because the peace officer's training experience, the orders of the day given to him, are all part of what goes into the answer to the question of "reasonable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R. v. Pompeo</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2014 BCCA 317</w:t>
        </w:r>
      </w:hyperlink>
      <w:r>
        <w:rPr>
          <w:rFonts w:ascii="arial" w:eastAsia="arial" w:hAnsi="arial" w:cs="arial"/>
          <w:color w:val="000000"/>
          <w:sz w:val="20"/>
          <w:lang w:val="en-US" w:eastAsia="en-US" w:bidi="ar-SA"/>
        </w:rPr>
        <w:t>, the Court of Appeal clarified that although the trial judge must consider the matter from the stand point of a person with the background, experience and training of the officer in question, the doppelganger "imagery" was simply an illustration of the nature of the subjective-objective test for assessing the reasonableness of the officer's belief the force used was necessary (at paras. 36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Mr. Akintoye disputes the validity of his detention from the outset, he agrees he was detained for investigative purposes when Constable Birnbaum first attempted to handcuff him using physical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To avail themselves of s. 25(1), the defendants must prove the police were authorized to place the plaintiff in handcuffs and use physical force during an investigative detention.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of 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Mann</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2004 SCC 52</w:t>
        </w:r>
      </w:hyperlink>
      <w:r>
        <w:rPr>
          <w:rFonts w:ascii="arial" w:eastAsia="arial" w:hAnsi="arial" w:cs="arial"/>
          <w:color w:val="000000"/>
          <w:sz w:val="20"/>
          <w:lang w:val="en-US" w:eastAsia="en-US" w:bidi="ar-SA"/>
        </w:rPr>
        <w:t>, recognized that police officers have a limited common law power to detain a person for investigative purposes and to conduct a pat-down search to ensure their safety during that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Justice Iacobucci for the majority summarized the requirements for the valid exercise of the common law power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 police officers may detain an individual for investigative purposes if there are reasonable grounds to suspect in all the circumstances that the individual is connected to a particular crime and that such a detention is necessary. In addition, where a police officer has reasonable grounds to believe that his or her safety or that of others is at risk, the officer may engage in a protective pat-down search of the detained individual. Both the detention and the pat-down search must be conducted in a reasonable manner. In this connection, I note that the investigative detention should be brief in duration and does not impose an obligation on the detained individual to answer questions posed by the police. The investigative detention and protective search power are to be distinguished from an arrest and the incidental power to search on arrest, which do not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facts of the case involved Mr. Mann being stopped by police because he matched the description of a suspect to a break and enter that had just occurred in the area. Police found illegal drugs in his pocket during a pat-down search for concealed weapons. Mr. Mann was arrested and charged with possession of marijuana for the purpose of trafficking. The trial judge held the officer was justified in his search of Mr. Mann for security reasons but the search of his pocket contravened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Supreme Court of Canada upheld that finding, concluding there was no reasonable basis for reaching into Mr. Mann's pocket.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Instead of recognizing a general common law police power to detain a person for investigative purposes or to conduct an incidental safety search, Justice Iacobucci identified a two pronged analysis derived from </w:t>
      </w:r>
      <w:r>
        <w:rPr>
          <w:rFonts w:ascii="arial" w:eastAsia="arial" w:hAnsi="arial" w:cs="arial"/>
          <w:i/>
          <w:color w:val="000000"/>
          <w:sz w:val="20"/>
          <w:lang w:val="en-US" w:eastAsia="en-US" w:bidi="ar-SA"/>
        </w:rPr>
        <w:t>R. v. Waterfield</w:t>
      </w:r>
      <w:r>
        <w:rPr>
          <w:rFonts w:ascii="arial" w:eastAsia="arial" w:hAnsi="arial" w:cs="arial"/>
          <w:color w:val="000000"/>
          <w:sz w:val="20"/>
          <w:lang w:val="en-US" w:eastAsia="en-US" w:bidi="ar-SA"/>
        </w:rPr>
        <w:t>, [1963] 3 All E.R. 659 (C.C.A.), as the framework for determining the bounds of police powers where an officer's conduct interferes with individual liberty interests. At the first stage of the analysis, the court must consider whether the conduct falls within the scope of a statutory or common law police duty such as preserving the peace, preventing and investigating crime or protecting life and property (at para. 26). If this threshold is met, the second stage examines whether the conduct involved an unjustifiable use of police powers associated with that duty based on three factors: whether the interference with the individual's interest was necessary to perform the duty and reasonable in light of the importance of the public purpose served by the police duty; the nature of the liberty interest interfered with; and the nature and extent of the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Justice Iacobucci explained the application of the Waterfield analysis to an investigative detention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 The detention must be viewed as reasonably necessary on an objective view of the totality of the circumstances, informing the officer's suspicion that there is a clear nexus between the individual to be detained and a recent or on-going criminal offence. Reasonable grounds figures at the front-end of such an assessment, underlying the officer's reasonable suspicion that the particular individual is implicated in the criminal activity under investigation. The overall reasonableness of the decision to detain, however, must further be assessed against all of the circumstances, most notably the extent to which the interference with individual liberty is necessary to perform the officer's duty, the liberty interfered with, and the nature and extent of that interference, in order to meet the second prong of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concluded the incidental power to conduct a pat-down search falls within the scope of the general duty of police to protect life. To exercise the power lawfully an officer must believe on reasonable grounds his or her own safety or the safety of others is at risk. The decision to search must also be reasonably necessary based on the totality of the circumstances and the search itself must be conducted in a reasonable manner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paras. 36,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During his discussion of the protective pat-down search power, Justice Iacobucci recognized the importance of officer safety, stating: "[p]olice officers face any number of risks every day in the carrying out of their policing function, and are entitled to go about their work secure in the knowledge that risks are minimized to the greatest extent possible"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note Mr. Akintoye's counsel suggested the principles articulated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prohibit the police from doing anything other than a limited pat-down search in response to officer safety concerns during an investigative detention. Very recently, however, this view was expressly rejected in </w:t>
      </w:r>
      <w:r>
        <w:rPr>
          <w:rFonts w:ascii="arial" w:eastAsia="arial" w:hAnsi="arial" w:cs="arial"/>
          <w:i/>
          <w:color w:val="000000"/>
          <w:sz w:val="20"/>
          <w:lang w:val="en-US" w:eastAsia="en-US" w:bidi="ar-SA"/>
        </w:rPr>
        <w:t>R. v. Patrick</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2017 BCCA 57</w:t>
        </w:r>
      </w:hyperlink>
      <w:r>
        <w:rPr>
          <w:rFonts w:ascii="arial" w:eastAsia="arial" w:hAnsi="arial" w:cs="arial"/>
          <w:color w:val="000000"/>
          <w:sz w:val="20"/>
          <w:lang w:val="en-US" w:eastAsia="en-US" w:bidi="ar-SA"/>
        </w:rPr>
        <w:t xml:space="preserve">, leave to appeal to SCC requested, </w:t>
      </w:r>
      <w:hyperlink r:id="rId61" w:history="1">
        <w:r>
          <w:rPr>
            <w:rFonts w:ascii="arial" w:eastAsia="arial" w:hAnsi="arial" w:cs="arial"/>
            <w:i/>
            <w:color w:val="0077CC"/>
            <w:sz w:val="20"/>
            <w:u w:val="single"/>
            <w:shd w:val="clear" w:color="auto" w:fill="FFFFFF"/>
            <w:lang w:val="en-US" w:eastAsia="en-US" w:bidi="ar-SA"/>
          </w:rPr>
          <w:t>[2017] S.C.C.A. No. 108</w:t>
        </w:r>
      </w:hyperlink>
      <w:r>
        <w:rPr>
          <w:rFonts w:ascii="arial" w:eastAsia="arial" w:hAnsi="arial" w:cs="arial"/>
          <w:color w:val="000000"/>
          <w:sz w:val="20"/>
          <w:lang w:val="en-US" w:eastAsia="en-US" w:bidi="ar-SA"/>
        </w:rPr>
        <w:t xml:space="preserve">. Mr. Patrick was acquitted of several firearm offences after evidence was seized during a roadside stop and from his residence in a subsequent "warranted" search. The police officer who stopped Mr. Patrick's vehicle had asked him about an oddly shaped bulge under his jacket which the trial judge found violated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Crown's appeal was allowed in part. The Court of Appeal determined the trial judge had erred in finding that posing any questions to a detainee during an investigative detention breaches his or her s. 8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Justice Fitch observed the power to conduct a protective search during a valid investigative detention recognizes the unpredictable, dynamic and sometimes dangerous context in which police are obligated to discharge their public duties (at para. 61). His conclusions regarding the nature of the incidental search power were as follows: first, the power to search is not necessarily restricted to a physical pat-down search of the detained person; second, assessing whether the search was justified and conducted in a reasonable manner is based on the rationale underlying the common law power itself: the prevention of avoidable harm through a brief and minimally intrusive search; and third, police officers must be allowed reasonable latitude in determining how to conduct a search in the context of the particular case given their public duties require them to interact with people in potentially dangerous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the Supreme Court of Canada has continued to apply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to determine the limits of police powers at common law. In the context of investigative detentions the Court has not yet considered the use of restraints or physical force although in </w:t>
      </w:r>
      <w:r>
        <w:rPr>
          <w:rFonts w:ascii="arial" w:eastAsia="arial" w:hAnsi="arial" w:cs="arial"/>
          <w:i/>
          <w:color w:val="000000"/>
          <w:sz w:val="20"/>
          <w:lang w:val="en-US" w:eastAsia="en-US" w:bidi="ar-SA"/>
        </w:rPr>
        <w:t>R. v. Clayton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2007 SCC 32</w:t>
        </w:r>
      </w:hyperlink>
      <w:r>
        <w:rPr>
          <w:rFonts w:ascii="arial" w:eastAsia="arial" w:hAnsi="arial" w:cs="arial"/>
          <w:color w:val="000000"/>
          <w:sz w:val="20"/>
          <w:lang w:val="en-US" w:eastAsia="en-US" w:bidi="ar-SA"/>
        </w:rPr>
        <w:t>, one of the accused was subjected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central issue in </w:t>
      </w:r>
      <w:r>
        <w:rPr>
          <w:rFonts w:ascii="arial" w:eastAsia="arial" w:hAnsi="arial" w:cs="arial"/>
          <w:i/>
          <w:color w:val="000000"/>
          <w:sz w:val="20"/>
          <w:lang w:val="en-US" w:eastAsia="en-US" w:bidi="ar-SA"/>
        </w:rPr>
        <w:t>Clayton</w:t>
      </w:r>
      <w:r>
        <w:rPr>
          <w:rFonts w:ascii="arial" w:eastAsia="arial" w:hAnsi="arial" w:cs="arial"/>
          <w:color w:val="000000"/>
          <w:sz w:val="20"/>
          <w:lang w:val="en-US" w:eastAsia="en-US" w:bidi="ar-SA"/>
        </w:rPr>
        <w:t xml:space="preserve"> was whether the accused had been arbitrarily detained in breach of s.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majority held the police had lawfully exercised their common law powers when they detained and searched Mr. Clayton and another man, Mr. Farmer. During incidental searches police found and removed loaded handguns from the clothing of both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detention began after police blocked both exits from a parking lot in response to a report there were several "black guys", four of them with guns, at that location. Officers stopped the first car leaving the parking lot although it did not match the report. They found Mr. Clayton and Mr. Farmer, both black males, inside the car. After objecting three times Mr. Farmer got out of the car and was directed to put his hands where they could be seen. Mr. Clayton remained inside. He was described as giving "strange and evasive" answers to police questions and wearing gloves although it was not "glove weather". Once he stepped out of the car, Mr. Clayton pushed an officer aside and ran. He was chased, subdued on the ground, placed in handcuffs and confined in a police vehicle. None of these specific acts of interference with his liberty were discussed in determining the validity of the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Justice Abella, writing for the majority at para. 22, adopted the Ontario Court of Appeal's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prosecution relies upon the ancillary power doctrine to justify police conduct that interferes with individual liberties, a two-pronged case-specific inquiry must be used. First, the prosecution must demonstrate that the police were acting in the exercise of a lawful duty when they engaged in the conduct in issue. Second, and in addition to showing that the police were acting in the course of their duty, the prosecution must demonstrate that the impugned conduct amounted to a justifiable use of police powers associated with that duty: </w:t>
      </w:r>
      <w:r>
        <w:rPr>
          <w:rFonts w:ascii="arial" w:eastAsia="arial" w:hAnsi="arial" w:cs="arial"/>
          <w:i/>
          <w:color w:val="000000"/>
          <w:sz w:val="20"/>
          <w:lang w:val="en-US" w:eastAsia="en-US" w:bidi="ar-SA"/>
        </w:rPr>
        <w:t>Brown v. Durham Regional Police Force</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(1998), 131 C.C.C. (3d) 1</w:t>
        </w:r>
      </w:hyperlink>
      <w:r>
        <w:rPr>
          <w:rFonts w:ascii="arial" w:eastAsia="arial" w:hAnsi="arial" w:cs="arial"/>
          <w:color w:val="000000"/>
          <w:sz w:val="20"/>
          <w:lang w:val="en-US" w:eastAsia="en-US" w:bidi="ar-SA"/>
        </w:rPr>
        <w:t xml:space="preserve"> (Ont. C.A.) at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Applying the second prong, she determined the investigative detentions were justified based on the totality of the circumstances, namely the information the police had, the nature of the offence under investigation, as well as the timing and the location of the detentions. She concluded it was reasonably necessary for the officers to stop all of the cars leaving the parking lot, and their reasonable suspicion that Mr. Clayton and Mr. Farmer could possess the reported handguns justified their continued detention and the incidental pat-down searches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Use of Handcuffs and Force during Investigative Detentions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Chaif-Gust</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2011 BCCA 528</w:t>
        </w:r>
      </w:hyperlink>
      <w:r>
        <w:rPr>
          <w:rFonts w:ascii="arial" w:eastAsia="arial" w:hAnsi="arial" w:cs="arial"/>
          <w:color w:val="000000"/>
          <w:sz w:val="20"/>
          <w:lang w:val="en-US" w:eastAsia="en-US" w:bidi="ar-SA"/>
        </w:rPr>
        <w:t xml:space="preserve">, the Court of Appeal expressly held that the use of handcuffs and confinement in a police wagon do not render an otherwise reasonable detention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Before entering the house to execute a search warrant, police had announced their presence and directed those inside to come to the front door. The accused and a co-accused were detained, placed in handcuffs and confined in the back of a police van for 42 minutes after they left through the back door. The police subsequently learned the front door had been barricaded.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trial judge found the detention to be lawful. Identifying the nature and extent of the interference with the accused's liberty as significant, she concluded however, the actions of the detaining police officer were reasonably necessary given the particular circumstances, especially the other duties he was expected to perform in executing the search warrant. She accepted he was concerned about the safety of the other officers and his explanation that he could not have safely controlled the two men at the same time as performing his containment duties at the front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Court of Appeal upheld her decision without discussing whether the officer's safety concerns complied with the principles identified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regarding protective pat-down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Squires</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2016 NLCA 54</w:t>
        </w:r>
      </w:hyperlink>
      <w:r>
        <w:rPr>
          <w:rFonts w:ascii="arial" w:eastAsia="arial" w:hAnsi="arial" w:cs="arial"/>
          <w:color w:val="000000"/>
          <w:sz w:val="20"/>
          <w:lang w:val="en-US" w:eastAsia="en-US" w:bidi="ar-SA"/>
        </w:rPr>
        <w:t>, the Newfoundland Court of Appeal was asked to determine the validity of an investigative detention that involved the police using threats of force and physical restraints, as well as various commands to subdue and immobilize an entirely cooperative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Squires was stopped in a black sport utility vehicle while police were investigating a report of a man in a black jeep with a firearm at the same location. With his gun drawn, the first officer to deal with Mr. Squires recognized him and directed him to put his hands out the window. He cooperated fully. A second officer also drew her gun and told Mr. Squires to exit the vehicle and lie face down on the ground. Again he cooperated fully but she handcuffed him and brought him to her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Chief Justice Green writing for the majority observed the use of force is usually associated with an arrest and in general will constitute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He concluded however the use of force may be permissible during an investigative detention, citing </w:t>
      </w:r>
      <w:r>
        <w:rPr>
          <w:rFonts w:ascii="arial" w:eastAsia="arial" w:hAnsi="arial" w:cs="arial"/>
          <w:i/>
          <w:color w:val="000000"/>
          <w:sz w:val="20"/>
          <w:lang w:val="en-US" w:eastAsia="en-US" w:bidi="ar-SA"/>
        </w:rPr>
        <w:t>Clayton</w:t>
      </w:r>
      <w:r>
        <w:rPr>
          <w:rFonts w:ascii="arial" w:eastAsia="arial" w:hAnsi="arial" w:cs="arial"/>
          <w:color w:val="000000"/>
          <w:sz w:val="20"/>
          <w:lang w:val="en-US" w:eastAsia="en-US" w:bidi="ar-SA"/>
        </w:rPr>
        <w:t xml:space="preserve"> and other authorities, concluding its "justifiability" will depend on the totality of the circumstances and whether police can demonstrate the intrusion on a detainee's liberty was reasonably necessary for the officer to perform his duty and to address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Applying this approach he found the investigative detention of Mr. Squires was initially lawful. It became unlawful however when the police went beyond requiring him to exit the vehicle and keep his hands in plain sight in preparation for a protective pat-down search. Noting the absence of any indication Mr. Squires intended to flee, was uncooperative or threatening, or had a reputation for violence, and given he was known to the first officer, Green C.J.N.L. determined the degree of force and the detention methods used were unnecessary to protect officer or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Significantly, in </w:t>
      </w:r>
      <w:r>
        <w:rPr>
          <w:rFonts w:ascii="arial" w:eastAsia="arial" w:hAnsi="arial" w:cs="arial"/>
          <w:i/>
          <w:color w:val="000000"/>
          <w:sz w:val="20"/>
          <w:lang w:val="en-US" w:eastAsia="en-US" w:bidi="ar-SA"/>
        </w:rPr>
        <w:t>R. v. Nguyen</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2013 BCSC 950</w:t>
        </w:r>
      </w:hyperlink>
      <w:r>
        <w:rPr>
          <w:rFonts w:ascii="arial" w:eastAsia="arial" w:hAnsi="arial" w:cs="arial"/>
          <w:color w:val="000000"/>
          <w:sz w:val="20"/>
          <w:lang w:val="en-US" w:eastAsia="en-US" w:bidi="ar-SA"/>
        </w:rPr>
        <w:t>, Justice Williams decided an investigative detention involving the use of some physical force and handcuffs was lawful. The detention occurred after police officers entered a residence with a search warrant to investigate the theft of electricity. Some of the officers had their guns in hand at the time. Mr. Nguyen was found inside. After passively resisting an officer's directions he was pushed to the floor and handcuffed. Minutes later Mr. Nguyen was informed he was under detention. During the search police found a marijuana "grow operation" and a hydro "bypass". Mr. Nguyen was then told he was under arrest for production of a controlled substance for the purpose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At the trial, Mr. Nguyen argued he was subjected to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arrest from the outset and not a valid investigative detention. Justice Williams disagreed based on the totality of the circumstances and the principles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At para. 63 he briefly discussed the effect of the use of 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measure of force used in the initial detention. I do not understand the law to state that force cannot be used or that the use of force will make an arrest out of what would otherwise be an investigative detention. The key will be the necessity consideration. The police may use a reasonable force to effect an investigative detention where the circumstances justify that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concluded the nature and degree of force used were not unreasonable or excessive, referring in particular to the dynamic entry into a house where little was known of what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To summarize, both </w:t>
      </w:r>
      <w:r>
        <w:rPr>
          <w:rFonts w:ascii="arial" w:eastAsia="arial" w:hAnsi="arial" w:cs="arial"/>
          <w:i/>
          <w:color w:val="000000"/>
          <w:sz w:val="20"/>
          <w:lang w:val="en-US" w:eastAsia="en-US" w:bidi="ar-SA"/>
        </w:rPr>
        <w:t>Squires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determined that threats of force, use of force and the imposition of physical restraints may be permissible during an investigative detention depending on the totality on the circumstances. They examined whether the conduct was reasonably necessary in determining whether the detention itself was a valid exercise of the common law police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Turton v. Hanson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2016 ABQB 343</w:t>
        </w:r>
      </w:hyperlink>
      <w:r>
        <w:rPr>
          <w:rFonts w:ascii="arial" w:eastAsia="arial" w:hAnsi="arial" w:cs="arial"/>
          <w:color w:val="000000"/>
          <w:sz w:val="20"/>
          <w:lang w:val="en-US" w:eastAsia="en-US" w:bidi="ar-SA"/>
        </w:rPr>
        <w:t xml:space="preserve">, the court articulated more fully this very approach in the context of a civil case. There, much like here, the plaintiff sued the police for a number of intentional torts including battery as well as a breach of his s. 9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the defendants relied upon s.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to deny liability. The main issue was whether the police are permitted to use physical force at all during an 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After a careful review of the jurisprudence, Justice Gates concluded the common law police power to detain a person for investigative purposes can, in appropriate circumstances, encompass the use of reasonable force. The police must demonstrate the use of force meets the requirements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including the "factors" drawn from the second step in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He identified the ultimate question as whether the detention "as it occurred", meaning the decision to detain and how it was carried out, including the use of force, was reasonably necessary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At para. 107 Gates J. explained,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satisfied that this is the correct approach, especially in light of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's requirement that the detention must be conducted in a reasonable manner, which inherently limits the police's authority to resort to force. Thus the reasonableness of using force, generally, to effect an investigative detention is not a foregone conclusion; rather, like the authority to detain for investigative purposes, it depends on the totality of the circumstances and must be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agree with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To reiterate, in my view the common law may permit the police to use handcuffs and force during an otherwise valid investigative detention depending on the totality of the circumstances and the outcome of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Ultimately the court must determine whether the conduct of the police was both reasonable and reasonably necessary applying the principles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agree with the defendants' suggestion the force used by the officers in this case should be analysed in two phases. Phase one includes the investigative detention which, according to the defendants, ended when the plaintiff began to "mule kick" at Constables White and Birnbaum. Phase two begins when the purpose of the detention shifted to arresting the plaintiff for assaulting a peace officer and the force used by the officers was incidental to an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main issues to be decided then are as follows: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investigative detention lawful (did the officers have sufficient grounds to detain the plaintiff for investigative purposes and was the decision and manner in which the detention was carried out reasonable and reasonably necessary according to the principles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force used by Constables White and Birnbaum after the plaintiff began kicking out at both of them, as well as those who responded to the code three cover call pursuant to a lawful arrest?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use of force during the investigative detention and incidental to the arrest justified pursuant to s.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the plaintiff established the elements of his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Investigative Detention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no dispute the plaintiff was initially detained for investigative purposes. The plaintiff argues however the detention was unlawful for two reasons: first, the grounds for detaining him were insufficient; and second, the force used during the investigative detention, if permitted at common law, was unjustified and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To reiterate,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requires both the officer's decision to detain a person for investigative purposes and the manner in which the detention is carried out to be reasonable and reasonably necessary. At the first stage of the two-part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test, the court determines whether the actions of the police fell within the scope of a police duty imposed by statute or recognized at common law (</w:t>
      </w:r>
      <w:r>
        <w:rPr>
          <w:rFonts w:ascii="arial" w:eastAsia="arial" w:hAnsi="arial" w:cs="arial"/>
          <w:i/>
          <w:color w:val="000000"/>
          <w:sz w:val="20"/>
          <w:lang w:val="en-US" w:eastAsia="en-US" w:bidi="ar-SA"/>
        </w:rPr>
        <w:t>R. v. MacDonald</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2014 SCC 3</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Identifying the nature of the police duty or duties and the individual interests at stake here therefore are 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Police officers have a duty to investigate crime. They also have a duty to execute a warrant for a person's arrest. The content of an arrest warrant is prescribed by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Form 7. The mandatory language includes an express </w:t>
      </w:r>
      <w:r>
        <w:rPr>
          <w:rFonts w:ascii="arial" w:eastAsia="arial" w:hAnsi="arial" w:cs="arial"/>
          <w:i/>
          <w:color w:val="000000"/>
          <w:sz w:val="20"/>
          <w:lang w:val="en-US" w:eastAsia="en-US" w:bidi="ar-SA"/>
        </w:rPr>
        <w:t>command</w:t>
      </w:r>
      <w:r>
        <w:rPr>
          <w:rFonts w:ascii="arial" w:eastAsia="arial" w:hAnsi="arial" w:cs="arial"/>
          <w:color w:val="000000"/>
          <w:sz w:val="20"/>
          <w:lang w:val="en-US" w:eastAsia="en-US" w:bidi="ar-SA"/>
        </w:rPr>
        <w:t xml:space="preserve"> to peace officers to arrest the person named in the warrant </w:t>
      </w:r>
      <w:r>
        <w:rPr>
          <w:rFonts w:ascii="arial" w:eastAsia="arial" w:hAnsi="arial" w:cs="arial"/>
          <w:i/>
          <w:color w:val="000000"/>
          <w:sz w:val="20"/>
          <w:lang w:val="en-US" w:eastAsia="en-US" w:bidi="ar-SA"/>
        </w:rPr>
        <w:t>forthwith</w:t>
      </w:r>
      <w:r>
        <w:rPr>
          <w:rFonts w:ascii="arial" w:eastAsia="arial" w:hAnsi="arial" w:cs="arial"/>
          <w:color w:val="000000"/>
          <w:sz w:val="20"/>
          <w:lang w:val="en-US" w:eastAsia="en-US" w:bidi="ar-SA"/>
        </w:rPr>
        <w:t>. Constable White sought to confirm the identity of Mr. N. and the validity of his arrest warrant when she and Constable Birnbaum detained Mr. Akintoye. I am therefore satisfied she was performing her duty to investigate with a view to fulfilling her obligation to execute an outstanding arrest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As I have indicated,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specified the interference caused by an incidental protective pat-down search falls within the scope of an officer's general duty to protect life and property. Later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the majority similarly described a stand-alone safety search as falling within the duty to protect life and safety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my view both the duty to investigate and the duty to protect life and safety were at stake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Quite apart from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every person has a common law right to liberty (</w:t>
      </w:r>
      <w:r>
        <w:rPr>
          <w:rFonts w:ascii="arial" w:eastAsia="arial" w:hAnsi="arial" w:cs="arial"/>
          <w:i/>
          <w:color w:val="000000"/>
          <w:sz w:val="20"/>
          <w:lang w:val="en-US" w:eastAsia="en-US" w:bidi="ar-SA"/>
        </w:rPr>
        <w:t>Figueiras v. Toronto (Police Services Board)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2015 ONCA 208</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Akintoye was walking peacefully along a sidewalk when he was stopped by Constables White and Birnbaum. He was under no obligation to answer their questions. The detention clearly infringed his common law right to liberty and specifically his right to move freely about the community or on a public highway, which includes the sidewalk of any public street (</w:t>
      </w:r>
      <w:r>
        <w:rPr>
          <w:rFonts w:ascii="arial" w:eastAsia="arial" w:hAnsi="arial" w:cs="arial"/>
          <w:i/>
          <w:color w:val="000000"/>
          <w:sz w:val="20"/>
          <w:lang w:val="en-US" w:eastAsia="en-US" w:bidi="ar-SA"/>
        </w:rPr>
        <w:t>Figueiras</w:t>
      </w:r>
      <w:r>
        <w:rPr>
          <w:rFonts w:ascii="arial" w:eastAsia="arial" w:hAnsi="arial" w:cs="arial"/>
          <w:color w:val="000000"/>
          <w:sz w:val="20"/>
          <w:lang w:val="en-US" w:eastAsia="en-US" w:bidi="ar-SA"/>
        </w:rPr>
        <w:t xml:space="preserve"> at para. 81). In </w:t>
      </w:r>
      <w:r>
        <w:rPr>
          <w:rFonts w:ascii="arial" w:eastAsia="arial" w:hAnsi="arial" w:cs="arial"/>
          <w:i/>
          <w:color w:val="000000"/>
          <w:sz w:val="20"/>
          <w:lang w:val="en-US" w:eastAsia="en-US" w:bidi="ar-SA"/>
        </w:rPr>
        <w:t>Turton</w:t>
      </w:r>
      <w:r>
        <w:rPr>
          <w:rFonts w:ascii="arial" w:eastAsia="arial" w:hAnsi="arial" w:cs="arial"/>
          <w:color w:val="000000"/>
          <w:sz w:val="20"/>
          <w:lang w:val="en-US" w:eastAsia="en-US" w:bidi="ar-SA"/>
        </w:rPr>
        <w:t>, the court characterized the liberty interest at stake as the right to be left alone or to move unimpeded by the state. Either way there is no doubt the courts regard an individual's common law right to liberty as fundamentally important.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Grounds for the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plaintiff submits the defendants have failed to establish the grounds for a valid detention set out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arguing specifically there was no connection between him and a "particular crime" because Constable White had only a mere suspicion Mr. N remained subject to an arrest warrant and she did not have reasonable grounds to believe Mr. Akintoye was Mr.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To be clear,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recognized a police officer may detain a person for investigative purposes when he or she has reasonable grounds to </w:t>
      </w:r>
      <w:r>
        <w:rPr>
          <w:rFonts w:ascii="arial" w:eastAsia="arial" w:hAnsi="arial" w:cs="arial"/>
          <w:i/>
          <w:color w:val="000000"/>
          <w:sz w:val="20"/>
          <w:lang w:val="en-US" w:eastAsia="en-US" w:bidi="ar-SA"/>
        </w:rPr>
        <w:t>suspect</w:t>
      </w:r>
      <w:r>
        <w:rPr>
          <w:rFonts w:ascii="arial" w:eastAsia="arial" w:hAnsi="arial" w:cs="arial"/>
          <w:color w:val="000000"/>
          <w:sz w:val="20"/>
          <w:lang w:val="en-US" w:eastAsia="en-US" w:bidi="ar-SA"/>
        </w:rPr>
        <w:t xml:space="preserve"> that a person is connected to a particular crime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paras. 34 and 45). Reasonable suspicion means something more than mere suspicion and something less than a belief based on reasonable and probable grounds (</w:t>
      </w:r>
      <w:r>
        <w:rPr>
          <w:rFonts w:ascii="arial" w:eastAsia="arial" w:hAnsi="arial" w:cs="arial"/>
          <w:i/>
          <w:color w:val="000000"/>
          <w:sz w:val="20"/>
          <w:lang w:val="en-US" w:eastAsia="en-US" w:bidi="ar-SA"/>
        </w:rPr>
        <w:t>R. v. Kang-Brown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2008 SCC 18</w:t>
        </w:r>
      </w:hyperlink>
      <w:r>
        <w:rPr>
          <w:rFonts w:ascii="arial" w:eastAsia="arial" w:hAnsi="arial" w:cs="arial"/>
          <w:color w:val="000000"/>
          <w:sz w:val="20"/>
          <w:lang w:val="en-US" w:eastAsia="en-US" w:bidi="ar-SA"/>
        </w:rPr>
        <w:t xml:space="preserve"> at paras. 75-77). The assessment of reasonable grounds to suspect has both a subjective and an objective component. In deciding whether the standard has been met, the court considers the totality of the circumstances. Because all that is required is a reasonable possibility, however, a reasonable suspicion need not be the only reasonable inference that can be drawn from a particular set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any event, Constable White was much more than merely suspicious that Mr. N was subject to an arrest warrant when she stopped Mr. Akintoye. She sincerely believed that to be true. Her subjective belief was also reasonable. As the investigating officer, Constable White had requested a warrant for Mr. N's arrest and was informed it had been issued several months before April 11, 2011. Later on she had determined it remained outstanding. Arrest warrants do not simply expire. The fact that she intended to confirm the warrant had not been executed before arresting Mr. N reflects her diligence rather than an acknowledgement she was operating on a mere hunch.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Constable White also genuinely believed Mr. Akintoye was Mr. N. I accept that she addressed him by that name throughout their interaction and there is no indication she ever referred to him any differently with fellow officers. Her belief was and remained reasonable throughout the investigative detention given all of the circumstances. Constable White dealt with Mr. N in person in October 2010. She interviewed him for at least one hour that day, after arresting him. She could not recall if she saw his mug shot when she later confirmed the arrest warrant but she did not encounter him again before the Police Incident. She readily acknowledged she would not have mistaken Mr. Akintoye for Mr. N if she had been viewing their mug shots side by side. But that is not what happened. Instead she saw Mr. Akintoye walking alone many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found that Mr. N and Mr. Akintoye share a number of similar physical characteristics including race, short hair, height, build, facial hair and apparent age which given the passage of time and the fact that Constable White dealt with both of them in person and separately, reasonably caused her mistaken belief. Based on her knowledge that Mr. N had been charged with crimes that involved creating false identification and his use of aliases, it is also reasonable that she maintained her belief when Mr. Akintoye denied he was Mr. N and despite the names that appeared on his Ontario health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reject the plaintiff's further suggestion Constables White or Birnbaum ought to have checked the on-board computer for the arrest warrant before stopping Mr. Akintoye. Constable White parked the police car next to the east sidewalk on Richards Street within seconds of seeing him. I doubt Constable Birnbaum could have completed a search for the warrant in that time, even assuming Constable White asked him to do so immediately. During the delay caused by such a search the person she reasonably believed to be Mr. N would have continued along his way. More importantly, the effect of imposing such an obligation on a police officer before initiating an investigative detention would be to elevate the grounds for doing so far beyond the reasonable suspicion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conclude therefore Constable White had valid grounds to detain Mr. Akintoye for investigative purposes. Her decision to detain him was also reasonable and reasonably necessary. The investigative steps Constable White planned to take included checking his identification and confirming the arrest warrant. Both would have been minimally intrusive and far outweighed by the importance of her duty to investigate and execute an outstanding arrest warrant. The only reasonable alternative to the investigative detention bearing in mind all the circumstances would have been to arrest Mr. Akintoye, but that was not Constable White's subjective intention when she detained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Use of Force during the 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At the second stage of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the court balances the competing interests represented by the police duty and the liberty interests at stake by weighing: (1) the importance of the police duty to the public good; (2) the extent to which it is necessary to interfere with liberty to perform the duty; and (3) the degree of interference with liberty (</w:t>
      </w:r>
      <w:r>
        <w:rPr>
          <w:rFonts w:ascii="arial" w:eastAsia="arial" w:hAnsi="arial" w:cs="arial"/>
          <w:i/>
          <w:color w:val="000000"/>
          <w:sz w:val="20"/>
          <w:lang w:val="en-US" w:eastAsia="en-US" w:bidi="ar-SA"/>
        </w:rPr>
        <w:t>Figueiras</w:t>
      </w:r>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central question is did the decision of Constables Birnbaum and White to place Mr. Akintoye in handcuffs and the force they used in attempting to do so during the investigative detention meet the requirements of reasonableness and reasonable necessity based on the totality of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Approach to Officer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parties identified a concern for officer safety as a prerequisite for the requirements of reasonableness and reasonable necessity. I agree with this approach in this case where other issues such as the risk of flight, for example,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argue Constable Birnbaum had a reasonable belief his safety and the safety of Constable White were at risk when he decided to remove Mr. Akintoye's hand from his pocket and place him in handcuffs.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Akintoye argues Constable Birnbaum was not authorized to even ask him to remove his hand from his pocket when he refused to do so, let alone take further steps, because the officer did not have a reasonable suspicion he was armed, dangerous or posed an imminent safety threat. In my view, this imposes too high a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test for an incidental protective pat-down search set out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requires an officer to believe on reasonable grounds his safety or the safety of others is </w:t>
      </w:r>
      <w:r>
        <w:rPr>
          <w:rFonts w:ascii="arial" w:eastAsia="arial" w:hAnsi="arial" w:cs="arial"/>
          <w:i/>
          <w:color w:val="000000"/>
          <w:sz w:val="20"/>
          <w:lang w:val="en-US" w:eastAsia="en-US" w:bidi="ar-SA"/>
        </w:rPr>
        <w:t>at risk</w:t>
      </w:r>
      <w:r>
        <w:rPr>
          <w:rFonts w:ascii="arial" w:eastAsia="arial" w:hAnsi="arial" w:cs="arial"/>
          <w:color w:val="000000"/>
          <w:sz w:val="20"/>
          <w:lang w:val="en-US" w:eastAsia="en-US" w:bidi="ar-SA"/>
        </w:rPr>
        <w:t xml:space="preserve"> and as a result the search is necessary. There has been some uncertainty expressed about whether the majority decision in </w:t>
      </w:r>
      <w:r>
        <w:rPr>
          <w:rFonts w:ascii="arial" w:eastAsia="arial" w:hAnsi="arial" w:cs="arial"/>
          <w:i/>
          <w:color w:val="000000"/>
          <w:sz w:val="20"/>
          <w:lang w:val="en-US" w:eastAsia="en-US" w:bidi="ar-SA"/>
        </w:rPr>
        <w:t>R. v. MacDonald</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2014 SCC 3</w:t>
        </w:r>
      </w:hyperlink>
      <w:r>
        <w:rPr>
          <w:rFonts w:ascii="arial" w:eastAsia="arial" w:hAnsi="arial" w:cs="arial"/>
          <w:color w:val="000000"/>
          <w:sz w:val="20"/>
          <w:lang w:val="en-US" w:eastAsia="en-US" w:bidi="ar-SA"/>
        </w:rPr>
        <w:t xml:space="preserve">, which involved a safety search in the absence of an investigative detention, may have changed that test. Citing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concluded a stand-alone safety search is authorized at common law if the officer believes on reasonable grounds his safety or the safety of others is </w:t>
      </w:r>
      <w:r>
        <w:rPr>
          <w:rFonts w:ascii="arial" w:eastAsia="arial" w:hAnsi="arial" w:cs="arial"/>
          <w:i/>
          <w:color w:val="000000"/>
          <w:sz w:val="20"/>
          <w:lang w:val="en-US" w:eastAsia="en-US" w:bidi="ar-SA"/>
        </w:rPr>
        <w:t>at stake</w:t>
      </w:r>
      <w:r>
        <w:rPr>
          <w:rFonts w:ascii="arial" w:eastAsia="arial" w:hAnsi="arial" w:cs="arial"/>
          <w:color w:val="000000"/>
          <w:sz w:val="20"/>
          <w:lang w:val="en-US" w:eastAsia="en-US" w:bidi="ar-SA"/>
        </w:rPr>
        <w:t xml:space="preserve"> (and the search is therefore necessary)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minority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characterized the shift in language from "at risk" to "at stake" as creating a more stringent standard unfaithful not only to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Clayton</w:t>
      </w:r>
      <w:r>
        <w:rPr>
          <w:rFonts w:ascii="arial" w:eastAsia="arial" w:hAnsi="arial" w:cs="arial"/>
          <w:color w:val="000000"/>
          <w:sz w:val="20"/>
          <w:lang w:val="en-US" w:eastAsia="en-US" w:bidi="ar-SA"/>
        </w:rPr>
        <w:t xml:space="preserve">, but also other decisions which have interpreted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as authorizing protective searches based on a reasonable </w:t>
      </w:r>
      <w:r>
        <w:rPr>
          <w:rFonts w:ascii="arial" w:eastAsia="arial" w:hAnsi="arial" w:cs="arial"/>
          <w:i/>
          <w:color w:val="000000"/>
          <w:sz w:val="20"/>
          <w:lang w:val="en-US" w:eastAsia="en-US" w:bidi="ar-SA"/>
        </w:rPr>
        <w:t>suspicion</w:t>
      </w:r>
      <w:r>
        <w:rPr>
          <w:rFonts w:ascii="arial" w:eastAsia="arial" w:hAnsi="arial" w:cs="arial"/>
          <w:color w:val="000000"/>
          <w:sz w:val="20"/>
          <w:lang w:val="en-US" w:eastAsia="en-US" w:bidi="ar-SA"/>
        </w:rPr>
        <w:t xml:space="preserve">. Noting the phrase "at risk" adds the concept of possibility to the criteria of reasonable grounds to believe, the minority determined that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stands for the principle a safety search is justified if it is probable something </w:t>
      </w:r>
      <w:r>
        <w:rPr>
          <w:rFonts w:ascii="arial" w:eastAsia="arial" w:hAnsi="arial" w:cs="arial"/>
          <w:i/>
          <w:color w:val="000000"/>
          <w:sz w:val="20"/>
          <w:lang w:val="en-US" w:eastAsia="en-US" w:bidi="ar-SA"/>
        </w:rPr>
        <w:t>might</w:t>
      </w:r>
      <w:r>
        <w:rPr>
          <w:rFonts w:ascii="arial" w:eastAsia="arial" w:hAnsi="arial" w:cs="arial"/>
          <w:color w:val="000000"/>
          <w:sz w:val="20"/>
          <w:lang w:val="en-US" w:eastAsia="en-US" w:bidi="ar-SA"/>
        </w:rPr>
        <w:t xml:space="preserve"> happen, not </w:t>
      </w:r>
      <w:r>
        <w:rPr>
          <w:rFonts w:ascii="arial" w:eastAsia="arial" w:hAnsi="arial" w:cs="arial"/>
          <w:i/>
          <w:color w:val="000000"/>
          <w:sz w:val="20"/>
          <w:lang w:val="en-US" w:eastAsia="en-US" w:bidi="ar-SA"/>
        </w:rPr>
        <w:t>will</w:t>
      </w:r>
      <w:r>
        <w:rPr>
          <w:rFonts w:ascii="arial" w:eastAsia="arial" w:hAnsi="arial" w:cs="arial"/>
          <w:color w:val="000000"/>
          <w:sz w:val="20"/>
          <w:lang w:val="en-US" w:eastAsia="en-US" w:bidi="ar-SA"/>
        </w:rPr>
        <w:t xml:space="preserve"> happen (at para. 70). The minority expressed a number of concerns about the consequences of imposing a higher standard for safety searches particularly where the concern relates to the potential for a concealed weapon, noting for example, the incongruity and risk that arises if an officer is authorized to detain a person he suspects is armed and dangerous, but not to conduct an incidental safety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Our Court of Appeal has discussed but not decided if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actually re-set the standard for safety searches and if so whether that standard would apply to safety searches incidental to investigative detentions (</w:t>
      </w:r>
      <w:r>
        <w:rPr>
          <w:rFonts w:ascii="arial" w:eastAsia="arial" w:hAnsi="arial" w:cs="arial"/>
          <w:i/>
          <w:color w:val="000000"/>
          <w:sz w:val="20"/>
          <w:lang w:val="en-US" w:eastAsia="en-US" w:bidi="ar-SA"/>
        </w:rPr>
        <w:t>R. v. Sheck</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2015 BCCA 471</w:t>
        </w:r>
      </w:hyperlink>
      <w:r>
        <w:rPr>
          <w:rFonts w:ascii="arial" w:eastAsia="arial" w:hAnsi="arial" w:cs="arial"/>
          <w:color w:val="000000"/>
          <w:sz w:val="20"/>
          <w:lang w:val="en-US" w:eastAsia="en-US" w:bidi="ar-SA"/>
        </w:rPr>
        <w:t xml:space="preserve"> at paras. 56-60).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What is clear is the majority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did not express any intention to vary the principles enunciated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Clayton</w:t>
      </w:r>
      <w:r>
        <w:rPr>
          <w:rFonts w:ascii="arial" w:eastAsia="arial" w:hAnsi="arial" w:cs="arial"/>
          <w:color w:val="000000"/>
          <w:sz w:val="20"/>
          <w:lang w:val="en-US" w:eastAsia="en-US" w:bidi="ar-SA"/>
        </w:rPr>
        <w:t xml:space="preserve">. When balancing the factors that apply at the second stage of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w:t>
      </w:r>
      <w:r>
        <w:rPr>
          <w:rFonts w:ascii="arial" w:eastAsia="arial" w:hAnsi="arial" w:cs="arial"/>
          <w:color w:val="000000"/>
          <w:sz w:val="20"/>
          <w:u w:val="single"/>
          <w:lang w:val="en-US" w:eastAsia="en-US" w:bidi="ar-SA"/>
        </w:rPr>
        <w:t>At the very least</w:t>
      </w:r>
      <w:r>
        <w:rPr>
          <w:rFonts w:ascii="arial" w:eastAsia="arial" w:hAnsi="arial" w:cs="arial"/>
          <w:color w:val="000000"/>
          <w:sz w:val="20"/>
          <w:lang w:val="en-US" w:eastAsia="en-US" w:bidi="ar-SA"/>
        </w:rPr>
        <w:t>, where a search is reasonably necessary to eliminate an imminent threat to the safety of the public or the police, the police should have the power to conduct the search.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any event, a number of circumstances distinguish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from this case: the absence of an investigative detention, the intrusive nature of the search involved (further opening the front door to Mr. MacDonald's residence) and the need to apply the test in </w:t>
      </w:r>
      <w:r>
        <w:rPr>
          <w:rFonts w:ascii="arial" w:eastAsia="arial" w:hAnsi="arial" w:cs="arial"/>
          <w:i/>
          <w:color w:val="000000"/>
          <w:sz w:val="20"/>
          <w:lang w:val="en-US" w:eastAsia="en-US" w:bidi="ar-SA"/>
        </w:rPr>
        <w:t>R. v. Collins</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[1987] 1 S.C.R. 265</w:t>
        </w:r>
      </w:hyperlink>
      <w:r>
        <w:rPr>
          <w:rFonts w:ascii="arial" w:eastAsia="arial" w:hAnsi="arial" w:cs="arial"/>
          <w:color w:val="000000"/>
          <w:sz w:val="20"/>
          <w:lang w:val="en-US" w:eastAsia="en-US" w:bidi="ar-SA"/>
        </w:rPr>
        <w:t xml:space="preserve">, for warrantless searches. Furthermore,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itself did not specify what kind of safety concerns are required to justify an incidental pat-down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Chaif-Gust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where police used handcuffs and some force and or confinement in a police vehicle during investigative detentions related to drug offences, their safety concerns did not appear to involve concealed weapons, threats of violence or an imminent danger. </w:t>
      </w:r>
      <w:r>
        <w:rPr>
          <w:rFonts w:ascii="arial" w:eastAsia="arial" w:hAnsi="arial" w:cs="arial"/>
          <w:i/>
          <w:color w:val="000000"/>
          <w:sz w:val="20"/>
          <w:lang w:val="en-US" w:eastAsia="en-US" w:bidi="ar-SA"/>
        </w:rPr>
        <w:t>R. v. Crocker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2009 BCCA 388</w:t>
        </w:r>
      </w:hyperlink>
      <w:r>
        <w:rPr>
          <w:rFonts w:ascii="arial" w:eastAsia="arial" w:hAnsi="arial" w:cs="arial"/>
          <w:color w:val="000000"/>
          <w:sz w:val="20"/>
          <w:lang w:val="en-US" w:eastAsia="en-US" w:bidi="ar-SA"/>
        </w:rPr>
        <w:t xml:space="preserve">, leave to appeal ref'd </w:t>
      </w:r>
      <w:hyperlink r:id="rId74" w:history="1">
        <w:r>
          <w:rPr>
            <w:rFonts w:ascii="arial" w:eastAsia="arial" w:hAnsi="arial" w:cs="arial"/>
            <w:i/>
            <w:color w:val="0077CC"/>
            <w:sz w:val="20"/>
            <w:u w:val="single"/>
            <w:shd w:val="clear" w:color="auto" w:fill="FFFFFF"/>
            <w:lang w:val="en-US" w:eastAsia="en-US" w:bidi="ar-SA"/>
          </w:rPr>
          <w:t>[2009] S.C.C.A. No. 466</w:t>
        </w:r>
      </w:hyperlink>
      <w:r>
        <w:rPr>
          <w:rFonts w:ascii="arial" w:eastAsia="arial" w:hAnsi="arial" w:cs="arial"/>
          <w:color w:val="000000"/>
          <w:sz w:val="20"/>
          <w:lang w:val="en-US" w:eastAsia="en-US" w:bidi="ar-SA"/>
        </w:rPr>
        <w:t xml:space="preserve">, expressly held that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does not import a requirement there be an overt indication of violence before an incidental protective safety search may be undertaken. In that case, the trial judge did not believe the officer was actually concerned about his own safety when after stopping Mr. Crocker's car to investigate the identity of the occupants and their connection to an earlier incident, he demanded Mr. Crocker open his fist. The trial judge also found the Crown had not established objective grounds for the safety concern based on a lack of evidence the officer believed Mr. Crocker or the occupants were violent, dangerous, possessed weapons or that the earlier incident involved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Crocker</w:t>
      </w:r>
      <w:r>
        <w:rPr>
          <w:rFonts w:ascii="arial" w:eastAsia="arial" w:hAnsi="arial" w:cs="arial"/>
          <w:color w:val="000000"/>
          <w:sz w:val="20"/>
          <w:lang w:val="en-US" w:eastAsia="en-US" w:bidi="ar-SA"/>
        </w:rPr>
        <w:t xml:space="preserve"> concluded the trial judge erred in law by imposing too high a standard regarding the </w:t>
      </w:r>
      <w:r>
        <w:rPr>
          <w:rFonts w:ascii="arial" w:eastAsia="arial" w:hAnsi="arial" w:cs="arial"/>
          <w:i/>
          <w:color w:val="000000"/>
          <w:sz w:val="20"/>
          <w:lang w:val="en-US" w:eastAsia="en-US" w:bidi="ar-SA"/>
        </w:rPr>
        <w:t>specificity</w:t>
      </w:r>
      <w:r>
        <w:rPr>
          <w:rFonts w:ascii="arial" w:eastAsia="arial" w:hAnsi="arial" w:cs="arial"/>
          <w:color w:val="000000"/>
          <w:sz w:val="20"/>
          <w:lang w:val="en-US" w:eastAsia="en-US" w:bidi="ar-SA"/>
        </w:rPr>
        <w:t xml:space="preserve"> of the officer's subjective belief and had failed to consider the totality of the circumstances, as well as the reasonable inferences that could be drawn from those circumstances in assessing the reasonableness of his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accept therefore the test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that being reasonable grounds to believe officer or public safety is at risk, continues to govern searches incidental to investigative detentions. I can see no reason to apply a different standard to the use of handcuffs and physical force that occurred during the investigative detention here even though the plaintiff's right to liberty, but not his right to privacy, was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other words, I must determine whether Constable Birnbaum and White believed on reasonable grounds their safety was at risk in order for their use of handcuffs and force during the investigative detention of Mr. Akintoye to be authorized at common law. This overlaps to some extent with the issue of whether the decision to use force and handcuffs was reasonably necessary based on the totality of the circumstances. There is also the criterion the use of force and efforts to handcuff be conducted in a reasonable manner (at paras. 36 and 40).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Reasonableness and Reasonable Necessity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Both constables were performing their duty to investigate when the detention began. In his role as cover officer Constable Birnbaum was also engaged in his duty to protect life and safety. Once Constable White abandoned her computer search to assist in handcuffing the plaintiff she too was acting within the scope of that same duty. Both the duty to investigate and the duty to protect life and safety are well established and significantly important to the public good. As I have indicated, the duty to investigate here was heightened by the duty to execute an arrest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There is no question the extent of the force used during the investigative detention, which included taking a hold of the plaintiff's upper arm to direct him away from inside the space created by the open police car door, removing his hand from his pocket, the bent arm manoeuvre, leaning his body over the police car, attempting to place him in handcuffs and delivering two knee strikes to his thigh, significantly interfered with the plaintiff's right to liberty in a way that he found very frightening, offensive and with respect to the knee strikes,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However, in my view the impugned actions of Constables White and Birnbaum were reasonable and reasonably necessary, in light of the nature and trajectory of the plaintiff's conduct, the importance of the police duties to investigate and to protect life and safety, as well as the particulars of the investigation here, namely confirming and executing an arrest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Based on the totality of the circumstances I am satisfied that all of the force used by both constables during the investigative detention was in response to their reasonable safety concerns arising from Mr. Akintoye's conduct and, with the exception of the first instance which involved Constable Birnbaum using a physical cue to direct him to move away from the open door of the police car, their intention to place him in handcuffs. After providing his identification the plaintiff did not respond to and or refused to comply with the many of the directions given by both constables. His level of agitation increased and his behaviour became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To be more specific, I accept that Constable Birnbaum had reasonable grounds to believe Constable White's safety was at risk when the use of force began. His belief extended to his own safety when he asked the plaintiff to remove his hand from his pocket and then physically removed the hand himself with the intention of placing Mr. Akintoye in handcuffs.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my view, Constable Birnbaum's conduct was both reasonable and reasonably necessary to protect Constable White while she was seated in the driver's seat of the police car, to prevent him from using his hands aggressively, and contain his ongoing active resistance and enable Constable White to complete her search for the warrant and the plaintiff's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relevant circumstances include the following:</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had limited knowledge of Mr. N although he was not initially concerned he may be violent or carrying a concealed weapon.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argumentative with Constable White from the outset and his behaviour escalated once she turned to walk toward the police car with his identification.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comply with Constable White's direction that he remain where he was while she checked his identification. Instead he followed her and stood in the space between the open driver's door of the police car and Constable White, objecting and yelling at her while she was seated. This placed her in a vulnerable position and prevented Constable Birnbaum from gaining immediate access to her.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ignored Constable Birnbaum's requests that he move away from Constable White and the open car door. Instead he continued to stand over Constable White yelling, until Constable Birnbaum took hold of his upper arm and directed him to the other side of the police car door.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point Mr. Akintoye responded unpredictably. For the first time since they stopped him, he placed one hand into the pocket of his pants and then refused to remove it stating his pants would fall down, which was not true.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directed the plaintiff to remove his hand two or three times, swearing at him at one point in an attempt to gain his compliance. Although the plaintiff was upset and perhaps shocked when Constable Birnbaum called him an "asshole", I accept his use of profanity was consistent with his police training.</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Birnbaum saw the plaintiff ball up his hand inside his pocket as he continued to refuse to remove his hand from his pocket.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Constables Birnbaum and White had been trained and experienced the importance of paying close attention to the location of a person's hands because they can be used to hold or grab, make a fist or wield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Constable Birnbaum's reasonable safety concerns also made the subsequent force he used reasonable and reasonably necessary. As soon as Mr. Akintoye's hand was removed from his pocket, he tried to pull his arm away. It seemed to Constable Birnbaum the plaintiff intended to try and fight and so in response he placed the plaintiff's left arm behind his back and bent him over the hood of the police car in an effort to contain him. Mr. Akintoye became physically aggressive at that point kicking out at Constable Birnbaum.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Constable White heard the plaintiff refuse to remove his hand(s) from his pocket(s), and saw him physically resisting, but not kicking at Constable Birnbaum when she got out of the police car and began to try and handcuff him. Based on all of the circumstances, she too had a reasonable belief by then that he posed a risk to their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further conduct only reinforced the reasonable safety concerns of both constables, making Constable White's ongoing attempt to handcuff the plaintiff and incidental force both reasonable and reasonably necessary. The same is true of the extent of the force used by Constable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After handcuffing one of his wrists, she was unable to gain control of the plaintiff because he pulled and kept his other arm out of reach and continued to struggle against her with his body. He also continued to ignore her directions and those of Constable Birnbaum. The loose handcuff created a significant additional risk to the safety of both constables and the plaintiff. Constable White struck the plaintiff's thigh twice with her knee in an effort to shock him into complying but he continued resisting and struggling physically. Because she could not "out muscle him" with her left arm, she leaned on the plaintiff and told him to give her his arms or he would go to the ground. At that point he began kicking out at both officers.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Conclusions Regarding the 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satisfied on a balance of probabilities that the investigative detention including the decision to detain Mr. Akintoye and the manner, in which it was carried out, was reasonable and reasonably necessary. Based on the totality of the circumstances, the actions of Constables White and Birnbaum were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Given the requirements of the </w:t>
      </w:r>
      <w:r>
        <w:rPr>
          <w:rFonts w:ascii="arial" w:eastAsia="arial" w:hAnsi="arial" w:cs="arial"/>
          <w:i/>
          <w:color w:val="000000"/>
          <w:sz w:val="20"/>
          <w:lang w:val="en-US" w:eastAsia="en-US" w:bidi="ar-SA"/>
        </w:rPr>
        <w:t>Waterfield</w:t>
      </w:r>
      <w:r>
        <w:rPr>
          <w:rFonts w:ascii="arial" w:eastAsia="arial" w:hAnsi="arial" w:cs="arial"/>
          <w:color w:val="000000"/>
          <w:sz w:val="20"/>
          <w:lang w:val="en-US" w:eastAsia="en-US" w:bidi="ar-SA"/>
        </w:rPr>
        <w:t xml:space="preserve"> analysis and the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principles, I do not regard a discrete analysis of the requirements under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necessary in relation to the investigative detention. To be clear however I find the defendants have proven the defence of statutory justification. I am satisfied Constables White and Birnbaum were validly exercising their common law powers during the investigative detention of Mr. Akintoye. Applying the modified objective test and the principles discussed above, I am also satisfied that each of them acted on reasonable grounds in using force and they used only as much force as was reasonably necessary in the circumstances. Their use of handcuffs and force during the valid investigative detention was therefore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 of Force during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counsel made few submissions that would address the use of force by Constable White and the four additional officers during his arrest based on the facts as I have found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Again, the defendants are required to establish the force used incidental to the arrest of Mr. Akintoye meets the requirements under s.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argue the arrest of the plaintiff began when he started kicking out at Constables White and Birnbaum after her knee strikes and just before she attempted to take him to the ground. That was her belief at the time. I agree, although I am not sure it is necessary to determine precisely when the investigative detention ended and the arrest of the plaintiff began. The use of force that occurred during the transition was limited to Constable White's attempt to take the plaintiff to the ground in a continuing effort to place him in handcuffs. I am satisfied it was reasonable and reasonably necessary for her to do so based on the safety risk to both officers caused by the plaintiff's active physical resistance, his inaccessible arm, the loose handcuff and his mule kicks.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Section 495(1)(b)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empowers a peace officer to arrest without a warrant a person he finds committing a criminal offence. I am also satisfied therefore that once the plaintiff started kicking out at Constables Birnbaum and White in addition to physically resisting, she found him committing the offence of assaulting a peace officer in the execution of his duty contrary to s. 270(1)(a) and she was authorized to engage in his arrest pursuant to s. 495(1)(b).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submit that the four officers who arrived in response to Constable Birnbaum's code three cover call reasonably believed the plaintiff was engaged in assaulting a peace officer because he was acting in an "assaultive manner" toward Constables Birnbaum and White. I have found three of the four additional officers observed him engaging in a form of assaultive behaviour toward Constable White and physically if not violently resisting arrest. I accept Constable McEvoy actually told the plaintiff he was under arrest soon after he became involved in the Police Incident. I infer the other three additional officers reasonably believed they were arresting the plaintiff once they began to assist Constables White and Birnbaum.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Accordingly, they too were authorized to arrest the plaintiff pursuant to s. 495(1)(b) for committing the same offence, as well as resisting a peace officer in the execution of his or her duty contrary to s. 129(a). However the evidence related to Constable Gregoriou was that he had reasonable and probable grounds to believe the plaintiff had committed two counts of the offence of assaulting a police officer as opposed to finding him committing them. His authority to arrest the plaintiff therefore falls within the ambit of s. 495(1)(a).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fact the Crown elected not to proceed with the charges against Mr. Akintoye does not render their arrest of him unlawful (</w:t>
      </w:r>
      <w:r>
        <w:rPr>
          <w:rFonts w:ascii="arial" w:eastAsia="arial" w:hAnsi="arial" w:cs="arial"/>
          <w:i/>
          <w:color w:val="000000"/>
          <w:sz w:val="20"/>
          <w:lang w:val="en-US" w:eastAsia="en-US" w:bidi="ar-SA"/>
        </w:rPr>
        <w:t>Richardson v. Vancouver (City)</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36</w:t>
        </w:r>
      </w:hyperlink>
      <w:r>
        <w:rPr>
          <w:rFonts w:ascii="arial" w:eastAsia="arial" w:hAnsi="arial" w:cs="arial"/>
          <w:color w:val="000000"/>
          <w:sz w:val="20"/>
          <w:lang w:val="en-US" w:eastAsia="en-US" w:bidi="ar-SA"/>
        </w:rPr>
        <w:t xml:space="preserve"> at para. 19, leave to appeal ref'd </w:t>
      </w:r>
      <w:hyperlink r:id="rId76" w:history="1">
        <w:r>
          <w:rPr>
            <w:rFonts w:ascii="arial" w:eastAsia="arial" w:hAnsi="arial" w:cs="arial"/>
            <w:i/>
            <w:color w:val="0077CC"/>
            <w:sz w:val="20"/>
            <w:u w:val="single"/>
            <w:shd w:val="clear" w:color="auto" w:fill="FFFFFF"/>
            <w:lang w:val="en-US" w:eastAsia="en-US" w:bidi="ar-SA"/>
          </w:rPr>
          <w:t>[2006] S.C.C.A. No. 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City of Vancouver (Re)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2013 BCSC 92</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To summarize then, I find Constables White and the four additional officers were lawfully arresting the plaintiff when he was subjected to further physical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second requirement under s. 25(1) obligates the defendants to establish the officers acted on reasonable grounds in using force. As I have stated, a subjective-objective or modified objective test is applied to assess the reasonableness of a police officer's belief that the force used was necessary: he or she must subjectively believe the force used was necessary and that belief must be objectively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Based on my findings of fact regarding the circumstances of the Police Incident, I conclude Constable White and the four officers had reasonable grounds to believe the use of force was necessary to place Mr. Akintoye under arrest. Those officers came upon a chaotic, volatile situation. Constable White was lying on the ground in a confined space on the roadway with the plaintiff on top of her or to her side fighting against her. Once they became involved in his arrest, he did not respond or comply with any of their verbal commands to stop resisting and to give up his arms. Although he was on the ground and surrounded by four or five officers, he continued to yell, physically resist and violently struggle against their efforts to handcuff him by thrashing his body and kicking his legs, keeping his arm out of reach under his body, and raising his head and arching his body as if to get up at one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testimony of Constables McEvoy, Goodall and Roycombough, and of Mr. Irving satisfies me that each used force for the purpose of placing the plaintiff under arrest, in accordance with their training and because the use of verbal commands and attempts to subdue the plaintiff by grabbing his limbs had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final element under s. 25(1) focuses on the amount or extent of the force used. The principles of proportionality, necessity and reasonableness must be considered to determine whether unnecessary force was used, bearing in mind the circumstances faced by the officers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argue all of the officers used low level force (empty hands) and knee strikes not with the intention to injure but to overcome the plaintiff's active resistance and bring him under control by placing him in handcuffs. While I agree this was their purpose and Constable McEvoy used an open hand to press the plaintiff's head to the ground, Constable Goodall struck the plaintiff with his fist. The officers were on their knees during their single strikes which they delivered with as much force as they could from that position. I have no doubt each of those strikes was painful for the plaintiff. I also accept however that there was no other reasonable alternative given his ongoing response to their attempts to place him in hand cuffs. All of the force used was entirely consistent with their police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nature and extent of the injuries caused by the force used is one measure of its reasonableness. I have found the plaintiff suffered some minor injuries as a result of the Police Incident, limited to very minor abrasions as well as temporary feelings of tenderness proximate to where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am satisfied Constable White's attempt to take the plaintiff to the ground and the single knee and fist strikes delivered by Constables Goodall, Roycombough and Gregoriou, as well as Constable McEvoy's use of an open hand against the plaintiff's head when he raised it from the ground were reasonable, necessary and proportionate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For these reasons I find the defendants have established the force used by all five officers to effect the arrest of the plaintiff was justified under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Having found the plaintiff was validly detained and arrested, his claim for false arrest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plaintiff's amended notice of civil claim asserts the torts of assault and battery were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or breach of statutory duty by all of the defendants.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pled against Constables Birnbaum, White and the other officers involved in the Police Incident are as follows: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a reasonable standard of care respecting the person of the plaintiff;</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exercising a level of force and means of apprehension which were excessive and beyond what was reasonable and required in the circumstances;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abusing his or her authority as a police officer with intent to injure the plaintiff;</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assistance to the plaintiff;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medical attention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With respect to the City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are:</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risk or damage or injury of which the City knew or ought to have known;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proper and adequate procedures and policy directions to the police constables involved in the investigation and apprehension of a person;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proper or adequate training to police constables, in particular, to Constables White and Birnbaum, to ensure they could safely carry out any existing procedures or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made no submissions regarding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Any duty owed by the City is a duty to the general public and not a private law duty owed to the plaintiff for the purposes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96, citing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leave to appeal ref'd </w:t>
      </w:r>
      <w:hyperlink r:id="rId79" w:history="1">
        <w:r>
          <w:rPr>
            <w:rFonts w:ascii="arial" w:eastAsia="arial" w:hAnsi="arial" w:cs="arial"/>
            <w:i/>
            <w:color w:val="0077CC"/>
            <w:sz w:val="20"/>
            <w:u w:val="single"/>
            <w:shd w:val="clear" w:color="auto" w:fill="FFFFFF"/>
            <w:lang w:val="en-US" w:eastAsia="en-US" w:bidi="ar-SA"/>
          </w:rPr>
          <w:t>[2005] S.C.C.A. No. 188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plaintiff's claim against the City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officers involved in the Police Incident is on a different footing however. Pursuant to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the City is vicariously liable for torts committed by its police officers in the course of their duties. The defendants have not disputed the officers owed the plaintiff a duty of care, but the plaintiff adduced no evidence regarding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where the defendant has special skills and experience, he or she must, "live up to the standards possessed by persons of reasonable skill and experience in that calling"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18). The general standard of care for a police officer is that of a reasonable police officer in similar circumstances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67). That general standard however must be translated into particular obligations that apply in a particular set of circumstances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Justice Smith noted that police officers as professionals should have their conduct assessed in the same way as it is in with respect to other claims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She observed the necessity for expert evidence regarding the standard of care depends upon the specialized or technical nature of the circumstances in which the police conduct occurred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paras. 130-31). The Ontario Court of Appeal expressed a similar view in </w:t>
      </w:r>
      <w:r>
        <w:rPr>
          <w:rFonts w:ascii="arial" w:eastAsia="arial" w:hAnsi="arial" w:cs="arial"/>
          <w:i/>
          <w:color w:val="000000"/>
          <w:sz w:val="20"/>
          <w:lang w:val="en-US" w:eastAsia="en-US" w:bidi="ar-SA"/>
        </w:rPr>
        <w:t>495793 Ontario Ltd. (Central Auto Parts) v. Barclay</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2016 ONCA 656</w:t>
        </w:r>
      </w:hyperlink>
      <w:r>
        <w:rPr>
          <w:rFonts w:ascii="arial" w:eastAsia="arial" w:hAnsi="arial" w:cs="arial"/>
          <w:color w:val="000000"/>
          <w:sz w:val="20"/>
          <w:lang w:val="en-US" w:eastAsia="en-US" w:bidi="ar-SA"/>
        </w:rPr>
        <w:t>, concluding that expert evidence regarding the standard of care for a police officer will be necessary except in two circumstances. One, when the circumstances involves non-technical matters or two, where the impugned conduct is so egregious the failure to comply with the standard of care is obvious (at paras. 53-56).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In police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where the courts have found expert evidence to be unnecessary based on the first exception, fact evidence regarding police regulation, policy, practice, training and other external indicators has been relied upon to determine the content of the standard of care (See for example: </w:t>
      </w:r>
      <w:r>
        <w:rPr>
          <w:rFonts w:ascii="arial" w:eastAsia="arial" w:hAnsi="arial" w:cs="arial"/>
          <w:i/>
          <w:color w:val="000000"/>
          <w:sz w:val="20"/>
          <w:lang w:val="en-US" w:eastAsia="en-US" w:bidi="ar-SA"/>
        </w:rPr>
        <w:t>Kweon v. Roy</w:t>
      </w:r>
      <w:r>
        <w:rPr>
          <w:rFonts w:ascii="arial" w:eastAsia="arial" w:hAnsi="arial" w:cs="arial"/>
          <w:color w:val="000000"/>
          <w:sz w:val="20"/>
          <w:lang w:val="en-US" w:eastAsia="en-US" w:bidi="ar-SA"/>
        </w:rPr>
        <w:t xml:space="preserve"> (28 April 2016), Vancouver No. M124216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Here however there is no expert or fact evidence regarding the appropriate standard apart from the use of force training described by Mr. Irving. I note that his evidence would not support an inference any of the officers involved in the Police Incident used force contrary to that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addition to the implications of my findings of fact and analysis of the use of force during the investigative detention and arrest of the plaintiff, I conclude the plaintiff's claim against the City, based on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officers, must fail for lack of evidence regarding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plaintiff's claims against Constables White and Birnbaum personally also fail.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bars an action for damages against a police officer unless he or she is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 plaintiff's amended pleading does not make those assertions, nor was there evidence led or findings of fact that would support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Accordingly, the plaintiff's action against the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parties are at liberty to apply for an order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Andrews v. Hay, [2015] B.C.J. No. 1936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S115853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1618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Jacqueline Andrews, Plaintiff, and Dr. Donald Stanford Allan Hay,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3"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 w:name="Keywords_0"/>
      <w:bookmarkEnd w:id="10"/>
      <w:r>
        <w:rPr>
          <w:rFonts w:ascii="arial" w:eastAsia="arial" w:hAnsi="arial" w:cs="arial"/>
          <w:b/>
          <w:color w:val="000000"/>
          <w:sz w:val="20"/>
          <w:lang w:val="en-US" w:eastAsia="en-US" w:bidi="ar-SA"/>
        </w:rPr>
        <w:t xml:space="preserve">Civil litigation — Civil procedure — Judgments and orders — Summary judgments — Availability — To dismiss action — Application by counsel for the defendant Hay for summary dismissal of the plaintiff Andrews'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battery and breach of fiduciary duty dismissed — Andrews was a patient of the defendant Hay, a doctor — Andrews alleged that she developed an addiction to prescription medication and later to alcohol as a result of Hay's treatment of her — Defence counsel submitted that the claims were statute-barred — Andrews submitted that the limitation date was postponed due to her mental capacity — The Court did not have the evidentiary basis to adjudicate the limitation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Limitation of actions — Application by counsel for the defendant Hay for summary dismissal of the plaintiff Andrews'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battery and breach of fiduciary duty dismissed — Andrews was a patient of the defendant Hay, a doctor — Andrews alleged that she developed an addiction to prescription medication and later to alcohol as a result of Hay's treatment of her — Defence counsel submitted that the claims were statute-barred — Andrews submitted that the limitation date was postponed due to her mental capacity — The Court did not have the evidentiary basis to adjudicate the limitation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Application by counsel for the defendant Hay for summary dismissal of the plaintiff Andrews'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battery and breach of fiduciary duty dismissed — Andrews was a patient of the defendant Hay, a doctor — Andrews alleged that she developed an addiction to prescription medication and later to alcohol as a result of Hay's treatment of her — Defence counsel submitted that the claims were statute-barred — Andrews submitted that the limitation date was postponed due to her mental capacity — The Court did not have the evidentiary basis to adjudicate the limitation issues.</w:t>
      </w:r>
    </w:p>
    <w:p>
      <w:pPr>
        <w:jc w:val="both"/>
        <w:rPr>
          <w:rFonts w:ascii="arial" w:eastAsia="arial" w:hAnsi="arial" w:cs="arial"/>
          <w:sz w:val="20"/>
          <w:lang w:val="en-US" w:eastAsia="en-US" w:bidi="ar-SA"/>
        </w:rPr>
      </w:pPr>
      <w:bookmarkStart w:id="11" w:name="Legislation Cited_0"/>
      <w:bookmarkEnd w:id="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4"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3(2)(a), s. 7,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91" w:history="1">
        <w:r>
          <w:rPr>
            <w:rFonts w:ascii="arial" w:eastAsia="arial" w:hAnsi="arial" w:cs="arial"/>
            <w:i/>
            <w:color w:val="0077CC"/>
            <w:sz w:val="20"/>
            <w:u w:val="single"/>
            <w:shd w:val="clear" w:color="auto" w:fill="FFFFFF"/>
            <w:lang w:val="en-US" w:eastAsia="en-US" w:bidi="ar-SA"/>
          </w:rPr>
          <w:t>S.B.C. 2012, c. 13, s. 3</w:t>
        </w:r>
      </w:hyperlink>
      <w:r>
        <w:rPr>
          <w:rFonts w:ascii="arial" w:eastAsia="arial" w:hAnsi="arial" w:cs="arial"/>
          <w:color w:val="000000"/>
          <w:sz w:val="20"/>
          <w:lang w:val="en-US" w:eastAsia="en-US" w:bidi="ar-SA"/>
        </w:rPr>
        <w:t>(1)(j), s. 3(1)(k), s. 30, s. 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 w:name="Counsel_1"/>
      <w:bookmarkEnd w:id="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Nieuwenburg, B. Souza.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K.F. Douglas, J.A.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1"/>
      <w:bookmarkEnd w:id="13"/>
      <w:r>
        <w:pict>
          <v:line id="_x0000_s1036"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J.M.I. DUNCAN J."/>
            <w:bookmarkEnd w:id="14"/>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Jacqueline Andrews, was a patient of the defendant, Dr. Donald Hay, from approximately June 1997 until October 2003. The plaintiff filed a Notice of Civil Claim against the defendant on September 1, 2011, alleging that she developed an addiction to prescription medication and later to alcohol as a result of the defendant's treatment of her. The plaintiff also alleges the defendant engaged in inappropriate non-consensual sexual contact with her, including hugging her and touching her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pleadings delineate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assault (battery), sexual assault (sexual battery),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filed a response to the claim on February 6, 2012. He denied the allegations against him, and raised a defence under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"Former Act") in relation to the plaintiff's claims for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battery,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of this matter is set for nine days in October 2015. The plaintiff has attended for examination for discovery. The defendant is now deceased, and unfortunately he was never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for the defendant applies for judgment by way of summary trial, pursuant to Rule 9-7. He seeks a dismissal of the plaintiff's claims for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battery, and breach of fiduciary as statute-barred by the Former Act. The Notice of Civil Claim was filed more than six years after the cause of action arose, which is beyond the ultimate limitation period for claims against medical practitioners under s. 8 of the Former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acknowledges the sexual battery allegations are not statute-barred and should proceed to trial. Counsel for the defendant submits the trial can be shortened considerably if the matter proceeds as a trial on the tortious allegations of sexual battery, rather than one engaging the additional evidentiary considerations associated with medical malpractice 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 for the plaintiff maintains this matter is not suitable for adjudication by way of summary trial. He submits that due to the plaintiff's mental capacity, which was deleteriously affected by her substance abuse issues, the limitation date was postponed. The determination of postponement is not suitable for summary determination because there are issues of credibility which require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expert evidence about the plaintiff's visits with the defendant and her mental capacity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intends to call various family members at trial to provide evidence about her condition at the material times. In addition, the plaintiff was scheduled to undergo an independent medical examination on May 21, 2015 with an addictions specialist to obtain expert evidence of her competency at material times. The plaintiff plans on seeking the opinion of an independent psychiatrist to provide evidence of the plaintiff's competency at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Finally, counsel submits that the plaintiff's claims against the defendant are inextricably linked with, and subordinate to, the sexual battery claim and, as a result, the limitation period has not expired or in the alternative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may have application (the "New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submits the following facts, distilled from the plaintiff's examination for discovery evidence and notices to admit or responses thereto, provide an uncontroverted evidentiary basis for a summary trial on the limitation defence: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the plaintiff's primary care physician from June 1997 to October 15, 2003;</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understood the defendant owed her a duty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last year of the defendant's medical treatment of the plaintiff, she knew that she could make a complaint against him;</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was under the defendant's care, the plaintiff's mother told her she thought the plaintiff had a problem with the consumption of prescription medication;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she was not performing adequately in her job as a social worker between May and October 2003, and there might have been a connection between her job performance and her use of prescription medication;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 was her treating physician, the plaintiff knew his prescribing of medication was "professionally inappropriate", and that she could have done something about it if she chose to;</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parents are both lawyers and she could have asked them for advice concerning a potential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always had access to good support from family and friends;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2003, out of concern for her, the plaintiff's family confronted her about her drug use and the plaintiff admitted she might then have thought there was a link between her medication use and the difficulties she was having;</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15, 2003 the plaintiff entered the Edgewood inpatient treatment and detoxification centre in Nanaimo where she was told she had a problem with medication and was addicted to prescription drugs;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completing treatment at Edgewood the plaintiff accepted she could never use addictive prescription medication again, was aware she had an addiction to or dependence on prescription medication, and attributed the problem to Dr. Hay's medical treatment;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fall of 2003, after the plaintiff was discharged from Edgewood she stopped taking all prescription medication and has never returned to abusing prescription medication;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found a new family doctor in November 2003;</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14, 2008 the plaintiff filed a complaint with the College of Physicians and Surgeons (the "College") about the defendant and admitted she could have sued the defendant at that time;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complaint to the College, the plaintiff alleged that in about 2002 the defendant began disclosing matters of a personal nature to her, engaged in inappropriate personal and sexual discussions; and touched and hugged her in an inappropriate manner;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in her complaint to the College, the plaintiff alleged that during the last six months of her visits to the defendant's medical clinic he met her in his vehicle in the parking lot outside; touched and hugged her in an inappropriate manner; issued duplicate prescriptions to her using her husband's name and personal health number; and failed to meet the required standard of care in the medical services he provided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defendant submits that a trial of the sexual battery claim alone would relate only to the short time frame in 2002 and 2003 when the allegedly objectionable sexual contact took place. While those allegations cannot be tried without some reference to the doctor-patient relationship which existed between the parties, counsel for the defendant maintains it would be profoundly prejudicial if the medical malpractice claims were statute barred but the defendant would then have to defend against medical malpractice in the guise of the sexual assault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Limitation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bears the burden of establishing a limitation defence on a balance of probabilities. The plaintiff bears the burden of establishing postponement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parties agreed that the Former Act, which was in force until May 31, 2013, governed these proceedings, although as I will discuss later in these reasons the plaintiff argued the New Act had some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defendant submits the plaintiff's causes of action in tort (described as breach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pleadings) and breach of contract are based on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in relation to a medical practitioner. Such claims are subject to the ultimate limitation period of six years from the date on which the cause of action arose under s. 8 of the Former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Subject to section 3(4) and subsection (2) of this section but despite a confirmation made under section 5, a postponement or suspension of the running of time under section 6 or 11(2) or a postponement or suspension of the running of time under section 7 in respect of a person who is not a minor, no action to which this Act applies may be brought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a medical practitioner, based on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after the expiration of 6 years from the date on which the right to do so arose,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defendant submits that claims against a physician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all fall within the meaning of the phrase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under s. 8(1)(b).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2006 BCSC 1588</w:t>
        </w:r>
      </w:hyperlink>
      <w:r>
        <w:rPr>
          <w:rFonts w:ascii="arial" w:eastAsia="arial" w:hAnsi="arial" w:cs="arial"/>
          <w:color w:val="000000"/>
          <w:sz w:val="20"/>
          <w:lang w:val="en-US" w:eastAsia="en-US" w:bidi="ar-SA"/>
        </w:rPr>
        <w:t xml:space="preserve">, aff'd </w:t>
      </w:r>
      <w:hyperlink r:id="rId94"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Madam Justice Beames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With respect to each of the defendants, the adult plaintiff alleges numerous causes of action,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warranty, conspiracy, breach of fiduciary duty, "fault" and medical fraud. In essence, regardless of the language employed in the statement of claim, there can be no question that the nature of the adult plaintiff's claim against each and every defendant doctor and against the hospital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professional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Absent postponement, the ultimate limitation period begins to run on the date of the alleged negligent conduct, not when the plaintiff discovers the conduct. Therefore, the defendant argues the plaintiff's causes of action in breach of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contract arose no later than October 2003, at which time the running of the ultimate limitation period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the plaintiff's claim for assault, the tort of battery, a two year limitation period applies under s. 3(2)(a) of the Former Act. In the defendant's submission, this cause of action arose no later than October 2003, after which the defendant had no further involvement in treating the plaintiff. The defendant says that, by that time, a reasonable person in the plaintiff's position, knowing the facts and having taken the appropriate advice, would have viewed the plaintiff's allegations of being touched by the defendant without her consent as having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plaintiff relies on s. 7 of the Former Act concerning postponement by disability. It states: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minor, or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fact incapable of or substantially impeded in managing his or her affairs,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"guardian" means a parent or guardian who has actual care and control of a minor or a committee appointed under the </w:t>
      </w:r>
      <w:r>
        <w:rPr>
          <w:rFonts w:ascii="arial" w:eastAsia="arial" w:hAnsi="arial" w:cs="arial"/>
          <w:i/>
          <w:color w:val="000000"/>
          <w:sz w:val="20"/>
          <w:lang w:val="en-US" w:eastAsia="en-US" w:bidi="ar-SA"/>
        </w:rPr>
        <w:t>Patients Property Act</w:t>
      </w:r>
      <w:r>
        <w:rPr>
          <w:rFonts w:ascii="arial" w:eastAsia="arial" w:hAnsi="arial" w:cs="arial"/>
          <w:color w:val="000000"/>
          <w:sz w:val="20"/>
          <w:lang w:val="en-US" w:eastAsia="en-US" w:bidi="ar-SA"/>
        </w:rPr>
        <w: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the time the right to bring an action arises, a person is under a disability, the running of time with respect to a limitation period set by this Act is postponed so long as that person is under a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deposes that she has been in and out of various rehabilitation facilities and struggled with substance abuse since October 15, 2003. After she was no longer receiving prescriptions for narcotics from the defendant, she became addicted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April 2008, the plaintiff describes having had "a brief period of clarity" during which she decided to file a complaint against the defendant with the College. In June 2008, she was arrested following a domestic dispute with her husband. She subsequently attended addiction treatment at a facility in Arizona.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further deposes that, prior to 2011, she did not think about consulting a lawyer about the defendant's alleged misconduct because she was struggling with addictions, and either undergoing treatment, or focussed on recovery. She did not feel she was in a condition to consider a lawsuit until consulting with counsel in the summer of 2011. As a result, the limitation date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takes the position the limitation issue is not suitable for disposition by way of summary trial because she intends to call evidence from family members at trial to further elucidate some of the facts surrounding the issue of postponement. However, no explanation was offered as to why this evidence was not presented at the summary trial. Furthermore, the plaintiff did not seek an adjournment of this hearing in order to adduce a report from the expert she was scheduled to see shortly after this matter was argued, or from the independent psychiatrist she intended to retain.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alternative, counsel for the plaintiff argues that the defendant's treatment of the plaintiff was an integral element of the sexual battery and thus not subject to the ultimate six-year limitation period for medical care. The plaintiff's theory is that the defendant encouraged her to take narcotics, and provided prescriptions for them in her name, and in her husband's name, so she would be dependent on the defendant and he could live out his sexual fantasies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submits that the plaintiff is attempting to recast her pleadings in a manner not contemplated at the time the action was filed. There are 16 allegations outlined in the pleadings. Only two of them relate to allegations of sexual impropriety. The remaining 14 clearly relate to a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and that is the claim the defendant has responded to. The defendant takes the position that it is not open to the plaintiff to reinvent her claim as primarily related to the tort of sexual battery to avoid an obvious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final alternative response rests on the contention that s. 30 of the New Act extends the limitation period in this case. Notwithstanding that it is a pre-existing claim and an action was commenced, the plaintiff argues that s. 30(5) has application. It states: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restricts the right of a person to bring a court proceeding at any time in relation to a claim referred to in section 3(1)(i), (j) or (k) of this Act, whether or not the claimant's right to bring the court proceeding was at any time governed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3(1)(j) and (k) of the New Act state: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apply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relating to sexual assault, whether or not the claimant's right to bring the court proceeding was at any time governed by a limitation period;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relating to assault or battery, whether or not the claimant's right to bring the court proceeding was at any time governed by a limitation period, if the assault or battery occurred while the claimant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minor, or</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living in an intimate and personal relationship with, or was in a relationship of financial, emotional, physical or other dependency with, a person who performed, contributed to, consented to or acquiesced in the assault or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position is that any claims based on sexual assault or relating to assault or battery arising from certain prescribed relationships will not be statute-barred. The plaintiff argues by extension that existing actions of this nature which were subject to the Former Act when they were commenced are no longer statute-barred, by operation of s. 3(1)(j) and (k) of the New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defendant notes the plaintiff's action was commenced on September 1, 2011, before the New Act was enacted. While s. 30(5) is an exception which relates to sexual assault and battery, it only applies if a party has a cause of action which existed before the New Act came into force and is not the subject of an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9-7(15) permits a party to apply to court for judgment on a summary trial either on an issue or generally. The relevant portion of the Rule states: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an oft-quoted passage from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McEachern C.J.B.C. considered the scenario where judgment on an issue rather than on an entire claim might be the result of a summary trial, at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wish to add that a chambers judge should also consider, if a critical issue in the case can be decided, whether that may assist the parties to reach an accommodation on other questions. It may be the case that there will still have to be a trial of other issues notwithstanding a judgment on one or more issues, but chambers judges should not feel constrained to avoid deciding some issues even if others cannot be decided at the same time by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the Court of Appeal canvassed the principles governing summary trial applications, including the obligation each party bears to arrive at the summary trial hearing prepared: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This requirement was underscored by Madam Justice Newbury in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(B.C.C.A.) at 382, </w:t>
      </w:r>
      <w:r>
        <w:rPr>
          <w:rFonts w:ascii="arial" w:eastAsia="arial" w:hAnsi="arial" w:cs="arial"/>
          <w:color w:val="000000"/>
          <w:sz w:val="20"/>
          <w:u w:val="single"/>
          <w:lang w:val="en-US" w:eastAsia="en-US" w:bidi="ar-SA"/>
        </w:rPr>
        <w:t xml:space="preserve">a party cannot, by failing to take such steps, frustrate the benefits of the summary trial process. Where the application is brought by a plaintiff, the defendant may not simply insist on a full trial in hopes that with the benefit of </w:t>
      </w:r>
      <w:r>
        <w:rPr>
          <w:rFonts w:ascii="arial" w:eastAsia="arial" w:hAnsi="arial" w:cs="arial"/>
          <w:i/>
          <w:color w:val="000000"/>
          <w:sz w:val="20"/>
          <w:u w:val="single"/>
          <w:lang w:val="en-US" w:eastAsia="en-US" w:bidi="ar-SA"/>
        </w:rPr>
        <w:t>viva voce</w:t>
      </w:r>
      <w:r>
        <w:rPr>
          <w:rFonts w:ascii="arial" w:eastAsia="arial" w:hAnsi="arial" w:cs="arial"/>
          <w:color w:val="000000"/>
          <w:sz w:val="20"/>
          <w:u w:val="single"/>
          <w:lang w:val="en-US" w:eastAsia="en-US" w:bidi="ar-SA"/>
        </w:rPr>
        <w:t xml:space="preserve"> evidence, 'something might turn up'</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w:t>
      </w:r>
      <w:r>
        <w:rPr>
          <w:rFonts w:ascii="arial" w:eastAsia="arial" w:hAnsi="arial" w:cs="arial"/>
          <w:color w:val="000000"/>
          <w:sz w:val="20"/>
          <w:u w:val="single"/>
          <w:lang w:val="en-US" w:eastAsia="en-US" w:bidi="ar-SA"/>
        </w:rPr>
        <w:t>The same is true of a plaintiff where the defence has brought the R. 18A motion</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difficult to appreciate why the plaintiff did not seek an adjournment to obtain the expert medical report on her mental capacity during the material time, or file affidavits from friends and family concerning their observations of her that may be relevant to postponement. This is particularly so in light of the authorities which make it clear that parties must take every reasonable step to ready themselves for a summary trial, whether plaintiff or defendant: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On the other hand, the plaintiff has been deprived of an examination for discovery of the defendant and will be unable to use any evidence or admissions thereby gleaned from him at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critical question with respect to suitability is always whether the court can find the facts necessary to fairly and justly adjudicate the matter. It is well-settled that where the court is able to find the necessary facts to decide the issues in a summary trial application and it "is not otherwise unjust to decide the matter summarily, the court should give judgment": </w:t>
      </w:r>
      <w:r>
        <w:rPr>
          <w:rFonts w:ascii="arial" w:eastAsia="arial" w:hAnsi="arial" w:cs="arial"/>
          <w:i/>
          <w:color w:val="000000"/>
          <w:sz w:val="20"/>
          <w:lang w:val="en-US" w:eastAsia="en-US" w:bidi="ar-SA"/>
        </w:rPr>
        <w:t>McVeigh v. Boeriu</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2011 BCSC 400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Generally, limitation issues are amenable to disposition by way of summary trial. Further, in this matter, counsel for the plaintiff could either have sought to adjourn in order to facilitate the acquisition of an expert report, or otherwise prepared to meet the defendant's argument. Nevertheless, having regard to the totality of the circumstances, I am not satisfied I have the evidentiary basis to adjudicate on the limitation issues as advanced by both parties. The subtleties and temporal uncertainties of the postponement issue are not well developed in the materials before me. In my view, it would be unjust to decide the plaintiff's claim of postponement without expert evidence and without hearing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from her that is subject to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the defendant's summary trial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is entitled to its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Binette v. Salmon Arm (City), [2017] I.L.R. para. G-2768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S102379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G-2768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[2017] B.C.J. No. 366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2017 BCSC 302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Cindy Lee Binette v. The City of Salmon Arm, their employees, servants and/or agents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 w:name="Keywords_1"/>
      <w:bookmarkEnd w:id="15"/>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Municipality — Trip and fall — Sidewalk — In March 2016, plaintiff fell on defendant city's sidewalk when she tripped on protruding metal traffic sign base — Months earlier, city had recovered sign with severed pole from resident's yard — City's technician was unable to identify where sign came from due to snow and put sign into storage until snow melted — After plaintiff notified city of fall, city reinstalled sign — Plaintiff brought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against city — City policy required city to use its best efforts to remediate problem — Technician misunderstood policy when he stored sign until snow melted — At time of plaintiff's fall, there was no longer any snow — Jagged end of pole of recovered sign should have prompted city to prioritize finding sign base as soon as snow melted — City fell short in implementation of its policy, resulting in plaintiff suffering injury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 w:name="Case Summary_0"/>
            <w:bookmarkEnd w:id="1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March 2016, the plaintiff tripped on a metal traffic sign base that was protruding out of the sidewalk in the defendant city. The base was the remainder of a yellow advance crosswalk sign that had been severed. A few months earlier, the city was informed by a resident that a sign and post had fallen in their yard. The sign was retrieved by the city and because the city's technician was unable to identify where the sign came from due to the amount of snow on the sidewalk, he decided to put the sign into storage and revisit the area when the snow melted in the spring. The plaintiff notified the city of the incident two days after it happened, after which time the city reinstalled the sign and eliminated the hazard. The plaintiff brought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city. The parties conceded that, pursuant to case law, the city could not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its policy of sidewalk inspection and signage repair but only for operational decisions.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 w:name="Holdings of Court_0"/>
            <w:bookmarkEnd w:id="17"/>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actions of city employees in carrying out a policy qualify as operational decisions. The City was not required to keep the sidewalk in a perfect state of repair. The policy required the city to use its best efforts to remediate the problem. The Court found that the city technician's efforts at the time the sign was discovered were reasonable and that despite those efforts, he was unable to determine where the sign came from. However, the technician misunderstood the policy when he stored the sign until the snow melted. The city would have or should have known that, based on the sheared post, the sign came from a base somewhere on a sidewalk near a crosswalk. The plaintiff's photographs from the day of the incident showed that there was no snow anywhere and that the base left in the sidewalk was very jagged and hazardous. The jagged end of the pole of the recovered sign should have prompted the city to prioritize finding the sign base as soon as the snow melted. Instead, the city only addressed the issue after being notified of the plaintiff's fall. The Court found that the policy was not followed by using the technician's "best efforts." The city fell short in the implementation of its policy, resulting in the plaintiff suffering an injury.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 w:name="Counsel_2"/>
      <w:bookmarkEnd w:id="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Johnson for the plaintiff; M.Z. Sherkat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2"/>
      <w:bookmarkEnd w:id="19"/>
      <w:r>
        <w:pict>
          <v:line id="_x0000_s1040"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G.P. WEATHERILL J."/>
            <w:bookmarkEnd w:id="20"/>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slip and fall case which proceeded by way of summary trial under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approximately 10:30 p.m. on Saturday, March 16, 2013, the plaintiff was walking with her boyfriend, Mr. Nelson, on a concrete sidewalk ("Sidewalk") owned by the City of Salmon Arm ("City") near the corner of 2nd Street and 5th Avenue, when she tripped on a metal traffic sign base ("Base") protruding out of the Sidewalk ("the Fall"). The Base was what remained of a yellow advance crosswalk sign ("Sign") that had been severed from it at some point months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notice the City had of the Fall or of the location of the Base was on Monday, March 18, 2013, at approximately 9 a.m. when Mr. Nelson called the City to advise them of the Fall. Shortly thereafter, the City's Engineering and Public Works Department arrived at the Sidewalk, noted the Base sticking out of the Sidewalk, and placed an orange cone on top of it. At approximately 1 p.m. that same day, the City had re-installed the Sign and eliminated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few months before the Fall the City responded to a call from a resident in the general location of the Fall that the Sign, complete with most of the original metal "Telespar" post ("Telespar Post") that affixed it to the Sidewalk, was lying in the snow in the resident's back yard. The Sign was retrieved by the City's road surface and sign maintenance technician, Mr. Kirk Graham. Mr. Graham took steps to identify where the Sign had come from, but was unable to do so because of the amount of snow on the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Graham decided to place the Sign in the City's sign inventory to await the spring snow melt. His plan was to revisit the general area of where he located the Sign once the sidewalks were clear of snow, determine where the Sign came from and repair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City's Policy of Inspection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would summarize the City's policy of sidewalk inspection and signage repair as follows ("Policy"):</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an unwritten "complaints-based" policy for inspecting and maintaining sidewalks.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relies solely on members of the public and City staff to report any defects on sidewalks or with signage. It maintains sidewalks and signage only in response to complaints.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formal inspection policy or inventory of signs. If a sign is noted to be missing, it is replaced and best efforts are made to locate missing signage.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complaint is received, the City investigates and determines whether the defect complained of is an immediate hazard and if so the City takes immediate steps to repair it. If it is not possible to make immediate repairs (for example due to weather), the hazard is flagged or marked to make it stand out as a warning to others until it can be repaired.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prioritizes the reinstallation and repair of damaged signage based on the safety hazard posed by such signage. For example, official crosswalks and stop signs, which are of paramount safety concern, are reinstalled immediately once they are found to be or reported as damaged. For all other signs which pose less of a safety concern, such as a no parking sign or a yellow advance crosswalk sign, the City uses its "best efforts" within the constraints of its resources to reinstall or fix damaged signage as soon as possible.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location of a missing sign can be determined (often weather dependent) or if it is reported as damaged or missing, it will be dealt with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agree the City cannot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Policy itself. They agree the Policy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 and that public authorities like the City cannot be liable for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Nonetheless, the plaintiff says the City was negligent in the implementation of the Policy and that the Fall was caused by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Particularly, she says the City was negligent by permitting the Base to remain a hazard to persons walking or using the Sidewalk and by failing to properly identify, replace, or repair the Sign on the Base within a reasonable period of time after the snow had melted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denies that it carried out the Policy in a negligent manner. It says it took reasonable steps to protect the plaintiff from hazards on the Sidewalk by following its Policy for repairing missing signage, which was reasonably prudent, having regard to the limited resources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law is clear that a public authority can be liable in tort for some but not all of its actions. The Supreme Court of Canada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drew a distinction between the policy decisions of a public authority and its operational decisions, leaving public authorities liable for the latter but not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practice, it can be difficult to identify whether a decision is a policy or an operational decision. The Supreme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provides some guidance on how to determine what type a decision is. It stated at 1245: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what constitutes [a] policy decision, it should be borne in mind that such decisions are </w:t>
      </w:r>
      <w:r>
        <w:rPr>
          <w:rFonts w:ascii="arial" w:eastAsia="arial" w:hAnsi="arial" w:cs="arial"/>
          <w:color w:val="000000"/>
          <w:sz w:val="20"/>
          <w:u w:val="single"/>
          <w:lang w:val="en-US" w:eastAsia="en-US" w:bidi="ar-SA"/>
        </w:rPr>
        <w:t>generally made by persons of a high level of authority</w:t>
      </w:r>
      <w:r>
        <w:rPr>
          <w:rFonts w:ascii="arial" w:eastAsia="arial" w:hAnsi="arial" w:cs="arial"/>
          <w:color w:val="000000"/>
          <w:sz w:val="20"/>
          <w:lang w:val="en-US" w:eastAsia="en-US" w:bidi="ar-SA"/>
        </w:rPr>
        <w:t xml:space="preserve"> in the agency, but may also properly be made by persons of a lower level of authority. The characterization of such a decision rests on the nature of the decision and not on the identity of the actors. </w:t>
      </w:r>
      <w:r>
        <w:rPr>
          <w:rFonts w:ascii="arial" w:eastAsia="arial" w:hAnsi="arial" w:cs="arial"/>
          <w:color w:val="000000"/>
          <w:sz w:val="20"/>
          <w:u w:val="single"/>
          <w:lang w:val="en-US" w:eastAsia="en-US" w:bidi="ar-SA"/>
        </w:rPr>
        <w:t>As a general rule, decisions concerning budgetary allotments for departments or government agencies will be classified as policy decisions</w:t>
      </w:r>
      <w:r>
        <w:rPr>
          <w:rFonts w:ascii="arial" w:eastAsia="arial" w:hAnsi="arial" w:cs="arial"/>
          <w:color w:val="000000"/>
          <w:sz w:val="20"/>
          <w:lang w:val="en-US" w:eastAsia="en-US" w:bidi="ar-SA"/>
        </w:rPr>
        <w:t>.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Further guidance on identifying the type of decision was provided in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True policy decisions involve social, political and economic factors. In such decisions, the authority attempts to strike a balance between efficiency and thrift, in the context of planning and predetermining the boundaries of its undertakings and of their actual performance. </w:t>
      </w:r>
      <w:r>
        <w:rPr>
          <w:rFonts w:ascii="arial" w:eastAsia="arial" w:hAnsi="arial" w:cs="arial"/>
          <w:color w:val="000000"/>
          <w:sz w:val="20"/>
          <w:u w:val="single"/>
          <w:lang w:val="en-US" w:eastAsia="en-US" w:bidi="ar-SA"/>
        </w:rPr>
        <w:t>True policy decisions will usually be dictated by financial, economic, social and political factors or constraints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operational area is concerned with the practical implementation of the formulated policies, it </w:t>
      </w:r>
      <w:r>
        <w:rPr>
          <w:rFonts w:ascii="arial" w:eastAsia="arial" w:hAnsi="arial" w:cs="arial"/>
          <w:color w:val="000000"/>
          <w:sz w:val="20"/>
          <w:u w:val="single"/>
          <w:lang w:val="en-US" w:eastAsia="en-US" w:bidi="ar-SA"/>
        </w:rPr>
        <w:t>mainly covers the performance or carrying out of a policy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Operational decisions will usually be made on the basis of administrative direction, expert or professional opinion, technical standards or general standards of reasonableness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If a decision is identified as a policy decision, the public authority is excluded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torts), unless it was made in bad faith or was so irrational as not to be a proper exercise of discretion: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But if a decision is identified as an operational decision, the public authority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torts), provided the plaintiff can prove all the elements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agree with the parties that the City cannot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Policy. As was conceded, the Policy is a true policy decision and therefore the City is excluded from liability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But that is not the end of the matter. The parties agree that the City owed a duty of care to the plaintiff and that the actions of the City employees in carrying out the Policy would clearly qualify as operational decisions, opening up the City to liability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 The question becomes whether the Policy was implemented in a negligent manner by the City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only real issue here is whether the City met its standard of care. The standard of care is one of reasonableness, not perfection. The question is whether the City took reasonable care in all the circumstances to see that the plaintiff was reasonably safe. The City was not required to do all it could have done to prevent the accident. To do so would demand a standard of perfection: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fact that the Fall happened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is on the plaintiff to establish on a balance of probabilities that some act or failure to act on the City's part fell below the standard of care it set for itself and caused the Fall. This burden remains the same in an application for summary dismissal under R. 9-7: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at para. 20, aff'd </w:t>
      </w:r>
      <w:hyperlink r:id="rId113"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City is not required to maintain its sidewalks in a perfect state of repair. As was stated in </w:t>
      </w:r>
      <w:r>
        <w:rPr>
          <w:rFonts w:ascii="arial" w:eastAsia="arial" w:hAnsi="arial" w:cs="arial"/>
          <w:i/>
          <w:color w:val="000000"/>
          <w:sz w:val="20"/>
          <w:lang w:val="en-US" w:eastAsia="en-US" w:bidi="ar-SA"/>
        </w:rPr>
        <w:t>Stojadinov v. Hamilton (City)</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(1988), 41 M.P.L.R. 185</w:t>
        </w:r>
      </w:hyperlink>
      <w:r>
        <w:rPr>
          <w:rFonts w:ascii="arial" w:eastAsia="arial" w:hAnsi="arial" w:cs="arial"/>
          <w:color w:val="000000"/>
          <w:sz w:val="20"/>
          <w:lang w:val="en-US" w:eastAsia="en-US" w:bidi="ar-SA"/>
        </w:rPr>
        <w:t xml:space="preserve"> (Ont. H.C.) at 91 and cited by McEwan J. in </w:t>
      </w:r>
      <w:r>
        <w:rPr>
          <w:rFonts w:ascii="arial" w:eastAsia="arial" w:hAnsi="arial" w:cs="arial"/>
          <w:i/>
          <w:color w:val="000000"/>
          <w:sz w:val="20"/>
          <w:lang w:val="en-US" w:eastAsia="en-US" w:bidi="ar-SA"/>
        </w:rPr>
        <w:t>Einarson v. Richmond (City)</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[1998] B.C.J. No. 2103</w:t>
        </w:r>
      </w:hyperlink>
      <w:r>
        <w:rPr>
          <w:rFonts w:ascii="arial" w:eastAsia="arial" w:hAnsi="arial" w:cs="arial"/>
          <w:color w:val="000000"/>
          <w:sz w:val="20"/>
          <w:lang w:val="en-US" w:eastAsia="en-US" w:bidi="ar-SA"/>
        </w:rPr>
        <w:t xml:space="preserve"> (S.C.)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the municipality is to keep the sidewalks in repair, which is to say, in such a condition that a person using ordinary care for his or her own safety can pass along it in safety. In my view it would be requiring the impossible [for] a municipality to require that it maintain all its sidewalks at a perfect level. As has been said in these cases over the years, it does not follow because an accident happens that a sidewalk is necessarily in a state of non-repair.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McEwan J. went on to say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necessarily unreasonable for a city to have a policy that it will not provide scheduled inspections of sidewalks, if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 has been made that certain hazards fall below a threshold established for budgetary or manpower considerations. Unless it can be shown that the threshold is irresponsibly high or arbitrary, the mere fact that there are no inspections will not lead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Policy, created by the City, required it to use its "best efforts", all things considered, having regard to the City's resource constraints and the hazardous nature of the Sign, to remediate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satisfies me that the City used its best efforts around the time the Sign was discovered by Mr. Graham in the snow in a resident's yard in the general area of the Sidewalk to determine where the Sign came from. The evidence also satisfies me that Mr. Graham's efforts at that time were reasonable and that despite those efforts, he was unable to locate where the sign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Mr. Graham then misunderstood the Policy. He says that when he could not locate where the Sign came from, "[a]s per the City's standard practice, and because this was not a stop sign or white cross walk sign", he stored the Sign until the location for the Sign could be determined in the spring when the snow melted.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City knew that the Sign was missing from its intended location and, I am satisfied, would or should have known from looking at the end of the recovered Telespar Post that it had been sheared off from the Base located somewhere on a sidewalk near a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photographs taken by Mr. Nelson the day after the Fall show very jagged and hazardous ends sticking up from the Base. The photographs also make it clear that the snow had melted from the area some time before the Fall. There is no snow in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that the end of the Telespar Post found by Mr. Graham months earlier probably had matching jagged edges that should have alerted Mr. Graham and the City that the Base was still attached to a sidewalk likely in the general area of where the Sign was found. If using "best efforts" was the standard, this knowledge on Mr. Graham's part should have moved the matter of locating and remediating the Sign and Base to the priority of immediacy as soon as the snow had melted. At a minimum, "best efforts" must include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efforts". Instead, the Sign remained in storage until after the City was notified of the Fall, despite the snow having been melted from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Given Mr. Graham's knowledge of the Sign and what I infer he knew of the Telespar Post's condition, I find that he did not follow the Policy by using his "best efforts" to locate and replace the Sign. Indeed, the evidence is that after he placed the Sign in storage, he made no effort until the City received notice of the Fall on March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has the burden of proving all of the elements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on a balance of probabilities. Weighing the evidence, I conclude that the plaintiff has met that burden. I find that the City fell short in the implementation of its Policy and the plaintiff suffered harm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result, the plaintiff's liability claim is allowed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may proceed to trial to prove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British Columbia (Ministry of Forests) v. Pope &amp; Talbot Ltd., [2007] B.C.J. No. 2362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29-31, June 1-2, 5-9, 13-16,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3 and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02-3560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172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as represented by The Minister of Forests, Plaintiff, and Pope &amp; Talbot Ltd., Reid Hedlund operating as Mid-Boundary Contracting and the said Mid-Boundary Contracting and 513251 B.C. Ltd., Defendants, and Reid Hedlund operating as Mid-Boundary Contracting, the said Mid-Boundary Contracting and 513251 B.C.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Causation — Action by the plaintiff, the provincial Crown, dismissed — A forest fire started on Crown land on which the defendant forestry companies worked under a tree farm licence — The Crown sought the cost of suppressing the blaze based on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statutory duty — The court found in favour of the defendants — Although a fire watch conducted by a worker was inadequate and could have detected the blaze, it was not established that the delay in reporting caused the spread of the fire — Wildfire Regulation, s.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Natural resources law — Timber — Crown land — Action by the plaintiff, the provincial Crown, dismissed — A forest fire started on Crown land on which the defendant forestry companies worked under a tree farm licence — The Crown sought the cost of suppressing the blaze based on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statutory duty — The court found in favour of the defendants — Although a fire watch conducted by a worker was inadequate and could have detected the blaze, it was not established that the delay in reporting caused the spread of the fire — Wildfire Regulation, s.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1"/>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the provincial Crown as represented by the Minister of Forests, against the defendants, Pope &amp; Talbot, Hedlund, Mid-Boundary Contracting and 513251 B.C. Limited,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statutory duty -- A forest fire burned 159 hectares of Crown land -- It cost $1.08 million to suppress the fire -- The defendants were forestry companies that operated on the lands under a tree farm licence -- The Crown alleged that the fire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their industrial activity -- The Crown contended that the defendants failed to comply with the Forest Practices Code and their obligations under the licence -- The Crown contended that the defendants breached their statutory fire watch obligations and failed to train and supervise relevant employees -- The Crown submitted that the defendants' failures and breaches directly or indirectly caused or contributed to the spread of the fire -- The defendants argued that the fire started on the day prior to the industrial operations relied upon by the Crown as the source of the blaze -- The defendants submitted that they were in full compliance with the Code, the licence and the regulations, and were not negligent -- The defendants argued that any delay in reporting the fire did not cause or contribute to its spread -- HELD: Action dismissed -- The industrial activities of the defendants caused the fire that erupted on the following day -- A fire watch conducted on an adjacent worksite was markedly inadequate, as the worker was not properly situated -- Had a proper watch been conducted, the worker would have seen the hold-over fire that started on the previous day's worksite -- However, the difference in time between when the fire could have been reported and when it was reported was 15 to 30 minutes -- It could not be inferred that the delay rendered the fire incapable of being subdued by those that first responded -- Thus the breach of the fire watch obligations did not have the legal consequences claimed by the Crown -- No independent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given that the defendants were under no duty to forbear working on the dates in question.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Wildfire Regulation, </w:t>
      </w:r>
      <w:hyperlink r:id="rId124" w:history="1">
        <w:r>
          <w:rPr>
            <w:rFonts w:ascii="arial" w:eastAsia="arial" w:hAnsi="arial" w:cs="arial"/>
            <w:i/>
            <w:color w:val="0077CC"/>
            <w:sz w:val="20"/>
            <w:u w:val="single"/>
            <w:shd w:val="clear" w:color="auto" w:fill="FFFFFF"/>
            <w:lang w:val="en-US" w:eastAsia="en-US" w:bidi="ar-SA"/>
          </w:rPr>
          <w:t>B.C. Reg. 38/2005, s. 6</w:t>
        </w:r>
      </w:hyperlink>
      <w:r>
        <w:rPr>
          <w:rFonts w:ascii="arial" w:eastAsia="arial" w:hAnsi="arial" w:cs="arial"/>
          <w:color w:val="000000"/>
          <w:sz w:val="20"/>
          <w:lang w:val="en-US" w:eastAsia="en-US" w:bidi="ar-SA"/>
        </w:rPr>
        <w:t>(4)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3"/>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E. Hanman and S.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Switzer and M. Sherkat.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D. Lewthwaite.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3"/>
      <w:bookmarkEnd w:id="25"/>
      <w:r>
        <w:pict>
          <v:line id="_x0000_s1045"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T.M. McEWAN J."/>
            <w:bookmarkEnd w:id="26"/>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or about August 9, 2000 a forest fire burned an area of approximately 159 hectares near Ingram Creek in the hills east of Rock Creek,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area was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Pope &amp; Talbot Ltd. ("P &amp; T") is a forest company which operated in that area pursuant to Boundary Tree Farm License No. 8 (the "TFL") under which it acquired the right from the Province to occupy and harvest timber from the lands. These were more specifically identified in Cutting Permit 7F.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other defendant is a sub-contractor of P &amp; T that was engaged to harvest timber on Cutting Permit 7F.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for the most part, took the same positions and made common submissions. I will refer to them collectively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Province alleges that the defendants carried out their activities negligently, and in breach of a number of legal and contractual obligations and that they are responsible for the fire and for the costs of suppressing it. The Province summarizes its allegations as follows: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was ignited by the Defendants' industrial activities within CP7F, specifically the feller-buncher's operations ... the most likely cause of ignition of the fire was the feller-buncher's metal tracks crushing rock, causing sparks.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at material times to the ignition and spread of the fire, the Defendants were in breach of their obligations to carry out a fire watch in accordance with the statutory provisions where a Fire Danger Class 4 was in effect.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Defendants] failed to train and supervise relevant employees.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Defendants] were negligent in the conduct of their logging operations in the context of the overall high-risk operating conditions.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Defendants'] failures and breaches, directly or indirectly, caused or contributed to the fire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agreed that the costs of suppression for which this claim is made is $1,084,204.17.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legislative and contractual framework governing the parties emanates from the </w:t>
      </w: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The Province led a considerable amount of background evidence on the development of the law and practices relating to fire suppression up to the time of the fire. David Hames, the Director of the Protection Branch of the Ministry of Forests in 2000 explained that the objectives of the fire suppression program were to maintain the same number of "person-caused" fires year-over-year despite population increases, and to maintain a 94% rate of success in containing wild fires within 4 hectares. He said that the motto of the suppression system is "hit hard, hit fast". He said the focus is on prevention by means of quick, early response, to extinguish fires while they are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Hames reviewed the evolution of the existing forest regulations, beginning with a discussion paper in 1989, which was followed by a series of consultations that, ultimately, resulted in new regulations. These were designed, among other things, to address technological and other advances in the nature of industrial activity in the forest that had, to some extent, overtaken existing legislation. The industry was consulted respecting a new series of low, medium and high fire risk classifications designed to permit work to continue during high risk periods, subject to certain limitations. The process was dynamic, in the sense that as the forest companies gained experience under the revised regulations, those that proved unworkable were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Philip Taudin-Chabot, the Ministry's Superintendent of Safety and Training in 2000, testified that he had a direct role in drafting the training aspects of the new legislation. He said that the industry was consulted in the process. When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was introduced, modifications to the regulations were also promulgated. The significant changes were summarized in a letter from Janna Kumi, the Assistant Deputy Minister, Operations Division to the Ministry's Regional Managers and Fire Centre Managers, which I reproduce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Forest Fire Prevention and Suppression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effective date of the </w:t>
      </w:r>
      <w:r>
        <w:rPr>
          <w:rFonts w:ascii="arial" w:eastAsia="arial" w:hAnsi="arial" w:cs="arial"/>
          <w:i/>
          <w:color w:val="000000"/>
          <w:sz w:val="20"/>
          <w:lang w:val="en-US" w:eastAsia="en-US" w:bidi="ar-SA"/>
        </w:rPr>
        <w:t>Forest Fire Prevention and Suppression Regulation</w:t>
      </w:r>
      <w:r>
        <w:rPr>
          <w:rFonts w:ascii="arial" w:eastAsia="arial" w:hAnsi="arial" w:cs="arial"/>
          <w:color w:val="000000"/>
          <w:sz w:val="20"/>
          <w:lang w:val="en-US" w:eastAsia="en-US" w:bidi="ar-SA"/>
        </w:rPr>
        <w:t xml:space="preserve"> was June 15, 1995. This mid season implementation has lead to some concerns regarding the enforcement of </w:t>
      </w:r>
      <w:r>
        <w:rPr>
          <w:rFonts w:ascii="arial" w:eastAsia="arial" w:hAnsi="arial" w:cs="arial"/>
          <w:color w:val="000000"/>
          <w:sz w:val="20"/>
          <w:u w:val="single"/>
          <w:lang w:val="en-US" w:eastAsia="en-US" w:bidi="ar-SA"/>
        </w:rPr>
        <w:t>the three main changes, the requirement for a fire preparedness plan, training requirements and requirements for carrying out a hazard assessment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27 Requirements for a fire preparedness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to submit plans for approval has in the past been a contractual obligation under the terms of certain timber harvesting licenses. Any plans submitted and approved under the old arrangement should be considered as sufficient to satisfy this new regulatory requirement for this fire season.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shift from a contractual to a statutory obligation now includes other timber harvesting licensees who in the past were not required to submit preparedness plans. A one page fact sheet that reports the content as per Section 28 will in most cases satisfy this requirement. This information is crucial in order for the fire centres to provide prompt fire suppression initial attack and support action with the nearest available resources.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29 Training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expectation that industry could be in full compliance with the training requirements by June 15 is unreasonable. In view of this, an amendment to Section 29 to delay the effective date until April 1, 1996, has been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licensees have made a great deal of effort to be in full compliance. They not only understood their legal obligation, but recognized the importance of fire safety training for their employees. Their efforts have not been wasted and are applauded.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30 Requirements for carrying out a hazard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requires a person who harvests timber on crown land to conduct a fire hazard assessment, submit the assessment of the hazard, and remove the hazard within a set time period. The requirement to remove a hazard is not new, only the responsibilities to assess and report are new. In most cases these assessments can be conducted in conjunction with other operational surveys. The field guides, due out soon, will provide instruction on how to conduct an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no blanket exemptions for any sections of the regulation, however, the authority to exempt persons from all or part of the regulation subject to conditions or alternative requirements, lies in Section 214(2) of the </w:t>
      </w: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Workers' Compensation Board also enacted training requirements for forest fighters that were consistent with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inasmuch as the same course (called S-100), was deemed to meet the necessary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relevant legislation for the purposes of these reasons,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Ministry of Forests Act</w:t>
      </w:r>
      <w:r>
        <w:rPr>
          <w:rFonts w:ascii="arial" w:eastAsia="arial" w:hAnsi="arial" w:cs="arial"/>
          <w:color w:val="000000"/>
          <w:sz w:val="20"/>
          <w:lang w:val="en-US" w:eastAsia="en-US" w:bidi="ar-SA"/>
        </w:rPr>
        <w:t>, s.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purposes and functions of the ministry are, under the direction of the minister, to do the following: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encourage maximum productivity</w:t>
      </w:r>
      <w:r>
        <w:rPr>
          <w:rFonts w:ascii="arial" w:eastAsia="arial" w:hAnsi="arial" w:cs="arial"/>
          <w:color w:val="000000"/>
          <w:sz w:val="20"/>
          <w:lang w:val="en-US" w:eastAsia="en-US" w:bidi="ar-SA"/>
        </w:rPr>
        <w:t xml:space="preserve"> of the forest and range resources of the government, having regard to the immediate and long term economic and social benefits they may confer on British Columbia;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manage, protect and conserve the forest and range resources of the government, </w:t>
      </w:r>
      <w:r>
        <w:rPr>
          <w:rFonts w:ascii="arial" w:eastAsia="arial" w:hAnsi="arial" w:cs="arial"/>
          <w:color w:val="000000"/>
          <w:sz w:val="20"/>
          <w:u w:val="single"/>
          <w:lang w:val="en-US" w:eastAsia="en-US" w:bidi="ar-SA"/>
        </w:rPr>
        <w:t>having regard to the immediate and long term economic and social benefits</w:t>
      </w:r>
      <w:r>
        <w:rPr>
          <w:rFonts w:ascii="arial" w:eastAsia="arial" w:hAnsi="arial" w:cs="arial"/>
          <w:color w:val="000000"/>
          <w:sz w:val="20"/>
          <w:lang w:val="en-US" w:eastAsia="en-US" w:bidi="ar-SA"/>
        </w:rPr>
        <w:t xml:space="preserve"> they may confer on British Columbia;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the use of the forest and range resources of the government, so that the production of timber and forage, the harvesting of timber, the grazing of livestock and the realization of fisheries, wildlife, water, outdoor recreation and other natural resource values are coordinated and integrated, in consultation and cooperation with other Ministries and agencies of the government and with the private sector;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a vigorous, efficient and world competitive timber processing industry in British Columbia;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 the financial interest of the government in its forest and range resources in a systematic and equitable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 s.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67(1) A person who carries out timber harvesting and related forest practices 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forest land,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range,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land that is subject to a tree farm licence, community forest agreement or a woodlot licence,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do so in accordance with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the regulations and standards,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operational plan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Forest Fire Prevention and Suppression Regulation</w:t>
      </w:r>
      <w:r>
        <w:rPr>
          <w:rFonts w:ascii="arial" w:eastAsia="arial" w:hAnsi="arial" w:cs="arial"/>
          <w:color w:val="000000"/>
          <w:sz w:val="20"/>
          <w:lang w:val="en-US" w:eastAsia="en-US" w:bidi="ar-SA"/>
        </w:rPr>
        <w:t>, ss. 4, 20, 29, 91(1)(a) and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Fire watcher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 fire watcher is required to be present by this regulation, the fire watcher must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watch for sparks and fires,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any fires to a designated forest official, a peace officer or the person carrying out an industrial activity at the worksite at which the fire watcher is engaged,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in fighting any fire that occurs in the area being watched by the fire watcher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the fire watcher reports a fire to a person carrying out an industrial activity, the person must immediately report the forest fire to a regional manager, district manager, a designated forest official, peace officer or person answering a forest fire reporting number.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person carrying out an industrial activity must ensure that a fire watcher has access to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round-nosed shovel;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Pulaski tool or mattock,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hand-tank pump containing at least 18 litres of water;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radio or telephone that can be used to report a fire and request assistance.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Restrictions on industrial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A person carrying out an industrial activity must ensure that the activity is conducted in accordance with the requirements set out on Columns 3 and 4 of Schedule 5 that are opposite the industrial activity's risk classification in Column 2 and fire danger class in Column 1.</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carrying out the industrial activity</w:t>
      </w:r>
    </w:p>
    <w:p>
      <w:pPr>
        <w:numPr>
          <w:numId w:val="13"/>
        </w:numPr>
        <w:spacing w:before="120" w:line="240" w:lineRule="atLeast"/>
        <w:rPr>
          <w:rFonts w:ascii="arial" w:eastAsia="arial" w:hAnsi="arial" w:cs="arial"/>
          <w:sz w:val="20"/>
          <w:lang w:val="en-US" w:eastAsia="en-US" w:bidi="ar-SA"/>
        </w:rPr>
      </w:pP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industrial activity's risk classification from Schedule 1,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exempted by a designated forest official, obtain the fire danger class from a designated forest official.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designated forest official must determine the fire danger class for the industrial activity from data provided by representative weather stations, the regions set out in Schedule 3 and the tables set out in Schedule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If the person carrying out the industrial activity is exempted from the requirement to obtain the fire danger class under subsection (2)(b), he or she must ensure that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weather station acceptable to the designated forest official is established to provide information that can be used with the Canadian Forest Fire Weather Index System published by the Canadian Forest Service to determine, in accordance with subsection (3), the fire danger class for the industrial activity,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calculations are made using weather data and the system referred to in paragraph (a), and the weather data or the results of the calculations, or both, are reported as required, from time to time, to a designated forest official.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29(1) A person carrying out an industrial activity who is a holder of a major licence, woodlot licence or timber sale licence that is not a major licence who will be carrying out a timber harvesting operation that requires a fire preparedness plan under section 27, must ensure at all times during the operation that a person in charge is present on the site who has been trained to a level acceptable to the minister in the areas of fire suppression techniques, fire behavior and fire line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following courses are prescribed for the purposes of section 91(1)(b)(ii) of the Act: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Fundamentals of Fire Fighting s-130 (B.C.);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and Fire Behavior s-190 (B.C.);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Portable Pumps and Water use s-232 (B.C.);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courses that, in the opinion of a designated forest official, are the equivalent of a course referred to in paragraphs (a) to (c).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A person carrying out an industrial activity in or within 300m of a forest must</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 so in accordance with the regulations, and</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have</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tools and equipment in the quantity and of the type required by the regulations,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prescribed number of personnel who meet the prescribed training qualifications.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person engaged in a prescribed category of industrial activity must submit to a designated forest official a fire preparedness plan that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specifies proposed fire detection and initial fire suppression for the person's area of operation,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meets the requirements of the regulations.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Columns 3 and 4 of Schedule 5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referred to in section 20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sets out certain restrictions on industrial activity depending on the fire danger classification, which is a five point scale (I-V) derived from a number of factors. There is an issue in this case respecting whether the danger class was high (IV) or extreme (V):</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B.C. Reg. 6/98, s. 20]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RESTRICTIONS ON INDUSTRIAL OPERATIONS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Column 1</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Column 2</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Column 3</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Column 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Risk</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Restriction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Duration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Danger</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Classification</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(DGR)</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or B</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3</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(moderate)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of DGR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maintain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fire watch</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1 hour</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(high)</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Maintain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watch</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1 hour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230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3</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of DGR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or greater,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cease activity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for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1 p.m.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9 p.m.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local time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each day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DGR II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DGR 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Maintain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watch</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1 hour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 (extreme)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Maintain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watch</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1 hour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230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2</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of DGR V,</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cease all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activity all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 then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resume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activity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except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hours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p.m.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 p.m. local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time,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DGR 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1"/>
        <w:gridCol w:w="230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Maintain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watch</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1 hour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DGR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230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3</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cease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activity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DGR IV</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1 p.m.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9 p.m.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consecutive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local time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days,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each day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until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fire danger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 falls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DGR III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specific relationship of the parties was governed by Tree Farm Licence No. 8.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3.00 </w:t>
      </w:r>
      <w:r>
        <w:rPr>
          <w:rFonts w:ascii="arial" w:eastAsia="arial" w:hAnsi="arial" w:cs="arial"/>
          <w:color w:val="000000"/>
          <w:sz w:val="20"/>
          <w:u w:val="single"/>
          <w:lang w:val="en-US" w:eastAsia="en-US" w:bidi="ar-SA"/>
        </w:rPr>
        <w:t>CUTTING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Without the Regional Manager's written consent the Licensee will not cut timber on the licence area except under a cutting permit issued under this Licence, or under a road permit.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12.00 </w:t>
      </w:r>
      <w:r>
        <w:rPr>
          <w:rFonts w:ascii="arial" w:eastAsia="arial" w:hAnsi="arial" w:cs="arial"/>
          <w:color w:val="000000"/>
          <w:sz w:val="20"/>
          <w:u w:val="single"/>
          <w:lang w:val="en-US" w:eastAsia="en-US" w:bidi="ar-SA"/>
        </w:rPr>
        <w:t>LIABILITY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Licensee will indemnify the Crown against the will save it harmless from all claims, demands, suits, actions, causes of action, costs, expenses and losses faced, incurred or suffered by the Crown as a result, directly or indirectly, of wrongful acts and omissions on the licence area of the Licensee,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of the Licensee;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a person who performs work directly 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indirectly under contract with the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relevant cutting permit, CP7F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7.00 </w:t>
      </w:r>
      <w:r>
        <w:rPr>
          <w:rFonts w:ascii="arial" w:eastAsia="arial" w:hAnsi="arial" w:cs="arial"/>
          <w:color w:val="000000"/>
          <w:sz w:val="20"/>
          <w:u w:val="single"/>
          <w:lang w:val="en-US" w:eastAsia="en-US" w:bidi="ar-SA"/>
        </w:rPr>
        <w:t>LEGISLATIVE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7.01 This Cutting Permit is subject to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and the regulations made under that Act,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and the regulations and standards made under that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7.02 The Licensee must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the Acts, regulations and standards referred to in paragraph 7.01,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its employees, agents and contractors comply with these Acts, regulations and standards when engaging in or carrying out activities or operations under or associated with this Cutting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in this Cutting Permit is to be construed as authorizing the Licensee to carry out any operations or engage in any activities otherwise than in accordance with the requirements of the Acts, regulations and standards referred to in paragraph 7.01.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9.00 </w:t>
      </w:r>
      <w:r>
        <w:rPr>
          <w:rFonts w:ascii="arial" w:eastAsia="arial" w:hAnsi="arial" w:cs="arial"/>
          <w:color w:val="000000"/>
          <w:sz w:val="20"/>
          <w:u w:val="single"/>
          <w:lang w:val="en-US" w:eastAsia="en-US" w:bidi="ar-SA"/>
        </w:rPr>
        <w:t>MISCELLANEOUS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Exhibit and the Schedules to this Cutting Permit are deemed to be part of this Cutting Permit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Cutting Permit is deemed to be part of the Licence.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These obviously impose a contractual duty upon the Licensee to carry out the obligations required by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and to ensure that its employees and sub-contractors do so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addition to the legislative and contractual breaches alleged, the Province also alleges that the defendants owed a duty of care to the Province, which they failed to discharge to an appropriate standard, both in failing to comply with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and in the manner in which they otherwise carried out their responsibilities.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for their part, assert that the Province has failed to prove these allegations on a balance of probabilities. They submit, in the alternative,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theory of the case is premised on the assumption that the Defendants' industrial activities conducted on August 9, 2000 caused or contributed to the Plaintiff's loss. The undisputed evidence is that the Ingram Creek Fire started on August 8th. None of industrial operations conducted by the Defendants on August 9th have legal relevance to the spread of the August 8th fire. The Plaintiff's theory of the case would result in the creation of a coincidental tortfeasor. Accordingly, the Plaintiff's case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event, the Defendants were in full compliance with the </w:t>
      </w:r>
      <w:r>
        <w:rPr>
          <w:rFonts w:ascii="arial" w:eastAsia="arial" w:hAnsi="arial" w:cs="arial"/>
          <w:i/>
          <w:color w:val="000000"/>
          <w:sz w:val="20"/>
          <w:lang w:val="en-US" w:eastAsia="en-US" w:bidi="ar-SA"/>
        </w:rPr>
        <w:t>Forest Practice Code of British Columbia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Practices Code")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B.C. Reg. 169/95</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and the terms of the Tree Farm License and Cutting Permit.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cannot maintain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not negligent and did not breach a duty of care owned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a delay in reporting the Ingram Creek Fire as alleged by the Plaintiff, that delay did not cause or contribute to the spread of the fire.</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[from the Defendant's submissions]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supports findings of the following basic facts:</w:t>
      </w:r>
      <w:r>
        <w:rPr>
          <w:rFonts w:ascii="arial" w:eastAsia="arial" w:hAnsi="arial" w:cs="arial"/>
          <w:sz w:val="20"/>
          <w:lang w:val="en-US" w:eastAsia="en-US" w:bidi="ar-SA"/>
        </w:rPr>
        <w:cr/>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8, 2000 Brian Hancock, an employee of the defendant 513251 B.C. Ltd. was operating a feller-buncher in an area known as Ingram Creek, near Rock Creek, British Columbia. He traversed that worksite with a feller-buncher that day.</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9, 2000 Mr. Hancock working alone, operated his feller-buncher on an area adjacent to the August 8, 2000 worksite.</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Sparks thrown off by the steel tracks of equipment like feller-bunchers are a recognized fire hazard, particularly in dry conditions.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fire as measured at the Rock Creek weather station was danger class 4.</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probable point of ignition of the fire that became apparent on August 9, 2000 was in the area that Mr. Hancock had worked on August 8, 2000. The mechanism was described by Terence Van Nest, an expert in the analysis of wild fire behaviour and suppression, as a "hold-over" fire, which is a spark that ignites underground material and smoulders until weather conditions cause it to surface.</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Hancock stopped working at about 12:45 p.m. on August 9th.</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complied with the requirement set out in Schedule 5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that after three consecutive days of Fire Danger Class IV industrial activity not be undertaken between 1 p.m. and 9 p.m. each day.</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required a one hour fire watch after work ceased.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Hancock was aware of the requirement for a fire watch. He said in his Discovery, read in by the Province, that he was concerned to park his machine where it was less likely to start a fire, even if that meant putting the machine where he could not see the area he had been working. He said his instructions were "to remain on site for about an hour and primarily to stay by your machine ..." and "to watch for fires while you're servicing your machine." He suggested that if the work area could not be seen from the area of the parked machine he would be obliged to look at the area "at some point at least within the hour."</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Hancock said in the Discovery, read in by the Province, that on August 9, 2000 he walked up to the top of the work area shortly after 12:45 and looked over the area. He saw no sign of smoke or fire. For the rest of the hour he acknowledged he could see very little of the area he had worked. He says he left at 1:45.</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Reid Hedlund, the principal of 513251 B.C. Ltd., said the following in his Discovery, read in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So where the feller-buncher is parked, he can see up the road up to about Landing 28 is my understanding?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would actually be able to see if you were physically on site, you could see beyond Landing 28 on the lower portion of the road and partially up the road, as well, depending on where you stand where his buncher was, depending on if you're standing on the upside of the road or on the downside of the road where his buncher was indicated to be parked at, so it does make a difference where he was at. So there's a percentage of the block or the area that he had worked that day that he would be able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Well, according to your description, really it's only this corner of the block just above Landing 28 that he could see? There's a curve in the road,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I'll agree with you there. As he had indicated as to where he had come out on his passes was the final area that he had worked, that's also part of his work site. He's able to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But he's not able to see this whole area over here on August 9th, 2000,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he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Nor is he able to see the area in which there's the designated point of ignition,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Nor is he able to see this pass area that he made which is above 28 and away from the road,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Nor completely, He's able to see a portion of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289 Q. Yeah, The very first corner of it probably?</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290 Q. At the most, 30 feet in, correct?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 As indicated on there that is the area that he was working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to Mid-Boundary's standards, that one brief walk that he did up to the pick-up truck and back was sufficient for looking at the rest of the work site that he worked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292 Q. Those are your standards?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was first observed by Paul Kimoff, an employee of the defendant, Pope &amp; Talbot, from a vantage on Highway 3 between Bridesville and Midway about 10 km. from the fire. He reported the fire to Leah McLaren, a Pope &amp; Talbot employee, at approximately 1:30 p.m. on August 9, 2000.</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Leah McLaren advised Dennis Rexin, an Incident Commander and employee of the Province stationed at Rock Creek, immediately, that is, at approximately 1:30 p.m. as well.</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Rexin could see the smoke column from the Rock Creek valley at 1:45 p.m.</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"helitack" initial attack crew lifted off from Rock Creek in a helicopter at 1:50 p.m.</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Rexin began to drive to the site in his truck. Along the way he was advised that the fire was beyond the capability of the initial attack team. Mr. Rexin asked the helicopter to land and he went up in it, taking a series of photographs, starting at 2:12 p.m.</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Rexin estimated the fire to cover 10-12 hectares at the time but now agrees, and the weight of the evidence is, that it was much smaller, more like 2.5-3 hectares as Ed Lussier, the first air attack officer on site at 2:19 p.m. estimated.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Rexin was on the ground at the site by 2:39. Tanker action was started and then called off as the fire had spread past the point when tankers would be effective. Helicopters continued to "bucket"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Considerable evidence was led respecting the manner in which fire suppression is undertaken in British Columbia and as to the manner in which it was specifically applied to this fire. While the parties have agreed as to the </w:t>
      </w:r>
      <w:r>
        <w:rPr>
          <w:rFonts w:ascii="arial" w:eastAsia="arial" w:hAnsi="arial" w:cs="arial"/>
          <w:color w:val="000000"/>
          <w:sz w:val="20"/>
          <w:u w:val="single"/>
          <w:lang w:val="en-US" w:eastAsia="en-US" w:bidi="ar-SA"/>
        </w:rPr>
        <w:t>amount</w:t>
      </w:r>
      <w:r>
        <w:rPr>
          <w:rFonts w:ascii="arial" w:eastAsia="arial" w:hAnsi="arial" w:cs="arial"/>
          <w:color w:val="000000"/>
          <w:sz w:val="20"/>
          <w:lang w:val="en-US" w:eastAsia="en-US" w:bidi="ar-SA"/>
        </w:rPr>
        <w:t xml:space="preserve"> of the fire suppression claim, the defendants have not admitted that these expenses were "necessarily or properly incurred". Although the defendants have put their responsibility for these costs in issue, there is no evidence to suggest that the Province undertook unnecessary or redundant or excessive steps in relation to the suppression of the fire itself. It is not therefore necessary to review in detail what was done from the point at which the fire was actively being suppressed, except to note that the Province clearly established the efforts that led to the agreed suppression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events of August 9, 2000 were the subject of an "Opportunity to be Heard" ("OTBH") before Mr. Steven Schmidt, the manager of the Southeast Fire Centre in 2000. In that capacity, he was vested with the authority to determine, at first instance, claims arising out of forest fires. The OTBH was held on September 26, 2000. Mr. Schmidt considered a claim by Pope and Talbot under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for reimbursement of its expenses in fighting the fire. This section provides that, subject to exceptions, "a person who carries out initial fire suppression ... must be compensated." The authority under which Mr. Schmidt made his determination is s. 95(2):</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designated forest official may make a determination that a person, or that person's employee,</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a fire,</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comply with section 92, or</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comply with the regulations and that failure contributed to the cause or spread of a fire.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designated forest official makes a determination under subsection (2), a designated forest official must give the person a notice of determination under section 120.</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is not liable to compensate a person who is determined under subsection (2) to have caused a fire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process is informal. Mr. Schmidt testified at this trial, explaining his finding that the defendants were not entitled to the costs of these fire suppression efforts but were, in fact, liable to the Province for its fire suppression costs. The record upon which Mr. Schmidt proceeded was not as complete as the record assembled for his trial. While maintaining that Mr. Schmidt was correct, the Province does not advance this ruling as determinative, but rather as evidence of the approach taken by the person vested with the authority to make the initial call, and for whatever persuasive value it may have in assisting the court in assessing the legal tests it must apply.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established that the industrial activities of the defendants, and more specifically the operation of a feller-buncher by Mr. Hancock on the August 8, 2000 worksite, caused the fire that erupted on August 9, 2000. The evidence of Colin Effa, the Senior Forest Protection Officer who attended the site, was that the area of ignition was proximate to tracks most likely made by Mr. Hancock's equipment. The other evidence and several admissions rule out all other realistic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of Terrance Van Nest, a very experienced specialist in fire behaviour, is consistent with the findings of Mr. Effa. He agreed that the probable point of ignition was cavities in the ground on the site Mr. Hancock says he worked on August 8, 2000. Mr. Van Nest's conclusions included the following:</w:t>
      </w:r>
      <w:r>
        <w:rPr>
          <w:rFonts w:ascii="arial" w:eastAsia="arial" w:hAnsi="arial" w:cs="arial"/>
          <w:sz w:val="20"/>
          <w:lang w:val="en-US" w:eastAsia="en-US" w:bidi="ar-SA"/>
        </w:rPr>
        <w:cr/>
      </w:r>
    </w:p>
    <w:p>
      <w:pPr>
        <w:numPr>
          <w:numId w:val="3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as to whether it is more likely than not that the substance in this hole was the point of ignition of this fire.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Sparks caused by steel contacting rock do not travel very far particularly when at or near the ground. An example of this would be the use of a flint and steel to start a campfire. It is my opinion that sparks created by the steel tracks on the piece of equipment crushing the rock, fell in amongst the rock likely igniting in organic soil and then burning into the ground to create Cavities #1 and #2.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Supporting evidence</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Cavities #1 and #2 are within the ignition area identified in the Wildfire/Cause Investigation report.</w:t>
      </w:r>
    </w:p>
    <w:p>
      <w:pPr>
        <w:numPr>
          <w:numId w:val="4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Crushed and broken rock surrounds Cavities #1 and #2.</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Wildfire/Cause Investigation report notes the presence of crawler tracks where crushed rock exists.</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Daily Fine Fuel Moisture Code supports a high probability for sustained ignition (ignitions that survive) from August 1-August 9, 2000.</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Fuel moisture codes (DMC and DC) August 1-9, 2000 support consumption of ground fuels such as organic soil.</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would a root which would have fit in this hole have taken to smoulder and burn to the point where it surfaced and resulted in this fire spreading?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fire in Cavities #1 and #2 consumed primarily organic soil rather than woody material. Unless a tree root is comprised of dead or rotting material, moisture contained in a live root or in this case a root from a freshly felled tree makes it less available to the fire. Inherently a live root system does have higher oxygen content in the soil adjacent to the roots that provides a ground fire with a somewhat better environment for combustion. This condition means that a ground fire will often consume the organic soil next to a root more quickly than in more compacted soil located further away from the root. It is possible that two ignitions occurred, one ignition at Cavity #1 and a second ignition at Cavity #2. Both locations are surrounded by rock thereby limiting surface access to adjacent surface fuel. Smouldering ground fire(s) were the result as the fire burned into the organic soil. Exit from the ignition area on August 9, 2000 is more likely adjacent to Cavity #1 where the fire burned along the root under the surface rock and ultimately ignited bark and surface fuel at the bases of the stump that the root is attached to. The overall size of the cavities suggests that the ground fire burned for some time, at least several days, however relating the time of ignition to the size of the cavities is not possible since the ground fire would have continued to burn after August 9, 2000.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Supporting evidence</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Charred bark and partially burned stump.</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Fuel moisture codes (DMC and DC) August 1-9, 2000 support consumption of ground fuels such as organic soil.</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would it have taken for the burning of the substance in this hole to begin showing signs of smoking?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Holdover ground fires often produce minimal smoke due to the limited supply of oxygen. In my opinion a very small amount of smoke would have been produced after ignition. Once the surface fuel at the entrances to Cavity #1 and Cavity #2 was consumed and ash covered the ground fire, little or no visible smoke would be produced until the fire emerged on the surface near the base of the stump north of Cavity #1 and began to spread away from the ignition area. Visible smoke production would likely have coincided with the development of surface flames when the fire was beginning to spread away from the ignition area of August 9, 2000.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Supporting evidence</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Charred bark and partially burned stump.</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Fuel moisture codes (DMC and DC) August 1-9, 2000 support consumption of ground fuels such as organic soil.</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Definition of holdover fire.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experience with ground fire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Province submits that it is not at all clear that Mr. Hancock did not traverse the area where the fire ignited on August 9, 2000. This is relevant to its theory about the meaning of the "worksite", and is a point upon which it is not possible to find that the burden of proof has been carried. It does not, in any event affect the credible evidence to the effect that ignition was caused by a "holdover" fire that was smouldering in the ground before the activities of August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question then becomes whether Mr. Hancock breached any legal obligation in the manner in which he conducted the fire watch.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evidence is overwhelming that Mr. Hancock did not locate himself in a position where he could observe the August 9th "worksite" for a full hour after he had stopped working. It does not appear that his training or understanding of his responsibilities included constant surveillance of the </w:t>
      </w:r>
      <w:r>
        <w:rPr>
          <w:rFonts w:ascii="arial" w:eastAsia="arial" w:hAnsi="arial" w:cs="arial"/>
          <w:color w:val="000000"/>
          <w:sz w:val="20"/>
          <w:u w:val="single"/>
          <w:lang w:val="en-US" w:eastAsia="en-US" w:bidi="ar-SA"/>
        </w:rPr>
        <w:t>area</w:t>
      </w:r>
      <w:r>
        <w:rPr>
          <w:rFonts w:ascii="arial" w:eastAsia="arial" w:hAnsi="arial" w:cs="arial"/>
          <w:color w:val="000000"/>
          <w:sz w:val="20"/>
          <w:lang w:val="en-US" w:eastAsia="en-US" w:bidi="ar-SA"/>
        </w:rPr>
        <w:t xml:space="preserve"> in which he had been working. Mr. Hancock was primarily concerned with staying with his machine, and, in fact, with removing his machine to the roadway as a way of reducing the risk of fire. He seems to have traversed the uphill boundary of the area he had been working shortly after he ceased operations, but this seems more related to the fact that he had parked his pick-up truck in that location than to any notion of a system of inspection. It is clear that for the subcontracting defendants the concept of a fire watch was not regarded strictly. Mr. Hedlund was prepared to allow only that Mr. Hancock could have made a better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is certainly an understatement. While Mr. Hancock could see a corner of the area he had worked, he was well below the August 9 worksite and a screen of trees blocked his view of most of it. He claims to have maintained the full hour's watch, but it is clear that by the time he said he left a significant column of smoke had risen and was visible at a higher elevation on Highway 3 several kilometres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no suggestion that it was not possible for Mr. Hancock to place himself in a position where the area he had worked on August 9, 2000 was fully visible. Inasmuch as it was contiguous with the area worked on August 8, 2000, a fire arising in that area would, at some point, have been visible to such an observer as well. The Province submits that Mr. Hancock's failure to do so for a full hour was a clear breach of the defendants' statutory and contractual responsibilities. It also submits that this failure manifests a breach of a larger and more general obligation to exercise a standard of care that includes stopping work when the fire hazard is particularly high, independent of any specific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allegations are perhaps best addressed in light of a series of specific issues raised by the defendants, starting with their assertion that the Province has simply failed to carry the burden of proving its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submit that the Province has introduced contradictory evidence on material points and, as such, have left the court with a case so equivocal that it must fail. The areas of evidence where this is said to have occurred include conflicting evidence among various Ministry official and experts as to whether or not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is a code creating certainty as to when and how industrial activity could be carried out on Crown land, or what a "worksite" is, or when exactly the fire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also submit that the Province has committed the fundamental error of reading in "too much" Discovery, that is, of reading in evidence harmful to its case. The effect, they say, is to negate the Province's positive case. Among the authorities cited is </w:t>
      </w:r>
      <w:r>
        <w:rPr>
          <w:rFonts w:ascii="arial" w:eastAsia="arial" w:hAnsi="arial" w:cs="arial"/>
          <w:b/>
          <w:i/>
          <w:color w:val="000000"/>
          <w:sz w:val="20"/>
          <w:lang w:val="en-US" w:eastAsia="en-US" w:bidi="ar-SA"/>
        </w:rPr>
        <w:t>Tsatsos v. Johnson</w:t>
      </w:r>
      <w:r>
        <w:rPr>
          <w:rFonts w:ascii="arial" w:eastAsia="arial" w:hAnsi="arial" w:cs="arial"/>
          <w:color w:val="000000"/>
          <w:sz w:val="20"/>
          <w:lang w:val="en-US" w:eastAsia="en-US" w:bidi="ar-SA"/>
        </w:rPr>
        <w:t xml:space="preserve"> (1970), 74 W.W.R. 315 (B.C.S.C.), a case that once rested in many a civil defender's briefcase. While highly useful in distracting opposing counsel, that case and cases like it, have a limited application. </w:t>
      </w:r>
      <w:r>
        <w:rPr>
          <w:rFonts w:ascii="arial" w:eastAsia="arial" w:hAnsi="arial" w:cs="arial"/>
          <w:b/>
          <w:i/>
          <w:color w:val="000000"/>
          <w:sz w:val="20"/>
          <w:lang w:val="en-US" w:eastAsia="en-US" w:bidi="ar-SA"/>
        </w:rPr>
        <w:t>Tsatsos</w:t>
      </w:r>
      <w:r>
        <w:rPr>
          <w:rFonts w:ascii="arial" w:eastAsia="arial" w:hAnsi="arial" w:cs="arial"/>
          <w:color w:val="000000"/>
          <w:sz w:val="20"/>
          <w:lang w:val="en-US" w:eastAsia="en-US" w:bidi="ar-SA"/>
        </w:rPr>
        <w:t xml:space="preserve"> was a case of a plaintiff in an intersection accident giving his evidence as to what occurred, followed, in his own case, by the read-in contradictory statement of the defendant. Without more, that is, without any further assistance on credibility, the court found itself unable to choose, meaning that the plaintiff had failed to carry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facts are more complex, as are the purposes for which the evidence that is said to be unhelpful has been led. I will not embark on a protracted analysis. Where the defendants' complaint is that the experts disagreed on one thing or another, it may render their evidence less helpful, but since all such evidence is tendered to assist the court in drawing appropriate inferences, such opinions are to be assessed in light of all the other evidence, and are, needless to say, subject to the court's discretion to ignore some of them or all of them completely. The party is not "stuck" with such disagreements.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evidence read in from the Discoveries is of a different nature. I have already said that </w:t>
      </w:r>
      <w:r>
        <w:rPr>
          <w:rFonts w:ascii="arial" w:eastAsia="arial" w:hAnsi="arial" w:cs="arial"/>
          <w:b/>
          <w:i/>
          <w:color w:val="000000"/>
          <w:sz w:val="20"/>
          <w:lang w:val="en-US" w:eastAsia="en-US" w:bidi="ar-SA"/>
        </w:rPr>
        <w:t>Tsatsos</w:t>
      </w:r>
      <w:r>
        <w:rPr>
          <w:rFonts w:ascii="arial" w:eastAsia="arial" w:hAnsi="arial" w:cs="arial"/>
          <w:color w:val="000000"/>
          <w:sz w:val="20"/>
          <w:lang w:val="en-US" w:eastAsia="en-US" w:bidi="ar-SA"/>
        </w:rPr>
        <w:t xml:space="preserve"> applies to a narrow range of cases. The courts have recognized that there is some flexibility depending on the circumstances. In </w:t>
      </w:r>
      <w:r>
        <w:rPr>
          <w:rFonts w:ascii="arial" w:eastAsia="arial" w:hAnsi="arial" w:cs="arial"/>
          <w:b/>
          <w:i/>
          <w:color w:val="000000"/>
          <w:sz w:val="20"/>
          <w:lang w:val="en-US" w:eastAsia="en-US" w:bidi="ar-SA"/>
        </w:rPr>
        <w:t>Wilson v. Boltezar</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[1989] B.C.J. No. 592</w:t>
        </w:r>
      </w:hyperlink>
      <w:r>
        <w:rPr>
          <w:rFonts w:ascii="arial" w:eastAsia="arial" w:hAnsi="arial" w:cs="arial"/>
          <w:color w:val="000000"/>
          <w:sz w:val="20"/>
          <w:lang w:val="en-US" w:eastAsia="en-US" w:bidi="ar-SA"/>
        </w:rPr>
        <w:t>, the court (per Bouck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Usually a plaintiff only reads into evidence those parts of the discovery of the defendant which assists his case. Now, the plaintiff elected to include as part of his case discovery evidence of the defendant which contradicts his claim. I must assume that counsel for the plaintiff read in the discovery on the instructions of his client. The weight of authority is to the effect that a plaintiff is not necessarily bound by reading in discovery evidence which is against him. It all depends upon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Here, the defendants submit that the Province, having led the discovery evidence of the defendants' representatives Hanson, Hedlund and Hancock, has somehow adopted that evidence, and that having done so, has accepted as </w:t>
      </w:r>
      <w:r>
        <w:rPr>
          <w:rFonts w:ascii="arial" w:eastAsia="arial" w:hAnsi="arial" w:cs="arial"/>
          <w:color w:val="000000"/>
          <w:sz w:val="20"/>
          <w:u w:val="single"/>
          <w:lang w:val="en-US" w:eastAsia="en-US" w:bidi="ar-SA"/>
        </w:rPr>
        <w:t>reasonable</w:t>
      </w:r>
      <w:r>
        <w:rPr>
          <w:rFonts w:ascii="arial" w:eastAsia="arial" w:hAnsi="arial" w:cs="arial"/>
          <w:color w:val="000000"/>
          <w:sz w:val="20"/>
          <w:lang w:val="en-US" w:eastAsia="en-US" w:bidi="ar-SA"/>
        </w:rPr>
        <w:t xml:space="preserve"> the manner in which the defendants conducted the fire watch. This conflates the facts or the admissions established by the Discovery with the inferences the party wishes to be taken from those facts. The Province has read in Discovery to establish what the defendants did, and, to some extent, their attitudes toward the obligations the Province asserts. The defendants' belief in the adequacy of their efforts is a matter for argument, but is not imported, along with what is read in, as part of the Province's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that reason, I am not persuaded that the Province failed to establish a case to be met simply because there were areas of the evidence where the court would have to choose from a range of possible inferences. The case must ultimately turn on which, if any, are chosen.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further submit that the Province has failed, on all the evidence, to show that they failed to comply with their statutory obligations. They endorse the views of Mr. Hames, who testified that the amendments to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was an attempt to create a code, that is, a complete set of rules that would promote certainty respecting the manner in which industrial forestry can be carried out on Crown land. They submit that under this "code" there is no prescription respecting the manner in which a fire watch is to be conducted. They contrast the regulation that applied in 2000 with its more recent counterpart. The regulation applicable to this case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 fire watcher is required to be present by this regulation, the fire watcher must: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watch for sparks and fires,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any fires to a designated forest official, a peace officer or the person carrying out an industrial activity at the worksite at which the fire watcher is engaged,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in fighting any fire that occurs in the area being watched by the fire watcher.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newer regulation, </w:t>
      </w:r>
      <w:r>
        <w:rPr>
          <w:rFonts w:ascii="arial" w:eastAsia="arial" w:hAnsi="arial" w:cs="arial"/>
          <w:b/>
          <w:i/>
          <w:color w:val="000000"/>
          <w:sz w:val="20"/>
          <w:lang w:val="en-US" w:eastAsia="en-US" w:bidi="ar-SA"/>
        </w:rPr>
        <w:t>Wildfire Regulation</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B.C. Reg. 38/2005</w:t>
        </w:r>
      </w:hyperlink>
      <w:r>
        <w:rPr>
          <w:rFonts w:ascii="arial" w:eastAsia="arial" w:hAnsi="arial" w:cs="arial"/>
          <w:color w:val="000000"/>
          <w:sz w:val="20"/>
          <w:lang w:val="en-US" w:eastAsia="en-US" w:bidi="ar-SA"/>
        </w:rPr>
        <w: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A person who, in accordance with subsection (3)(a) and Schedule 3, is required to maintain a fire watch, must ensure that the fire watcher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w:t>
      </w:r>
      <w:r>
        <w:rPr>
          <w:rFonts w:ascii="arial" w:eastAsia="arial" w:hAnsi="arial" w:cs="arial"/>
          <w:color w:val="000000"/>
          <w:sz w:val="20"/>
          <w:u w:val="single"/>
          <w:lang w:val="en-US" w:eastAsia="en-US" w:bidi="ar-SA"/>
        </w:rPr>
        <w:t>reasonably see the site</w:t>
      </w:r>
      <w:r>
        <w:rPr>
          <w:rFonts w:ascii="arial" w:eastAsia="arial" w:hAnsi="arial" w:cs="arial"/>
          <w:color w:val="000000"/>
          <w:sz w:val="20"/>
          <w:lang w:val="en-US" w:eastAsia="en-US" w:bidi="ar-SA"/>
        </w:rPr>
        <w:t xml:space="preserve"> of the high risk activity during the time the fire watcher is required,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at least one fire fighting hand tool,</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actively watches and patrols</w:t>
      </w:r>
      <w:r>
        <w:rPr>
          <w:rFonts w:ascii="arial" w:eastAsia="arial" w:hAnsi="arial" w:cs="arial"/>
          <w:color w:val="000000"/>
          <w:sz w:val="20"/>
          <w:lang w:val="en-US" w:eastAsia="en-US" w:bidi="ar-SA"/>
        </w:rPr>
        <w:t xml:space="preserve"> for sparks and fires on the site of the high risk activity,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carries out fire control and extinguishes the fire, if practicable,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means on site to report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submit that the Province's own witnesses acknowledged that there was very little guidance as to how fire watches were to be carried out. It does appear that the training materials that went with the approved S-100 fire suppression course did not specifically address the exact manner in which fire watches were to be conducted. There was evidence from both Mr. Philip Taudin-Chabot and Mr. Gene Desnoyers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more recent regulation arguably leaves less to the common sense of the fire watcher, although it may be less specific in other respects, including the way it amends "the worksite at which the fire watcher is engaged" to "the site of the high risk activity". The question of what a "worksite" is under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was a significant issue. It was one of the "inconsistencies" identified in the case for the Province by the defendants. Mr. Taudin-Chabot discussed the concept in terms of a particular "opening" in the forest being a "worksite", a concept that would include both of the areas Mr. Hancock worked on August 8th and 9th. Mr. Schmidt's determination at the OTBH considered the "worksite" to be all of the places that the defendants had worked on the date in question. However, he allowed that this could be accomplished by appointing one person to "circulate amongst the openings" which would obviously negate the concept of a constant watch on any given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These differing notions are cited by the defendants as evidence that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is unenforceably vague. They refer to </w:t>
      </w:r>
      <w:r>
        <w:rPr>
          <w:rFonts w:ascii="arial" w:eastAsia="arial" w:hAnsi="arial" w:cs="arial"/>
          <w:b/>
          <w:i/>
          <w:color w:val="000000"/>
          <w:sz w:val="20"/>
          <w:lang w:val="en-US" w:eastAsia="en-US" w:bidi="ar-SA"/>
        </w:rPr>
        <w:t>Canadian Foundation for Children, Youth and the Law v. Canada (Attorney General)</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[2004] 1 S.C.R. 76</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law must set an intelligible standard both for the citizens it governs and the officials who must enforce it. The two are interconnected. A vague law prevents the citizen from realizing when he or she is entering an area of risk for criminal sanction. The doctrine of vagueness is directed generally at the evil of leaving "basic policy matters to policemen, judges, and juries for resolution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and subjective basis, with the attendant dangers of arbitrary and discriminatory application".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provision at issue in that case included, in its terms, a standard of what was "reasonable under the circumstances". McLachlin C.J. went on to say at para. 28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reality is that the term "reasonable" gives varying degrees of guidance, depending upon the statutory and factual context. It does not insulate a law against a charge of vagueness. Nor, however, does it automatically mean that a law is void for vagueness. In each case, the question is whether the term, considered in light of principles of statutory interpretation and decided cases, delineates an area of risk and avoids the danger or arbitrary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"Reasonableness" is imported into the newer regulation but is not part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 must construe. I am not therefore called upon to consider what is "reasonable" in the sense considered in that case, although I do not think the concept is foreign to the principles of statutory construction I must apply. As I have already noted, the fact that the forest professionals called by the Province differ on their views of what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requires may mean it is vague, but it may also mean that one or more of them are wrong, and their evidence may or may not inform the task I have to perform. A final iteration of the defendants' contentions that the Province is "stuck" with this evidence is their submission that the defendants are unfairly prejudiced if the Province is permitted to "apply different standards for the defendants' conduct arising out of the same set of facts", to quote the defence submission. This relates to Mr. Schmidt's determination of responsibility based on his view of what constituted the "worksite". But this matter does not come to this court on the basis of a review of the appropriateness of Mr. Schmidt's determination. The issues are submitted at large. I do not see how the Province is bound to a ruling that is not of more than persuasive interest in this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statutory requirement was that a fire watcher be </w:t>
      </w:r>
      <w:r>
        <w:rPr>
          <w:rFonts w:ascii="arial" w:eastAsia="arial" w:hAnsi="arial" w:cs="arial"/>
          <w:color w:val="000000"/>
          <w:sz w:val="20"/>
          <w:u w:val="single"/>
          <w:lang w:val="en-US" w:eastAsia="en-US" w:bidi="ar-SA"/>
        </w:rPr>
        <w:t>present</w:t>
      </w:r>
      <w:r>
        <w:rPr>
          <w:rFonts w:ascii="arial" w:eastAsia="arial" w:hAnsi="arial" w:cs="arial"/>
          <w:color w:val="000000"/>
          <w:sz w:val="20"/>
          <w:lang w:val="en-US" w:eastAsia="en-US" w:bidi="ar-SA"/>
        </w:rPr>
        <w:t>, in accordance with the Schedule which, in the prevailing circumstances, required shut down by 1:00 p.m., and a one-hour watch after shut down. The duty was to "watch for sparks and fires ... at the worksite at which the fire watcher is engaged." On its face this requires the fire watcher to be at the worksite for an hour watching for "sparks and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qualifications offered by the defendants do not modify this core responsibility. Mr. Hanson's suggestion that the expectation was that the watcher was expected to see "the bulk of the area" in which work had been done, or Mr. Hedlund's suggestion that, in addition to maintaining a fire watch, workers were expected to stay by their machines, do not assist the interpretation of the statute. Mr. Hancock said that he considered servicing equipment during the fire watch permissible. What he actually did -- making one pass above the site early in the hour -- takes one back to Mr. Schmidt's concept that it was acceptable to conduct a form of non-continuous surveillance. I think Mr. Hedlund's evidence comes closest to the legal duty. The primary task of the fire watcher, he said, was "obviously to look and see if anything was burning".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the attenuations of the courtroom sometimes render what is simple complex, nothing in the evidence affects the plain meaning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Mr. Hancock was obliged to be present at the worksite to watch for sparks and fires, and he was not. He was below the site, behind a screen of trees, and perhaps (although it may not have mattered from that vantage) preoccupied with his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narrowest possible definition of the "worksite" is the area that Mr. Hancock "opened" or cleared with his feller-buncher on August 9, 2000. Inasmuch as the fire was a holdover fire that actually ignited on the previous day's worksite as a result of industrial activities that day, the defendants submit that a failure to watch the August 9th worksite adequately would, in any event, be a breach with no consequence. They submit that there was simply no statutory duty to watch the August 8th worksite on August 9th, despite the fact that they were part of a contiguous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will not attempt to restate the defendants' articulation of their argument which they call the "coincidental tortfeasor." It goes, in their terms,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likelihood that Mr. Hancock might have seen the fire on the August 8th worksite if he had watched the August 9th worksite is not a principled reason for imposing liability. If the Defendants had completed their work on CP7-4F on August 8th, they would have moved to a different cutblock and would have had no duty to return to the August 8th worksite.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Where no duty existed to watch the area of ignition, liability should not be imposed in circumstances where the detection of a fire would have been merely coincidental with a fire watch of a different worksite. The duty for fire watch on the August 8th worksite ended on August 8th.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question that arises is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in respect of conduct of the fire watch of August 9th should or can give rise to liability for failure to detect a fire from the area on which activities took place on August 8th.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duty imposed by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xml:space="preserve"> is to conduct a proper fire watch of the immediate work area, which in this case was the August 9th worksite. If the August 9th worksite had not been adjacent to the August 8th worksite, there would be no basis for arguing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fire watch of the August 9th worksite renders the Defendants liable for damages arising from the delayed detection of the fire on the August 8th worksite.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consideration of the possibility that on August 9th the Defendants might have been working on a non-adjacent work area and therefore could not have discovered the fire on the August 8th worksite even if it had properly performed the obligatory fire watch illustrates that the duty to conduct a proper fire watch imposed by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xml:space="preserve"> can relate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to the area being worked on that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It cannot be the case that simply because the current work area is adjacent to a distinct work area, the statutory duty then expands to encompass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work areas merely by virtue of their adjacency. To so hold would give rise to "coincidental" liability (i.e., liability arising from the coincidence of the adjacency of two work areas worked on successively). Can one become a tortfeasor by coincidence, particularly where the duty of care is imposed by regulation that states that the duty to conduct a fire watch applies to the current day's work area, and so implicitly, not to any other? To interpret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xml:space="preserve"> as having that effect would not accord with fundamental rules of statutory interpretation and would impose a duty not proved by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think it somewhat stretches the wording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to substitute "current day's work area" for "worksite at which the fire watcher is engaged". Even on the most limited construction, however, it is important to bear in mind what has come to be called the modern principle of statutory interpretation, articulated in Dreidger, </w:t>
      </w:r>
      <w:r>
        <w:rPr>
          <w:rFonts w:ascii="arial" w:eastAsia="arial" w:hAnsi="arial" w:cs="arial"/>
          <w:i/>
          <w:color w:val="000000"/>
          <w:sz w:val="20"/>
          <w:lang w:val="en-US" w:eastAsia="en-US" w:bidi="ar-SA"/>
        </w:rPr>
        <w:t>The Construction of Statutes</w:t>
      </w:r>
      <w:r>
        <w:rPr>
          <w:rFonts w:ascii="arial" w:eastAsia="arial" w:hAnsi="arial" w:cs="arial"/>
          <w:color w:val="000000"/>
          <w:sz w:val="20"/>
          <w:lang w:val="en-US" w:eastAsia="en-US" w:bidi="ar-SA"/>
        </w:rPr>
        <w:t xml:space="preserve"> (Toronto Butterworths, 1974), at p.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review of the </w:t>
      </w:r>
      <w:r>
        <w:rPr>
          <w:rFonts w:ascii="arial" w:eastAsia="arial" w:hAnsi="arial" w:cs="arial"/>
          <w:b/>
          <w:i/>
          <w:color w:val="000000"/>
          <w:sz w:val="20"/>
          <w:lang w:val="en-US" w:eastAsia="en-US" w:bidi="ar-SA"/>
        </w:rPr>
        <w:t>Ministry of Forests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down through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to the allocation of responsibilities under the specific Cutting Permits reveals a detailed matrix of obligations designed to implement the broad policy objectives outlined in the Act. The evidence at trial which addressed the development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and the consultative nature of the process, particularly in the manner in which it was refined on the basis of experience, suggest a series of decisions balancing the management of risk with practical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there is a more precise rationale for the one-hour firewatch than that some amalgam of experience and common sense suggests it, it is not apparent. It clearly does not account for the possibility of hold-over fires, which might entail fire watches of some days' duration. One might assume that this is because such ignitions are relatively rare, and that they are generally associated with the more extreme end of the fire hazard spectrum. The defendants have used the phrase "coincidental tortfeasor" to describe the claim that the defendants' duty extended to what might be seen by the mere "accident" of the August 8th and 9th "worksites" being adjacent.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think that in another way this appears to be a coincidental breach of duty or coincidental tort. The fact that the hold-over fire on the August 8th worksite happened to flare up within the one one-hour period in twenty-four (or, perhaps </w:t>
      </w:r>
      <w:r>
        <w:rPr>
          <w:rFonts w:ascii="arial" w:eastAsia="arial" w:hAnsi="arial" w:cs="arial"/>
          <w:color w:val="000000"/>
          <w:sz w:val="20"/>
          <w:u w:val="single"/>
          <w:lang w:val="en-US" w:eastAsia="en-US" w:bidi="ar-SA"/>
        </w:rPr>
        <w:t>ever</w:t>
      </w:r>
      <w:r>
        <w:rPr>
          <w:rFonts w:ascii="arial" w:eastAsia="arial" w:hAnsi="arial" w:cs="arial"/>
          <w:color w:val="000000"/>
          <w:sz w:val="20"/>
          <w:lang w:val="en-US" w:eastAsia="en-US" w:bidi="ar-SA"/>
        </w:rPr>
        <w:t>) during which there was arguably a fire watch duty is essentially random.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do not think there is a more satisfactory rationale for this than to accept that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and the Schedule reflect certain informed choices which may in any given circumstance appear arbitrary. There is no entirely satisfactory answer to this except to say that many laws have this characteristic in particular circumstances. A speed limit of 30 kph on a deserted street may reflect a policy choice that may seem unnecessary in those circumstances, but it is not, for that reason,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Here there was a duty to conduct a fire watch. While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might have been (and its equivalent is, now) more explicit, at the minimum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required that a person be present at the August 9th worksite -- that is with the worksite in view -- for one hour. What the various witnesses speculated or testified they believed to be adequate is really of little assistance, inasmuch as any deviation from the basic requirement that would postpone the discovery of a fire would be a breach of the relevant statutory and contractual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firewatch that was conducted was markedly inadequate. There is very little doubt that had Mr. Hancock been properly situated to conduct his watch of the August 9th worksite, he would, at some point, have seen the flare up of the holdover fire on the adjacent August 8th worksite. I do not think the definition of the "worksite" specifically extends to a contiguous opening that has been worked over more than one day, which was the view of Mr. Taudin-Chabot. The duty clearly relates to ignitions as a result of the work performed in the hours before the firewatch, that is, on the day the firewatch is conducted. I do not think it is possible to read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as requiring a broader watch, over a larger area as the opening got larger, particularly since the early shutdown and firewatch are imposed in circumstances of increasing fire hazards. The duty to be in a position to watch the days' worksite is not airtight, however. The broader purpose was to watch for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On the evidence there is no reason to doubt that had Mr. Hancock carried out a proper fire watch by remaining at the work site and keeping an adequate watch -- which would entail sufficient attention to notice any flare up on the August 9th worksite -- he would, at some point, have seen the surfacing hold-over fire on the adjacent worksite. Mr. Hancock's duty to watch for a fire at that site may have its origin in a specific concern about the possibility of a fire erupting on the August 9th site in the hour following industrial activity, but the duty at that site would be to react to any fires observable from that position for that hour. This is the only possible interpretation of a fire-watcher's responsibilities unless the law is to depart completely from common sense. Again,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has developed in light of practical experience. Distinctions have to be drawn at the point where risk is overborne by other considerations. Both the one hour limit and the "worksite" limitations are pragmatic compromises. They cannot preclude extending the responsibility to include a fire caused by the watcher's industrial activity the day before that was there to be seen had the watcher been properly in place. The notion that such a fire watcher would have been entitled to cross his arms and watch such a fire until it crossed the threshold of that day's worksite is an absurdity. I say so, giving full consideration to the defendants' submissions that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is a "code" within the meaning of two authoritative references quoted by the defendants in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 "code" is defined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complete</w:t>
      </w:r>
      <w:r>
        <w:rPr>
          <w:rFonts w:ascii="arial" w:eastAsia="arial" w:hAnsi="arial" w:cs="arial"/>
          <w:color w:val="000000"/>
          <w:sz w:val="20"/>
          <w:lang w:val="en-US" w:eastAsia="en-US" w:bidi="ar-SA"/>
        </w:rPr>
        <w:t xml:space="preserve"> system of positive law, carefully arranged and officially promulgated; a systematic collection of revision of law, rules and regulations.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w:t>
      </w:r>
      <w:r>
        <w:rPr>
          <w:rFonts w:ascii="arial" w:eastAsia="arial" w:hAnsi="arial" w:cs="arial"/>
          <w:i/>
          <w:color w:val="000000"/>
          <w:sz w:val="20"/>
          <w:lang w:val="en-US" w:eastAsia="en-US" w:bidi="ar-SA"/>
        </w:rPr>
        <w:t>Webster's Third New International Dictionary of the English Language,</w:t>
      </w:r>
      <w:r>
        <w:rPr>
          <w:rFonts w:ascii="arial" w:eastAsia="arial" w:hAnsi="arial" w:cs="arial"/>
          <w:color w:val="000000"/>
          <w:sz w:val="20"/>
          <w:lang w:val="en-US" w:eastAsia="en-US" w:bidi="ar-SA"/>
        </w:rPr>
        <w:t xml:space="preserve"> 1994, provides the modern meaning of "code"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systematic </w:t>
      </w:r>
      <w:r>
        <w:rPr>
          <w:rFonts w:ascii="arial" w:eastAsia="arial" w:hAnsi="arial" w:cs="arial"/>
          <w:color w:val="000000"/>
          <w:sz w:val="20"/>
          <w:u w:val="single"/>
          <w:lang w:val="en-US" w:eastAsia="en-US" w:bidi="ar-SA"/>
        </w:rPr>
        <w:t>complete</w:t>
      </w:r>
      <w:r>
        <w:rPr>
          <w:rFonts w:ascii="arial" w:eastAsia="arial" w:hAnsi="arial" w:cs="arial"/>
          <w:color w:val="000000"/>
          <w:sz w:val="20"/>
          <w:lang w:val="en-US" w:eastAsia="en-US" w:bidi="ar-SA"/>
        </w:rPr>
        <w:t xml:space="preserve"> written collection of law arranged logically with index and table of contents and covering fully one or more subjects of law.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sense in which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is a </w:t>
      </w:r>
      <w:r>
        <w:rPr>
          <w:rFonts w:ascii="arial" w:eastAsia="arial" w:hAnsi="arial" w:cs="arial"/>
          <w:color w:val="000000"/>
          <w:sz w:val="20"/>
          <w:u w:val="single"/>
          <w:lang w:val="en-US" w:eastAsia="en-US" w:bidi="ar-SA"/>
        </w:rPr>
        <w:t>complete</w:t>
      </w:r>
      <w:r>
        <w:rPr>
          <w:rFonts w:ascii="arial" w:eastAsia="arial" w:hAnsi="arial" w:cs="arial"/>
          <w:color w:val="000000"/>
          <w:sz w:val="20"/>
          <w:lang w:val="en-US" w:eastAsia="en-US" w:bidi="ar-SA"/>
        </w:rPr>
        <w:t xml:space="preserve"> system is I think qualified by the dynamic, and, I suspect, unique, matrix of policy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implementational (Licences and Cutting Permits) objectives in the midst of which it is placed. The notion of a set of absolutely fixed rules flies in the face of the evidence, and would be an unreasonable way to read the applicable law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Because Mr. Hancock failed to properly conduct a fire watch on August 9, 2000, he did not see the hold-over fire on the August 8th worksite that was there to be seen. Had he been in the position to see it, he would have had an obligation to deal with it under </w:t>
      </w:r>
      <w:r>
        <w:rPr>
          <w:rFonts w:ascii="arial" w:eastAsia="arial" w:hAnsi="arial" w:cs="arial"/>
          <w:b/>
          <w:i/>
          <w:color w:val="000000"/>
          <w:sz w:val="20"/>
          <w:lang w:val="en-US" w:eastAsia="en-US" w:bidi="ar-SA"/>
        </w:rPr>
        <w:t>Regulation 4(1)</w:t>
      </w:r>
      <w:r>
        <w:rPr>
          <w:rFonts w:ascii="arial" w:eastAsia="arial" w:hAnsi="arial" w:cs="arial"/>
          <w:color w:val="000000"/>
          <w:sz w:val="20"/>
          <w:lang w:val="en-US" w:eastAsia="en-US" w:bidi="ar-SA"/>
        </w:rPr>
        <w:t>. Having failed to do so, the question then comes whether the breach made any difference. Another way to put this is whether the fire would, in any event, have been beyond resources had Mr. Hancock reported the fire and tried to suppress it when he would have seen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question of whether a proper fire watch would have made any difference, both parties have referred to what was called the "Santa Rosa fire" throughout the trial. This was a distinct event that occurred east of the Ingram Creek fire in the hills east of Christina Lake on August 8, 2000. Its similarities to and differences from the situation at Ingram Creek have been used by both parties for illustrative purposes. The fact that that fire occurred at all, and the date on which it occurred, it is also a part of the Province's argument that it was negligent in any event for the defendants to operate on August 9th given what they knew of the prevailing circumstances. That is, analytically, a separate question and I will deal with it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Santa Rosa fire is of interest for a number of reasons. It was a near contemporaneous event, inasmuch as it occurred on August 8th in similar weather conditions. The terrain was somewhat different, with a greater slope than the Ingram Creek cut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David Doumont, a retired Pope and Talbot employee testified that he was the logging foreman on the Santa Rosa site on August 8, 2000. When he arrived on the site around 10:00 a.m. he found the feller-buncher that had been working there parked on a road for repairs. At about 11:00 a.m. the buncher, operated by Blair Skelton, began working again on the northeast corner of the cut block. Mr. Doumont was walking back to the south end of the block about 12:15 when he smelled smoke. He called Mr. Skelton to come down with the buncher, which he had earlier equipped with a backpack water tank. Both he and Mr. Skelton "actioned" the fire, in their parlance. Mr. Doumont reported the fire to the Ministry at 12:30 p.m., and called for more personnel. Using the means they had at hand, the two men were unable to suppress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Skelton's evidence was that he started work at 6:00 a.m. but then had difficulty climbing up the slope and skidded on bare rock at about 7:30 a.m. He described how he moved the machine about the site until approximately 8:15 a.m. when he noticed a problem with the right hand grab arm. He went to the road at the top of the worksite at 8:30 a.m. to wait for the mechanic and did not work again until 11:30. He said he did not notice anything on the worksite while his machine was down. He began cutting in the north east corner at 11:40 and then spent fifteen minutes talking to Mr. Doumont. Mr. Doumont then left, radioing a few minutes later to ask the time, which Mr. Skelton recalls as 12:07. Mr. Doumont called about 10 minutes later and asked him to bring the buncher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that the Santa Rosa fire was, like the Ingram Creek fire, burning unnoticeably for some time. It is likely that the fire was caused by Mr. Skelton's activities in the early morning of August 8, 2000. He recalls the buncher skidding on rock at about 7:30 a.m. Rod Allen, the Ministry of Forests' employee and fire investigator appointed to review that site, located the ignition site next to metal shavings from the buncher's tracks. Mr. Doumont estimated the fire to be about two feet in diameter when it was detected. He said it spread very quickly. Mr. Skelton allowed, in cross examination, that it burned wildly.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Santa Rosa fire was not detected as a result of a firewatch but was essentially discovered fortuitously by Mr. Doumont. The action on the fire included use of the required backpack pump, although, as noted by Mr. Schmidt in his decision following the OTBH concerning that fire, there was no fire tool inspection to confirm what other equipment was available and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Because the Santa Rosa fire was on a 40% slope it would have burned more quickly than a fire on a gentler incline. A number of other circumstances combined to assist in the eventual containment of the fire. These included the presence of a water tanker truck nearby, and a road location that allowed the ground crews to cut a fire guard past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submit that these are crucial distinguishing factors between the two fires. Another is that air tankers were effective. As Mr. Schmidt put it in his decision following the OTBH, "the tankers were able to slow the spread of the fire, allowing ground forces to attack and control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Ed Lussier, the first attack officer over both fires, filed an Air Tanker Action Report for the Santa Rosa fire that showed a request at 1:31 p.m., a "roll" from Castlegar at 1:36, and arrival at the scene at 1:50. He estimated the fire to be 1 hectare on arrival, and 8 hectares and contained at 4:43 p.m. when the tankers departed.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Lussier's Air Tanker action report for the Ingram Creek fire showed a request time of 2:09 p.m., a "roll" from Castlegar at 2:09 p.m. and an arrival of 2:19. He estimated the fire to be "Rank 3" on arrival. Tanker action was halted because Mr. Lussier noted, there was "spotting 100m in front of head, [Rank] 4 made fire BEYOND current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Lussier explained the fire ranking system which rates fires on a scale from 1-6, increasing with severity. The distinction between Rank 3 and Rank 4 is set out accurately by the Province, in its brief: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Rank 3: surface flame, surface fire moving in unison, occasional candling of trees, an absence of spotting (smaller fires started outside perimeter of main fire), smoke a darker brown and sometimes into a darker grey.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Rank 4: short range spotting under 200 metres outside main perimeter of fire, solid surface fire, moving to crowns of trees. Dark brown smoke, dark grey, rates of spread faster than a person can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means of the resources deployed at Santa Rosa, the fire was controlled before it could run in standing timber. It remained a Rank 3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there are a significant number of variables between the two events, it is possible to compare two factors more or less evenly, albeit by drawing certain inferences from the evidence respecting the Ingram Creek fire. The first is the question of whether a fire detected by means of an adequate fire watch would or would not have been controlled on site by Mr. Hancock, applying the resources he was obliged to have on hand. The second is, if that were not possible, was any delay attributable to Mr. Hancock's failure to keep an adequate watch enabling him to notify the Ministry at an earlier opportunity a factor in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Although I have found that Mr. Hancock's statutory obligation on August 9th was to place himself in a position where he could watch for fires for one hour between 12:45 p.m. and 1:45 p.m., a number of variables might well have influenced when the fire that broke out on the August 8 worksite would have been detectable. Were he on the road below the worksite, he would have been about 78 metres from the fire according to Mr. Effa. Were he higher up the slope, he may have been much further away. While I have found that Mr. Hancock's obligation would have been to report any fire he observed from his vantage at the August 9 worksite, his primary obligation would have been to watch </w:t>
      </w:r>
      <w:r>
        <w:rPr>
          <w:rFonts w:ascii="arial" w:eastAsia="arial" w:hAnsi="arial" w:cs="arial"/>
          <w:color w:val="000000"/>
          <w:sz w:val="20"/>
          <w:u w:val="single"/>
          <w:lang w:val="en-US" w:eastAsia="en-US" w:bidi="ar-SA"/>
        </w:rPr>
        <w:t>that</w:t>
      </w:r>
      <w:r>
        <w:rPr>
          <w:rFonts w:ascii="arial" w:eastAsia="arial" w:hAnsi="arial" w:cs="arial"/>
          <w:color w:val="000000"/>
          <w:sz w:val="20"/>
          <w:lang w:val="en-US" w:eastAsia="en-US" w:bidi="ar-SA"/>
        </w:rPr>
        <w:t xml:space="preserve"> worksite.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example of the Santa Rosa fire, which was fortuitously noticed while it was very small (less than 2 feet in diameter), suggests that conditions were such that small fires had the potential to spread very quickly. While slope was undoubtedly a factor in the rate of burn as the fire got larger, at the scale the fire had attained by the time Mr. Doumont and Mr. Skelton could not contain it, it could not have been a significant factor. Given the similarity of other factors and the fact that the fires initially ignited within hours of each other, I think it reasonable to infer that the early spread of the Ingram Creek fire was similarly rapid. It would be merely fortuitous were Mr. Hancock in a position to notice and then react to it soon enough to put it out. I think it far more probable that had he been conducting a proper fire watch, the point at which he would have noticed the fire on the August 8th site -- an area he was not obliged to watch -- would have been when it was beyond his immediate control, assuming he was properly equipped.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brings around the second question, upon which there was considerable expert evidence, addressing the questions of rate of spread and the size of the fire at various critical times. This involves questions of what one may infer from the apparent size of the fire when it was first reported at 1:30 p.m., and the fact that by 2:19 p.m., it was 2.5 to 3 hectares in size according to the estimate of Mr. Lussier.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think it may be helpful to list the experts who provided opinions to the court and to briefly describe what each had to say. More than one of the opinion witnesses provided more than one report and there were rebuttal opinions given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A.J. MacAuley, a man with considerable experience in wild land fire management, was asked for opinions on the following matters:</w:t>
      </w:r>
      <w:r>
        <w:rPr>
          <w:rFonts w:ascii="arial" w:eastAsia="arial" w:hAnsi="arial" w:cs="arial"/>
          <w:sz w:val="20"/>
          <w:lang w:val="en-US" w:eastAsia="en-US" w:bidi="ar-SA"/>
        </w:rPr>
        <w:cr/>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fire preparedness and suppression operations that were taken by the Province of British Columbia were appropriate and reasonable in all the circumstances and would be consistent with another provincial fire agency taking action on a fire in the same or similar circumstances;</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fire suppression costs incurred by the Province of British Columbia were consistent with that of another provincial fire agency, and whether they were reasonably incurred;</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diversion of resources an August 9, 2000 to fire N60571 affected the Province's ability to suppress Fire No. N6-0564; and</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decision to stop air tanker action at approximately 16:45 hours on August 9, 2000 was consistent with that of another provincial fire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it is not necessary to review this opinion dated June 27, 2005, in detail, given the position of the parties and the findings that have been made on those matters, Mr. MacAuley did make a number of observations that are of more general interest.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attended the scene of fire N6-0564 on May 17, 2005 to gain personal knowledge of the extent of the fire, ignition point, its size, shape, terrain upon which the fire burned, surrounding vegetation, fire area residual vegetation and values threatening the fire. Specific facts observed were:</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occurred on a "fresh" cut block. The forest type within the fire perimeter appeared to be Larch and Fir with some Balsam and Spruce along a draw bounding the eastern portion of the fire, and some Yellow Pine apparent on adjacent ridges. The timber is an older age class showing some signs of heart rot and some dead tree tops scattered throughout the forest canopy adjacent to the fire perimeter;</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shape of the fire (narrow pie-shaped) indicates a rapidly burning wind-driven and slope induced fire. There are indicators of high fire intensity (making ground approach during the fire occurrence difficult) such as heavy fire scarring and almost completely burned tree trunks and stumps;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terrain was relatively steep and rolling, which would have posed a danger to both ground crews and heavy equipment working on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MacAuley made the following observations about the weather: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weather indicators on the day of the fire forecast a high probability of extreme fire behaviour that would contribute to the difficulty of controlling and extinguishing any fire that may occur</w:t>
      </w:r>
      <w:r>
        <w:rPr>
          <w:rFonts w:ascii="arial" w:eastAsia="arial" w:hAnsi="arial" w:cs="arial"/>
          <w:color w:val="000000"/>
          <w:sz w:val="20"/>
          <w:lang w:val="en-US" w:eastAsia="en-US" w:bidi="ar-SA"/>
        </w:rPr>
        <w:t xml:space="preserve">. In fact, once fire N6-0564 ignited it burned vigorously and </w:t>
      </w:r>
      <w:r>
        <w:rPr>
          <w:rFonts w:ascii="arial" w:eastAsia="arial" w:hAnsi="arial" w:cs="arial"/>
          <w:color w:val="000000"/>
          <w:sz w:val="20"/>
          <w:u w:val="single"/>
          <w:lang w:val="en-US" w:eastAsia="en-US" w:bidi="ar-SA"/>
        </w:rPr>
        <w:t>spread rapidly throughout a recent cut block and into standing timber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Upon arrival at the fire site, the initial attack crew reported Rank 4 and Rank 5 fire behaviour (extreme rates of spread and flame heights too dangerous for fire fighters to attempt direct action)</w:t>
      </w:r>
      <w:r>
        <w:rPr>
          <w:rFonts w:ascii="arial" w:eastAsia="arial" w:hAnsi="arial" w:cs="arial"/>
          <w:color w:val="000000"/>
          <w:sz w:val="20"/>
          <w:lang w:val="en-US" w:eastAsia="en-US" w:bidi="ar-SA"/>
        </w:rPr>
        <w:t>. A great deal of effort was necessary to gain control and extinguish the fire during succeeding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explained the Fire Weather Index: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Fire Weather Index</w:t>
      </w:r>
      <w:r>
        <w:rPr>
          <w:rFonts w:ascii="arial" w:eastAsia="arial" w:hAnsi="arial" w:cs="arial"/>
          <w:color w:val="000000"/>
          <w:sz w:val="20"/>
          <w:lang w:val="en-US" w:eastAsia="en-US" w:bidi="ar-SA"/>
        </w:rPr>
        <w:t xml:space="preserve"> (FWI) is a numerical rating of fire intensity that combines the </w:t>
      </w:r>
      <w:r>
        <w:rPr>
          <w:rFonts w:ascii="arial" w:eastAsia="arial" w:hAnsi="arial" w:cs="arial"/>
          <w:color w:val="000000"/>
          <w:sz w:val="20"/>
          <w:u w:val="single"/>
          <w:lang w:val="en-US" w:eastAsia="en-US" w:bidi="ar-SA"/>
        </w:rPr>
        <w:t>Initial Spread Index</w:t>
      </w:r>
      <w:r>
        <w:rPr>
          <w:rFonts w:ascii="arial" w:eastAsia="arial" w:hAnsi="arial" w:cs="arial"/>
          <w:color w:val="000000"/>
          <w:sz w:val="20"/>
          <w:lang w:val="en-US" w:eastAsia="en-US" w:bidi="ar-SA"/>
        </w:rPr>
        <w:t xml:space="preserve"> (151) and </w:t>
      </w:r>
      <w:r>
        <w:rPr>
          <w:rFonts w:ascii="arial" w:eastAsia="arial" w:hAnsi="arial" w:cs="arial"/>
          <w:color w:val="000000"/>
          <w:sz w:val="20"/>
          <w:u w:val="single"/>
          <w:lang w:val="en-US" w:eastAsia="en-US" w:bidi="ar-SA"/>
        </w:rPr>
        <w:t>Build Up Index</w:t>
      </w:r>
      <w:r>
        <w:rPr>
          <w:rFonts w:ascii="arial" w:eastAsia="arial" w:hAnsi="arial" w:cs="arial"/>
          <w:color w:val="000000"/>
          <w:sz w:val="20"/>
          <w:lang w:val="en-US" w:eastAsia="en-US" w:bidi="ar-SA"/>
        </w:rPr>
        <w:t xml:space="preserve"> (BUI), and is used as a general indicator of fire danger throughout the forests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Spread Index is a numerical rating of the expected rate of fire spread immediately after ignition. It is an open index, with values ranging from 0-50+. For every 13 kilometres per hour (KPH), the ISI doubles.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 Up Index (BUI) is a numerical rating of the amount of total fuel available for combustion. It is utilized to indicate how difficult the fire will be to extinguish and how much effort will be required for mop-up operations. An index of over 40 generally indicates vigorous fuel consumption and considerable effort will usually be needed to fully extinguish all active fires and residual coals and ground fires.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FWI is an open index, with values ranging from 0-100+. An FWI of 26 or higher indicates high to extreme fire danger and a high probability that once a fire starts, fire fighters will have difficulty controlling and extinguishing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FWI is commonly used throughout Canada for: fire Prevention and determination of Preparedness levels; determining operational strategies and tactics; determining fire line procedures and tactics, and to ensure fire fighter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day fire N6-0564 started, the FWI calculation at 12:00 hours PST for the general area of the fire was 38.9. The fire behaviour advisory for the general area surrounding the fire dated August 9, 2000 at 10:00 PDT forecast an ISI of 15-22 with a prediction of strong afternoon winds and extreme rates of spread. The BUI on August 9, 2000 was 221 and continued to increase until August 21, 2000. The significance of these indicators is that in similar circumstances, fire managers in any jurisdiction in Canada would expect to have difficulty in suppressing and extinguishing any fire that escaped into a dry forest area. This was the case in the circumstance of fire N6-0564.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MacAuley also produced a report dated April 18, 2006 in which he concluded that he could not say that the forests should have been closed on or about August 9,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British Columbia response to the ongoing situation of high fire hazards in the vicinity of fire N6-054/00 was based on their regulated procedure in consideration of the </w:t>
      </w:r>
      <w:r>
        <w:rPr>
          <w:rFonts w:ascii="arial" w:eastAsia="arial" w:hAnsi="arial" w:cs="arial"/>
          <w:i/>
          <w:color w:val="000000"/>
          <w:sz w:val="20"/>
          <w:lang w:val="en-US" w:eastAsia="en-US" w:bidi="ar-SA"/>
        </w:rPr>
        <w:t>prescribed</w:t>
      </w:r>
      <w:r>
        <w:rPr>
          <w:rFonts w:ascii="arial" w:eastAsia="arial" w:hAnsi="arial" w:cs="arial"/>
          <w:color w:val="000000"/>
          <w:sz w:val="20"/>
          <w:lang w:val="en-US" w:eastAsia="en-US" w:bidi="ar-SA"/>
        </w:rPr>
        <w:t xml:space="preserve"> noon fire weather actual and forecast fire weather. The British Columbia fire managers acknowledged the situation and, along with the forest harvesters, conformed to the regulated or prescribed procedure for Risk Activity Class A (high) in danger region 3, with a fire danger class 4. The regulated prescription for forestry operations is to "maintain a fire watch after work for 1 hour" and "After 3 consecutive days of DGR IV or greater, cease activity between 1 p.m. and 9 p.m. local time each day". The response was guided by the prescribed noon actual weather readings and computed FWI levels from the nearest weather stations to fire (N6-0564), and local experienced judgements of fire managers and industry personnel.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B.C. Forest Service properly and accurately applied prescribed processes and procedures in an attempt to prevent wildfires in the vicinity of fire N6-0564.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Colin Effa, a one-time Senior Forest Protection Officer, gave evidence and filed an opinion respecting the origin of the fire. This explained, rather persuasively, where the fire ignited and ruled out other sources of ignition such as lightning, campfires and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Terrance Van Nest, an experienced fire behaviour specialist, was asked to address the following questions in a report dated July 21, 2005:</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Describe the conditions of August 9, 2000 that affected the spread of the fire and what impact those conditions had on the spread of this fire.</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time would smoke have been visible from the area of ignition and from what distance? If so, approximately what time and from what distance would a fire watcher watching Block 4 of Cutting Permit 7F, Tree Farm License 8 have been able to see the smoke from this fire?</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the fact that this fire was first reported by Pope &amp; Talbot to the Forest Service at approximately 13:30 hours on August 9, 2000 what difference, if any, would it have made to the progression of this fire if the fire had been reported earlier than 13:30 hours? If you are able to provide approximate times in question two, please provide an opinion as to what difference it would have made in the progression of the fire from those times?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 an opinion as to the affect that reporting this fire between the hours of 12:45 and 13:30 hours on August 9, 2000 would have had on the spread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a considerable amount of detailed analysis, Mr. Van Nest gave the following opinions:</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Conditions of August 9, 2000 that affected the spread of the fire and the impact those conditions on the spread of this fire.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Atmospheric 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9, 2000 a flat ridge of high pressure that resulted in mainly sunny, very warm and dry conditions was affecting the fire area. By 14:55 hours the ridge of high pressure was located to the east of the fire area giving a southwest to west-southwest flow pattern over the area. This condition tended to suppress the vertical development of the smoke column and produced light southwesterly winds on fire N60564, thereby producing conditions that tended to moderate fire behaviour as opposed to potential fire behaviour under unstable atmospheric conditions with stronger winds.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On-site Weather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noon through to the evening of August 9, temperatures increased from the low 20s to the high 20s while relative humidities dropped into the low 20s producing warm dry conditions. </w:t>
      </w:r>
      <w:r>
        <w:rPr>
          <w:rFonts w:ascii="arial" w:eastAsia="arial" w:hAnsi="arial" w:cs="arial"/>
          <w:color w:val="000000"/>
          <w:sz w:val="20"/>
          <w:u w:val="single"/>
          <w:lang w:val="en-US" w:eastAsia="en-US" w:bidi="ar-SA"/>
        </w:rPr>
        <w:t>Winds affecting the fire were very light up to 14:00 hours then increasing in strength after 14:00 hours</w:t>
      </w:r>
      <w:r>
        <w:rPr>
          <w:rFonts w:ascii="arial" w:eastAsia="arial" w:hAnsi="arial" w:cs="arial"/>
          <w:color w:val="000000"/>
          <w:sz w:val="20"/>
          <w:lang w:val="en-US" w:eastAsia="en-US" w:bidi="ar-SA"/>
        </w:rPr>
        <w:t>. Higher wind speed after 14:00 hours increased the forward spread rate of the fire.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Fire N60564 burned through a freshly logged area and into standing conifer forest where it burned off the logging area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Within the logged area the available fuels may be classified as surface and ground fuels with the exception of scattered standing trees</w:t>
      </w:r>
      <w:r>
        <w:rPr>
          <w:rFonts w:ascii="arial" w:eastAsia="arial" w:hAnsi="arial" w:cs="arial"/>
          <w:color w:val="000000"/>
          <w:sz w:val="20"/>
          <w:lang w:val="en-US" w:eastAsia="en-US" w:bidi="ar-SA"/>
        </w:rPr>
        <w:t>. Outside the logged area, aerial, surface and ground fuels were potentially available to the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Fuels on fire N60564 in general were continuous</w:t>
      </w:r>
      <w:r>
        <w:rPr>
          <w:rFonts w:ascii="arial" w:eastAsia="arial" w:hAnsi="arial" w:cs="arial"/>
          <w:color w:val="000000"/>
          <w:sz w:val="20"/>
          <w:lang w:val="en-US" w:eastAsia="en-US" w:bidi="ar-SA"/>
        </w:rPr>
        <w:t xml:space="preserve"> with the exception of areas where rock outcroppings exist. In the case of fire N60564 the volume of aerial fuels was transferred to the surface fuel category in the logged area since the felled trees still remained. This increased surface fuel volume provided additional conifer needles, twigs and branches to the surface fuel bed. Compacted fuels on fire N60564 were primarily the organic soil (duff) that was present in the fire area. The logging area in particular provided the fire with a continuous source of fuel on the surface.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Fuel Moisture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Fuel moisture in the dead forest fuels in the fire area on the afternoon of August 9, 2000 was very low. Virtually all dead fuel was readily available to the fire. Within the logging area, the green needles present on the felled timber while contributing to the overall fuel volume also produced a somewhat moderating affect to the fire spread due to the presence of moisture contained in the needles.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Topography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 N60564 is situated on a west-facing slope. Average slope from the ignition area in the direction (northeast) that fire N60564 burned up to 14:12 hours is 9.7% and from the ignition area in the direction (northeast) that the fire N60564 burned up to 16:06 hours is 9%. Slope effect on fire N60564 in combination with a southwesterly wind was a factor in determining the direction of fire spread to the northeast and impacted spread rates on the fire.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Combined Effect on Fuel Weather and Topography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During the afternoon of August 9, 2000, the interaction of fuels weather and topography on fire N60564 produced a vigorous surface fire in the logged area that burned under nearly calm conditions up to 14:00 hours spreading a total distance of approximately 261 metres. Suppression actions prior to 14:00 hours would have been generally successful in controlling the fire although control efforts at the head of the fire may have been challenging. After 14:00 hours, continued drying of fine dead fuels combined with an increase in wind produced a faster spreading, higher intensity fire traveling upslope towards the northeast reaching the top of the slope around 16:00 hours, a distance of approximately 867 meters from the ignition location. Efforts to contain the fire after 14:00 hours were unsuccessful because of the increased rate of spread and intensity of the fire.</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time would smoke have been visible from the area of ignition and from what distance? If so, approximately what time and from what distance would a fire watcher watching Block 4 of Cutting Permit 7F, Tree Farm License 8 have been able to see the smoke from this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smoke from a campfire can be seen from a distance of at least several kilometres provided that the view of the fire is unobstructed. Obstructions such as standing forest and hills or mountains however can easily block the view of smoke from a small fire. Fire N60564 is estimated to have been approximately 0.02 hectares in size within the first five minutes of fire growth and approximately 18 metres (3.6 m/min rate of spread x 5 minutes) in length. </w:t>
      </w:r>
      <w:r>
        <w:rPr>
          <w:rFonts w:ascii="arial" w:eastAsia="arial" w:hAnsi="arial" w:cs="arial"/>
          <w:color w:val="000000"/>
          <w:sz w:val="20"/>
          <w:u w:val="single"/>
          <w:lang w:val="en-US" w:eastAsia="en-US" w:bidi="ar-SA"/>
        </w:rPr>
        <w:t>If a fire watcher was watching Block 4 of Cutting Permit 7F, Tree Farm License 8 from an unobstructed vantage point it is reasonable to conclude that the observer would have seen smoke within the first five minutes of fire spread. Fire spread on fire N60564 is estimated to have commenced at about 12:49 hours August 9 2000 therefore if a fire watcher had been in a position to see the smoke, detection and reporting of the fire would have been possible between 12:49 and 12:54 hours.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the fact that this fire was first reported by Pope &amp; Talbot to the Forest Service at approximately 13:30 hours on August 9, 2000 what difference, if any, would it have made to the progression of this fire if the fire had been reported earlier than 13:30 hours? If you are able to provide approximate times in question two, please provide an opinion as to what difference it would have made in the progression of the fire from those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 K initial attack crew was at the fire by 14:10 hours August 9, 2000 at the latest. At this point the initial attack crew assessment was that the fire was beyond their capabilities. By 14:10 the estimated fire intensity supports this assessment. This represents an elapsed time of 40 minutes after the fire was reported at 13:30. If the fire had been reported by 12:54 hours the initial attack crew could have potentially been at the fire by 13:34. Fire size at this time would have been about 1.21 hectares. </w:t>
      </w:r>
      <w:r>
        <w:rPr>
          <w:rFonts w:ascii="arial" w:eastAsia="arial" w:hAnsi="arial" w:cs="arial"/>
          <w:color w:val="000000"/>
          <w:sz w:val="20"/>
          <w:u w:val="single"/>
          <w:lang w:val="en-US" w:eastAsia="en-US" w:bidi="ar-SA"/>
        </w:rPr>
        <w:t>At 13:34 hours fire N60564 is estimated to have been a vigorous surface fire. Ground attack by suppression forces supported by a helicopter with bucket would likely be successful in controlling the fire under these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air tanker drops occurred on the fire at 14:29 hours August 9 2000. This represents an elapsed time of 59 minutes after the fire was reported. Assuming the same response time and a potential report time of 12:54 hours, air tankers would have made their first drops on the fire at approximately 13:53 hours. Arrival time of the air tankers would have coincided with the time that the fire would have begun to burn more intensely due to increasing wind effect on the fire and the air tankers would have been in a position to support ground suppression activities.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 an opinion as to the affect that reporting this fire between the hours of 12:45 and 13:30 hours on August 9, 2000 would have had on the spread of the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fire N60564 had been detected and reported between 12:49 and 12:54, control efforts on the fire could have commenced by 13:34 hours. This represents at least 26 minutes of potential suppression effort before the burning conditions escalated and air tanker support would have been available by approximately 13:53 hours at about the time the burning conditions would have begun to escalate. Given this scenario, there is a good probability that the fire would have been contained at less than 4 hectares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Also on July 21, 2005, Mr. Van Nest submitted a written opinion to the Crown with the following objectives: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Describe your observations of your site visit on May 17, 2005 to the area of origin. Also provide the photographs taken of these observations.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your opinion as to what was in this hole prior to this fire.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as to whether it is more likely than not that the substance in this hole burned during the fire.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as to whether it is more likely than not that the substance in this hole was the point of ignition of this fire.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would a root which would have fit in this hole have taken to smoulder and burn to the point where it surfaced and resulted in this fire spreading?</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would it have taken for the burning of the substance in this hole to begin showing signs of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Van Nest's opinion on these matters essentially confirms what Mr. Effa had to say about the probable point of ignition. His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Holdover ground fires often produce minimal smoke due to the limited supply of oxygen. In my opinion a very small amount of smoke would have been produced after ignition. Once the surface fuel at the entrances to Cavity #1 and Cavity #2 was consumed and ash covered the ground fire, little or no visible smoke would be produced until the fire emerged on the surface near the base of the stump north of Cavity #1 and began to spread away from the ignition area. Visible smoke production would likely have coincided with the development of surface flames when the fire was beginning to spread away from the ignition area on August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Rick Lanoville, an experienced fire behaviour specialist was asked by the Province to provide opinions on the following issues: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number of weather stations and type of data collected and available to the forest industry would be consistent with the number and data collected in one or more other provincial and/or territorial fire agencies within Canada.</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existed sufficient weather stations in the vicinity of TFL 8, CP7F-4 for the forest industry to accurately assess the fire danger class;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fire danger class rating on August 9, 2000 on TLF 8, CP7F-4 would have been at fire danger class V pursuant to the British Columbia rating system contained within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a remarkable exercise in attempting to construct a "virtual weather station" for TFL8, CP7F-4, Mr. Lanoville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test for overall accuracy and the detailed analysis of each of the weather elements estimated for the TFL 8, CP7F-4 site for August 09, 2000, it is my opinion that Fire Danger Rating Class IV pursuant to the British Columbia rating system contained within the </w:t>
      </w:r>
      <w:r>
        <w:rPr>
          <w:rFonts w:ascii="arial" w:eastAsia="arial" w:hAnsi="arial" w:cs="arial"/>
          <w:i/>
          <w:color w:val="000000"/>
          <w:sz w:val="20"/>
          <w:lang w:val="en-US" w:eastAsia="en-US" w:bidi="ar-SA"/>
        </w:rPr>
        <w:t>Fire Prevention and Suppression Regulation</w:t>
      </w:r>
      <w:r>
        <w:rPr>
          <w:rFonts w:ascii="arial" w:eastAsia="arial" w:hAnsi="arial" w:cs="arial"/>
          <w:color w:val="000000"/>
          <w:sz w:val="20"/>
          <w:lang w:val="en-US" w:eastAsia="en-US" w:bidi="ar-SA"/>
        </w:rPr>
        <w:t xml:space="preserve"> is the most probable Danger Rating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I make this conclusion with confidence (86%) that the Danger Rating Class of IV is exactly correct or it is an over-estimation by one class (14%). This means the Danger Rating Class for TFL 8, CP7F-4 was no more than IV and no less than III on August 09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Province also led a report from Robert Rogers, an experienced registered professional forester, who addressed the following issues: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what circumstances would a company conducting timber harvesting operations voluntarily shut down their timber harvesting operations due to a risk of causing an operational fire? (An operational fire is one caused by timber harvesting operations.)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guidelines do companies engaged in timber harvesting operations have regarding whether or not to initiate a voluntary shut down of timber harvesting operations due to an increased risk of causing an operational fire?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company engaged in timber harvesting operations would have commenced a voluntary shut down of timber harvesting operations commencing on August 9, 2000 in the same or similar circumstances as Pope &amp; Talbot Ltd. was on August 8 and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It was Mr. Rogers' opinion that the defendants should have commenced a </w:t>
      </w:r>
      <w:r>
        <w:rPr>
          <w:rFonts w:ascii="arial" w:eastAsia="arial" w:hAnsi="arial" w:cs="arial"/>
          <w:color w:val="000000"/>
          <w:sz w:val="20"/>
          <w:u w:val="single"/>
          <w:lang w:val="en-US" w:eastAsia="en-US" w:bidi="ar-SA"/>
        </w:rPr>
        <w:t>voluntary</w:t>
      </w:r>
      <w:r>
        <w:rPr>
          <w:rFonts w:ascii="arial" w:eastAsia="arial" w:hAnsi="arial" w:cs="arial"/>
          <w:color w:val="000000"/>
          <w:sz w:val="20"/>
          <w:lang w:val="en-US" w:eastAsia="en-US" w:bidi="ar-SA"/>
        </w:rPr>
        <w:t xml:space="preserve"> shutdown of timber harvesting operation before 1 p.m. on August 9, 2000, based on the following considerations: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Canadian Fire Weather indices for the operating area</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number of consecutive days of Danger Class IV or higher fire danger</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operational fire (Block 6 CP 238, FL A 18969), likely caused by a tracked feller-buncher had occurred within one of their operations </w:t>
      </w:r>
      <w:r>
        <w:rPr>
          <w:rFonts w:ascii="arial" w:eastAsia="arial" w:hAnsi="arial" w:cs="arial"/>
          <w:color w:val="000000"/>
          <w:sz w:val="20"/>
          <w:u w:val="single"/>
          <w:lang w:val="en-US" w:eastAsia="en-US" w:bidi="ar-SA"/>
        </w:rPr>
        <w:t>prior</w:t>
      </w:r>
      <w:r>
        <w:rPr>
          <w:rFonts w:ascii="arial" w:eastAsia="arial" w:hAnsi="arial" w:cs="arial"/>
          <w:color w:val="000000"/>
          <w:sz w:val="20"/>
          <w:lang w:val="en-US" w:eastAsia="en-US" w:bidi="ar-SA"/>
        </w:rPr>
        <w:t xml:space="preserve"> to the regulated 13:00 shutdown time on the previous day, August 8th.</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8 operational fire had required a full suppression response including the use of aircraft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Very similar fire weather indices existed at CP7F, including lower humidity, on August 8th as for that day's CP 238 operational fire location</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Harvest operations including the use of a tracked feller-buncher were ongoing within CP7F</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slope in the active and surrounding area was approximately 30% with the presence of some rock and boulders and that the active falling block had an approximately southwest aspect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volume of high value felled timber was on the ground in CP7F on August 9th</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Valuable standing timber was located both within and adjacent to the active harvest blocks within CP7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defence led evidence from Dr. Paul M. Woodard, a registered professional forester and forestry professor in Alberta. He reviewed the available data and attended the site on September 20, 2004. He compared the Rock Creek weather station with Environment Canada stations at Castlegar, Penticton, and Creston. His assumptions included that the measured data was accurately recorded, and that the weather over the four stations was usually similar. He summarized his opinion as follows: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forests in this region of BC should have been closed to tree felling activity on the day of the fire and maybe even earlier,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with the aid of immediate and aggressive air support, there was probably nothing any person on the ground could have done to contain this fire once it started,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Mr. Hancock found and reported the fire at or shortly after its reported start time (13:15 hrs MOF Doc# 119, Tab 2), </w:t>
      </w:r>
      <w:r>
        <w:rPr>
          <w:rFonts w:ascii="arial" w:eastAsia="arial" w:hAnsi="arial" w:cs="arial"/>
          <w:color w:val="000000"/>
          <w:sz w:val="20"/>
          <w:u w:val="single"/>
          <w:lang w:val="en-US" w:eastAsia="en-US" w:bidi="ar-SA"/>
        </w:rPr>
        <w:t>and if the retardant bombers had been dispatched and arrived at the fire within the same time frame as actually occurred, this fire still would have escaped containment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prompted the Province to obtain a rebuttal report from Mr. Lanoville. He was asked to consider the following issues (the questions are framed as the Province had posed them):</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you agree or disagree with the following statement: "... I respectfully suggest that if the wind speed measurements recorded at the Rock Creek weather station were under reading the actual wind speed by 10 km/h then there is a chance that the danger classes on August 6, 7, 8, 9, would have been at Danger Class 5 long before August 11, 2000." (p. 13)</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disagree with Statement #1 please state your reasons and supporting facts or authorities in support. Please include in these reasons your comments upon the following:</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adding of 10km/h to every wind speed measured at Rock Creek weather station to Tree Farm License No. 8, Cutting Permit 7F, Block 4;</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wind speeds as recorded at Environment Canada weather stations Castlegar A, Penticton A, Creston Campbell Scientific to calculate the accuracy of the wind speed recording at the Rock Creek weather station, including the location of the Environment Canada weather stations as compared to the Rock Creek weather stations, and their methods of measuring wind speed at two minute intervals as compared to ten minute intervals at the BC weather stations;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accuracy generally of Bird Dog Officer's reporting of wind speeds in the air when compared with the wind speed occurring on the slope below them;</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dryness of the recently downed timber and their effect on the rate of spread on the fire;</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Species classification S2 for the calculation of the fire spread rate;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Fire Danger Class was V for the dates August 6, 7, 8 and 9, 2000 on TFL 8, CP7F-4.</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fire sizes predicted by Dr. Woodard on page 15 of his report dated July 25, 2005 are consistent with your estimated fire spread rates and sizes. Please describe your method for estimating the fire size and your predictions of the fire at the same or similar times indicated by Dr. Woodard in his report on page 15.</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differences, if any, are reported by Dr. Woodard in his rebuttal calculations provided on August 26, 2006 and comment upon their accuracy and reliability to your fire spread rates and fire size calculations.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4 of Dr. Woodard's report of July 25, 2005 he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what I believe is the official records, the fire is reported to have ignited at 13:15 hours on 2000/08/09 and was discovered at 13:21 hours on 2000/08/09.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no estimate of the size of fire at time of discovery as the fire was spotted from afar. It has been estimated that Mr. Kinoff was 10-14 miles away when he reported the fire.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Please comment upon Dr. Woodard's assumption that the fire ignited at 13:15 hours and whether this accords with the data which you have reviewed regarding this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Woodard has also stated the following:</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the fuels in the cutblock were drier than what was being predicted by the FWI system due to the fact that: (1) that these fuels had been exposed to direct sunlight and wind after the trees in the cutblock had been felled and (2) my belief that the Rock Creek weather station was underestimating the local wind speed." (page 9).</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sure that the wind speed readings taken at the Rock Creek weather station are correct. I believe they may have underestimated by as much as 10 km/h." (page 12, paragraph 2 under Assumptions and Facts).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respectfully suggest that if the wind speed measurements recorded at the Rock Creek weather station were under reading the actual wind speed by 10km/h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answer the following questions: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indication that the Rock Creek Weather station was not operating properly from August 1 to August 9, 2000?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Rock Creek weather station positioned within appropriate standards, if not what effect, if any, does this position have upon the measurement of the weather data?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Woodard has also stated: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written that for successful containment in a black spruce forest in Alberta by air attack </w:t>
      </w:r>
      <w:r>
        <w:rPr>
          <w:rFonts w:ascii="arial" w:eastAsia="arial" w:hAnsi="arial" w:cs="arial"/>
          <w:i/>
          <w:color w:val="000000"/>
          <w:sz w:val="20"/>
          <w:lang w:val="en-US" w:eastAsia="en-US" w:bidi="ar-SA"/>
        </w:rPr>
        <w:t>The maximum time from report to containment of the head perimeter spread is set at 1 hour."</w:t>
      </w:r>
      <w:r>
        <w:rPr>
          <w:rFonts w:ascii="arial" w:eastAsia="arial" w:hAnsi="arial" w:cs="arial"/>
          <w:color w:val="000000"/>
          <w:sz w:val="20"/>
          <w:lang w:val="en-US" w:eastAsia="en-US" w:bidi="ar-SA"/>
        </w:rPr>
        <w:t xml:space="preserve"> (McDonald 1976; page 8, Tab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This fire involved what fuel type?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difference, if any, is there between the fuel type involved in this fire and Black Spruce?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any further comments which you believe to be pertinent regarding Dr. Woodard's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Lanoville's rebuttal report included the following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Since the wind speed measurements taken at Rock Creek weather station have no relationship to wind speeds that may have occurred at TFL 8, CP7F-4, adding 10 km/h to the wind speed measurements taken at the Rock Creek weather station also has no relationship to the wind speeds that may have occurred at TFL 8, CP7F-4</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From my analysis, I conclude that the Rock Creek wind measurements are consistent with those of the three airports, when the airport wind speeds are reduced by 60% and are consistent with the fire weather stations at Grand Forks and Beaverdell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This means that the wind speed measurements for Rock Creek are sufficiently accurate unto themselves to be consistent with their surroundings, so that by adding 10 km/h to every wind speed measurement taken at the Rock Creek station would grossly overestimate the wind speed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facts, assumptions, and methodology used to create a virtual weather station for TFL 8, CP7F-4, it is my opinion that the Fire Danger Class at TFL 8, CP7F-4 on August 6 was 4; on August 7 was 4; on August 8 was 4; and on August 9 was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test of accuracy of the virtual weather station with respect to the calculation of Fire Danger Classes, it is my opinion that the calculation of Fire Danger Class for August 6, 7, 8, and 9 is 100% accurate at Fire Danger Class 4 and if in error, then the Fire Danger Class for any one or all of the days is Fire Danger Class 3. This means that a calculated Fire Danger Class 4 could not possibly be a Fire Danger Class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my estimates of fire size over time is based on analysis of the fire environment corrected for elevation and measurements from photographs taken at 14:12, it is my opinion that my fire size estimates are accurate and that Dr. Woodard's fire growth estimates are inaccurate by 7 times, otherwise Mr. Rexin's photograph taken at 14:12 would show a fire that had grown to a size of 22.1 hectares, which is clearly not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analysis, a fire starting from a point-source burning in fresh logging slash and spreading to a size of 3.0 hectares by 14:12 would have started spreading with a flame front at 13:15.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my earlier analysis, </w:t>
      </w:r>
      <w:r>
        <w:rPr>
          <w:rFonts w:ascii="arial" w:eastAsia="arial" w:hAnsi="arial" w:cs="arial"/>
          <w:color w:val="000000"/>
          <w:sz w:val="20"/>
          <w:u w:val="single"/>
          <w:lang w:val="en-US" w:eastAsia="en-US" w:bidi="ar-SA"/>
        </w:rPr>
        <w:t>I hold the opinion that the fire started in mixture of duff and surface litter material sometime before 12:45 and burnt with smouldering combustion spreading very slowly and finally attaining the size of a small camp fire by 13:15</w:t>
      </w:r>
      <w:r>
        <w:rPr>
          <w:rFonts w:ascii="arial" w:eastAsia="arial" w:hAnsi="arial" w:cs="arial"/>
          <w:color w:val="000000"/>
          <w:sz w:val="20"/>
          <w:lang w:val="en-US" w:eastAsia="en-US" w:bidi="ar-SA"/>
        </w:rPr>
        <w:t>. When the forest floor organic materials are mixed, as they would be under the churning action from tracks on a heavy piece of equipment, the driest layer (surface litter layer) is mixed with the duff layers beneath the surface litter. The duff layers contain more moisture than the litter layer and are denser, which results in slower combustion rate than a fire burning in the surface litter alone. The resultant burn pattern, shown in the Colin Effa photograph presented earlier, shows a mottled surface at the fire's origin where the driest fuels burned and the duff material charred, which is characteristic of a mixture of surface litter and duff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Van Nest also produced a rebuttal report to that of Dr. Woodard. Mr. Van Nest could not agree that the Fire Danger Class for August 6, 7, 8, and 9, 2000 on TFL 8, CP7F-4 was V ("5"), rather than IV ("4"). He suggests that at 2:12 p.m. on August 9, 2000, the area of the fire, based on GPS readings taken at the site on May 17, 2005 was 5.19 hectares, which is much smaller than Dr. Woodard's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Van Nest's opinion on Dr. Woodard's fire spread rates and calculations is that in using the fuel type classified as "S-2", he was using a comparable working logging slash which would burn hotter and faster than the recently felled timber that actually burned in the Ingram Creek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Van Nest lastly suggested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fire had been discovered at 13:00 hours rather than at 13:21 hours and reported by 13:09 hours rather than at 13:30 hours, initial suppression efforts would have potentially been on a fire (</w:t>
      </w:r>
      <w:r>
        <w:rPr>
          <w:rFonts w:ascii="arial" w:eastAsia="arial" w:hAnsi="arial" w:cs="arial"/>
          <w:i/>
          <w:color w:val="000000"/>
          <w:sz w:val="20"/>
          <w:lang w:val="en-US" w:eastAsia="en-US" w:bidi="ar-SA"/>
        </w:rPr>
        <w:t>4.94ha-2.71ha</w:t>
      </w:r>
      <w:r>
        <w:rPr>
          <w:rFonts w:ascii="arial" w:eastAsia="arial" w:hAnsi="arial" w:cs="arial"/>
          <w:color w:val="000000"/>
          <w:sz w:val="20"/>
          <w:lang w:val="en-US" w:eastAsia="en-US" w:bidi="ar-SA"/>
        </w:rPr>
        <w:t>) approximately 2.23 ha smaller than what actually faced the SE K initial attack crew on August 9th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attack crew had a helicopter and there are at least two water sources (</w:t>
      </w:r>
      <w:r>
        <w:rPr>
          <w:rFonts w:ascii="arial" w:eastAsia="arial" w:hAnsi="arial" w:cs="arial"/>
          <w:i/>
          <w:color w:val="000000"/>
          <w:sz w:val="20"/>
          <w:lang w:val="en-US" w:eastAsia="en-US" w:bidi="ar-SA"/>
        </w:rPr>
        <w:t>Davis Lake and Matthews Lake</w:t>
      </w:r>
      <w:r>
        <w:rPr>
          <w:rFonts w:ascii="arial" w:eastAsia="arial" w:hAnsi="arial" w:cs="arial"/>
          <w:color w:val="000000"/>
          <w:sz w:val="20"/>
          <w:lang w:val="en-US" w:eastAsia="en-US" w:bidi="ar-SA"/>
        </w:rPr>
        <w:t>) for bucketing within 3 kilometres from the fire. The crew would have provided additional ground support. There was also a skidder, a D5 cat and a 3000 gal. water tanker available (</w:t>
      </w:r>
      <w:r>
        <w:rPr>
          <w:rFonts w:ascii="arial" w:eastAsia="arial" w:hAnsi="arial" w:cs="arial"/>
          <w:i/>
          <w:color w:val="000000"/>
          <w:sz w:val="20"/>
          <w:lang w:val="en-US" w:eastAsia="en-US" w:bidi="ar-SA"/>
        </w:rPr>
        <w:t>Rexin statement</w:t>
      </w:r>
      <w:r>
        <w:rPr>
          <w:rFonts w:ascii="arial" w:eastAsia="arial" w:hAnsi="arial" w:cs="arial"/>
          <w:color w:val="000000"/>
          <w:sz w:val="20"/>
          <w:lang w:val="en-US" w:eastAsia="en-US" w:bidi="ar-SA"/>
        </w:rPr>
        <w:t>). Air tanker support would have potentially arrived by 14:08 hours to support ground forces.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fire N60654 had been detected at 13:00 hours and reported by 13:09 hours, all fire suppression efforts would have begun on a smaller fire </w:t>
      </w:r>
      <w:r>
        <w:rPr>
          <w:rFonts w:ascii="arial" w:eastAsia="arial" w:hAnsi="arial" w:cs="arial"/>
          <w:color w:val="000000"/>
          <w:sz w:val="20"/>
          <w:u w:val="single"/>
          <w:lang w:val="en-US" w:eastAsia="en-US" w:bidi="ar-SA"/>
        </w:rPr>
        <w:t>thereby greatly improving their chances of successfully containing the fire during initial attack</w:t>
      </w:r>
      <w:r>
        <w:rPr>
          <w:rFonts w:ascii="arial" w:eastAsia="arial" w:hAnsi="arial" w:cs="arial"/>
          <w:color w:val="000000"/>
          <w:sz w:val="20"/>
          <w:lang w:val="en-US" w:eastAsia="en-US" w:bidi="ar-SA"/>
        </w:rPr>
        <w:t>. Ground attack by the initial attack crew supported by the helicopter and bucket would have been possible and combined with the utilization of a skidder, D5 cat and 3000 gal. water tanker much of the fire perimeter should have been contained by the time the air tankers arrived. The air tankers could have been utilized to stop any further spread of the fire that the ground forces had not yet contained and then provided back up support as the winds increased later in the afternoon. Probable containment size of the fire would have been 5 to 6 ha in size.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opinion evidence in this case was of significant value to the court on a number of basic matters which seem obvious and intuitively correct, but which could not have been confidently asserted without such assistance. This would include such things as the fact that fire burns more quickly uphill, the effect of wind on fire spread, and the various indicators that assisted Mr. Effa and Mr. MacAuley, for instance, to assert where the fire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Beyond such matters, particularly where the opinion evidence is based on various assumptions and models, it becomes less useful. It is clear from the testimony of a number of witnesses that most of what is known about wildfires is learned in the aftermath, and that there is -- for obvious reasons -- little opportunity to conduct controlled "real world" experiments. This means, in practice, that assumptions about fuel type and things of that nature are necessarily made on the basis of crude and imperfect comparators.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am of the view that the evidence of the relationship between specific conditions at the worksite on August 9th and those recorded at Rock Creek is of no assistance on the issue of whether the defendants should have been operating on August 9, 2000. All of that evidence, to the extent it is led for that purpose, misses the point that the relevant date respecting the Ingram Creek fire is August 8th. Mr. Rogers' opinion would not suffice to establish a standard of care higher than reliance on the Rock Creek data in any case, given that the philosophy embedded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is the maximization of production, subject to the limits found in the schedule to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Although each of the parties, for different reasons, seeks to establish that conditions at the worksite were more extreme than those represented by the Rock Creek station, the point of the system was not that Rock Creek represented the exact conditions at the site but that the approximation represented by Rock Creek would govern those areas for which it was the nearest station. The establishment of on-site data was an option for individual forest companies but was not mandatory. The defendants, not having taken those steps, were obliged to take their guidance from Rock Creek. I do not rule out the possibility that local conditions might, in some circumstances, require more prudence than mere reliance on the nearest official data, but the proof would have to be convincing. No such case has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of course, the even larger problem that Mr. Rogers' opinion was strongly influenced by the assumption that the events of August 8th at Santa Rosa were a precedent that dictated caution on August 9th. The fact that both fires were roughly contemporaneous events, each arising sometime on August 8th, means that that is the only relevant date for which considerations arise. A finding that the defendants should not have been working on August 9th would be, as the defendants have submitted, a finding that they had no business being anywhere near the area when the Ingram Creek fire ignited from the ground. That would have made the time the fire was actually reported by Paul Kimoff (1:30 p.m.), the only reasonable time it could have been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significant difficulty with the notion that it was also imprudent to the point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work on August 8 is that this is not at all the position taken by the Province, or found by Mr. Schmidt in the OTBH, respecting the Santa Rosa fire. Mr. Schmidt's decision accepted the hazard to be danger class 4. There was no intimation that from the Ministry's perspective the defendant Pope and Talbot should have voluntarily shut down operations for the day. As I have noted before, this would not be in keeping with the tenor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would require this court to apply a different standard to Ingram Creek that could only be contemplated on better evidence than I have before me. That, so far as it goes, suggests that the Santa Rosa fire may have been a somewhat </w:t>
      </w:r>
      <w:r>
        <w:rPr>
          <w:rFonts w:ascii="arial" w:eastAsia="arial" w:hAnsi="arial" w:cs="arial"/>
          <w:color w:val="000000"/>
          <w:sz w:val="20"/>
          <w:u w:val="single"/>
          <w:lang w:val="en-US" w:eastAsia="en-US" w:bidi="ar-SA"/>
        </w:rPr>
        <w:t>more</w:t>
      </w:r>
      <w:r>
        <w:rPr>
          <w:rFonts w:ascii="arial" w:eastAsia="arial" w:hAnsi="arial" w:cs="arial"/>
          <w:color w:val="000000"/>
          <w:sz w:val="20"/>
          <w:lang w:val="en-US" w:eastAsia="en-US" w:bidi="ar-SA"/>
        </w:rPr>
        <w:t xml:space="preserve"> hazardous site.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suggest that conditions at the Ingram Creek site were extreme in support of an inference the fire was uncontrollable regardless of any shortcomings in the fire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not possible to be definitive about the difference a proper fire watch may have made except to say that the fire may have been detected up to a half hour earlier. I cannot accept the notion that an obvious fire was burning while Mr. Hancock was on the scene. There is no evidentiary basis for the suggestion that the fire broke out before 12:49 p.m.-12:54 p.m. around the time when Mr. Hancock says he went up to his truck. That is part of the Province's case and I am in no position to remark on its credibility other than to accept it. Mr. Lanoville says that the fire was the size of a small campfire by about 1:15 p.m. If this were the case, the fire might not have been detected by a person conducting a fire watch on the August 9th site until at least that time, which would narrow the "difference" in actual and a theoretically responsible reporting time to something like 10-15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There is no question that the fire spread quickly. Mr. MacAuley's general observations are helpful in this regard. The degree to which wind was a factor was a matter of considerable debate. It is fair to say that all agreed that wind would be a significant factor, if there was any. None of their speculations took the court very far in terms of proof. If it were necessary to establish whether a certain combination of factors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plausibly have been in play on a given day these exercises might have been useful. As it is, I know no more than that wind conditions at the site may have varied significantly from those at Rock Creek and that such conditions can vary from locale to locale. The experts were ultimately only guessing on this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Temperature and relative humidity were also important factors. Regarding that, opinion varied. I simply do not find the refinements I was offered 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One factor on which there was little reliable refinement on the evidence was when the ground fire reached the "heavy fuels" on the block. A "sequence of events" prepared by A.R. Kneeland, a mining employee, suggests that the fire may have burned into the heavy fuels as early as 1:00 p.m. after smouldering for two hours. The Initial Attack Crew that mobilized at 1:30 p.m. was airborne at 1:50 p.m. and reported to Mr. Rexin that the fire was beyond their capabilities at 2:10 p.m. said the fire had reached Rank 4 (see para. 68 herein). The fact that it was spotting outside the perimeter of the fire was noted by Mr. Lussier on the Air Attack report as a factor in calling the fire beyond resources. It appears that the fire may have flared up from something quite small to a blaze that was essentially uncontrollable in a very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do not think the variables at play allow for reliable inferences that would establish that had the initial attack crew been on site some 15 minutes or so earlier, they would </w:t>
      </w:r>
      <w:r>
        <w:rPr>
          <w:rFonts w:ascii="arial" w:eastAsia="arial" w:hAnsi="arial" w:cs="arial"/>
          <w:color w:val="000000"/>
          <w:sz w:val="20"/>
          <w:u w:val="single"/>
          <w:lang w:val="en-US" w:eastAsia="en-US" w:bidi="ar-SA"/>
        </w:rPr>
        <w:t>probably</w:t>
      </w:r>
      <w:r>
        <w:rPr>
          <w:rFonts w:ascii="arial" w:eastAsia="arial" w:hAnsi="arial" w:cs="arial"/>
          <w:color w:val="000000"/>
          <w:sz w:val="20"/>
          <w:lang w:val="en-US" w:eastAsia="en-US" w:bidi="ar-SA"/>
        </w:rPr>
        <w:t xml:space="preserve"> have extinguished the fire. They would certainly have had a better chance had Mr. Hancock been on the spot conducting a proper fire watch but it cannot be said that they would probably have brought it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It is obvious, of course, that the defendants' delict has put the whole matter into question. Had Mr. Hancock conducted a proper watch, he would have reported the fire as early as he could reasonably have been expected to detect it. That may have been 30 minutes before the fire was actually reported, but it may have been much less time, perhaps as little as 15 minutes. The fire might have been noticed when it first broke out, but it might, in any event, have escaped from Mr. Hancock as the Santa Rosa fire had escaped Mr. Doumont and Mr. Skelton. The initial attack crew would have been able to mobilize more quickly, but there is no reliable evidence as to how long before they arrived the fire had, in fact, been beyond their abilities. This is related to the fact that there is no reliable evidence as to </w:t>
      </w:r>
      <w:r>
        <w:rPr>
          <w:rFonts w:ascii="arial" w:eastAsia="arial" w:hAnsi="arial" w:cs="arial"/>
          <w:color w:val="000000"/>
          <w:sz w:val="20"/>
          <w:u w:val="single"/>
          <w:lang w:val="en-US" w:eastAsia="en-US" w:bidi="ar-SA"/>
        </w:rPr>
        <w:t>when</w:t>
      </w:r>
      <w:r>
        <w:rPr>
          <w:rFonts w:ascii="arial" w:eastAsia="arial" w:hAnsi="arial" w:cs="arial"/>
          <w:color w:val="000000"/>
          <w:sz w:val="20"/>
          <w:lang w:val="en-US" w:eastAsia="en-US" w:bidi="ar-SA"/>
        </w:rPr>
        <w:t xml:space="preserve"> the fire achieved Rank 3 and then Rank 4, that is, when it began spotting ahead of itself. Mr. Lussier believed that the fire could be controlled as late as 4:05 p.m. but said that once it reached the top of the ridge and got into standing timber, it was beyond resources. His estimation shortly after the initial attack crew had been unsuccessful was that the fire was still only Rank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All of the opinion evidence as to whether the fire could or could not have been brought under control had a proper fire watch been conducted lacks the cogency of reliable assumptions. I am left unable to tell whether the defendants' failure had a material bearing on what ultimately happened. All that can be said is that chances would have been better the earlier the fire were discovered, and that it would have been discovered some time earlier if the watch had been properly conducted on the August 9th site.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industrial activity on August 8, 2000 caused the Ingram Creek fire that surfaced on August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Fires are a recognized hazard of such activity. The defendants were operating lawfully in the Ingram Creek area on the dates in question. I am not at all persuaded that conditions were such that the defendants should not have been active on those days or that the Province should have taken steps to stop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were entitled and/or obliged to take their cue as to what restrictions would apply from the nearest weather station. This indicated Danger Class 4 which mandated a shutdown of operations by 1:00 p.m. on August 9, 2000, followed by a one-hour fire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worker on the site, Mr. Hancock, stopped working at about 12:45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Hancock did not place himself in a position to see more than a corner of the August 9th worksite. This was wholly inadequate. Had a proper fire watch been conducted, Mr. Hancock would have seen the hold-over fire that broke out on the previous day's worksite at some point between 12:45 p.m. and 1:30 p.m. when the fire was reported by a Pope and Talbot employee on a highway several kilometres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not possible to refine exactly when the fire broke out, or when it would reasonably have been seen by Mr. Hancock, given that observing that fire would have been incidental to his immediate responsibility which was to watch for fire on the August 9, 2000 worksite. The difference in time between when the fire was reported and when it could have been reported may have been as much as 30 minutes or as little as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not probable that Mr. Hancock would have been able to put the fire out by himself, assuming he was properly equipped unless he happened to be right on top of it, a fact that cannot be assumed. The Santa Rosa comparator is helpful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By the time the Initial Attack Crew arrived, they could not subdue the fire. It is not clear when the fire went beyond their ability to address it, and it cannot be inferred from the evidence that it is </w:t>
      </w:r>
      <w:r>
        <w:rPr>
          <w:rFonts w:ascii="arial" w:eastAsia="arial" w:hAnsi="arial" w:cs="arial"/>
          <w:color w:val="000000"/>
          <w:sz w:val="20"/>
          <w:u w:val="single"/>
          <w:lang w:val="en-US" w:eastAsia="en-US" w:bidi="ar-SA"/>
        </w:rPr>
        <w:t>probable</w:t>
      </w:r>
      <w:r>
        <w:rPr>
          <w:rFonts w:ascii="arial" w:eastAsia="arial" w:hAnsi="arial" w:cs="arial"/>
          <w:color w:val="000000"/>
          <w:sz w:val="20"/>
          <w:lang w:val="en-US" w:eastAsia="en-US" w:bidi="ar-SA"/>
        </w:rPr>
        <w:t xml:space="preserve"> that had they arrived 15 minutes earlier, they could have put the fire out. The best that can be said is that they would have had a better chance. This is not a question of preferring a particular opinion over another, but a finding that none of the expert witnesses could do enough with the obvious variables to comment reliably, as the court assesses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same is true for the air attack and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is not a conventional question of "causation," but a question of whether the breach of a statutory and contractual duty to place oneself in a position to intervene in circumstances of a particular foreseeable eventuality had a legal consequence, provable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particular refinement in this case is that the duty that was breached was associated with the foreseeable risk of fire as a result of activity conducted earlier on August 9, 2000. The coincidental outbreak of fire on the worksite of the previous day was an event Mr. Hancock would have been obliged to report when it came to his attention, but it is impossible to fix with any precision when that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This effectively reduces the case to a question of whether a gap of what may have been as little as 15 minutes was the difference between containing the fire and what actually happened. The closest the evidence comes is that it might have, but it cannot be said, on a balance of probabilities,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Thus, despite the manifest breach of their statutory and contractual obligations, the Province has not shown that the breach had the consequences the Province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No independent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given my finding that there was no duty to forbear working on the dates in question. The duty imposed by the statute defines the defendants' entire duty in the circumstance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action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counterclaim is dismissed. I am aware of no issue requiring adjudication arising out of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Costs may be spoken to, if an order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Bulwer v. Canadian Mental Health Assn., [2016] B.C.J. No. 1249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Port Alberni,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Baird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S21232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Port Alberni</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Perry Bulwer, Plaintiff, and Canadian Mental Health Association, Port Alberni Branch and Bob Hargreaves and TPM Management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 xml:space="preserve">Human rights law — Enforcement and procedure — Civil actions — Application by defendants to strike Bulwer's pleadings allowed — Bulwer, who suffered mental health challenges, claimed defendants failed to adequately investigate complaints by other tenants before serving him with eviction notice that caused him psychological damage — Arbitrator under Residential Tenancy Act had cancelled eviction notice — Plain and obvious pleadings had to be struck — Bulwer was precluded from pursuing common law remedies for alleged substantive violations of human rights enactments — Defendants breached no duty and committed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pursuing their lawful rights under Residential Tenancy Act — Residential Tenancy Act, s. 58.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Residential tenancies — Legislation — Application of legislation — Application by defendants to strike Bulwer's pleadings allowed — Bulwer, who suffered mental health challenges, claimed defendants failed to adequately investigate complaints by other tenants before serving him with eviction notice that caused him psychological damage — Arbitrator under Residential Tenancy Act had cancelled eviction notice — Plain and obvious pleadings had to be struck — Bulwer was precluded from pursuing common law remedies for alleged substantive violations of human rights enactments — Defendants breached no duty and committed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pursuing their lawful rights under Residential Tenancy Act — Residential Tenancy Act, s. 58.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defendants to strike Bulwer's pleadings allowed — Bulwer, who suffered mental health challenges, claimed defendants failed to adequately investigate complaints by other tenants before serving him with eviction notice that caused him psychological damage — Arbitrator under Residential Tenancy Act had cancelled eviction notice — Plain and obvious pleadings had to be struck — Bulwer was precluded from pursuing common law remedies for alleged substantive violations of human rights enactments — Defendants breached no duty and committed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pursuing their lawful rights under Residential Tenancy Act — Residential Tenancy Act, s. 58.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defendants to strike Bulwer's pleadings allowed — Bulwer, who suffered mental health challenges, claimed defendants failed to adequately investigate complaints by other tenants before serving him with eviction notice that caused him psychological damage — Arbitrator under Residential Tenancy Act had cancelled eviction notice — Plain and obvious pleadings had to be struck — Bulwer was precluded from pursuing common law remedies for alleged substantive violations of human rights enactments — Defendants breached no duty and committed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pursuing their lawful rights under Residential Tenancy Act — Residential Tenancy Act, s. 58.</w:t>
      </w:r>
    </w:p>
    <w:p>
      <w:pPr>
        <w:jc w:val="both"/>
        <w:rPr>
          <w:rFonts w:ascii="arial" w:eastAsia="arial" w:hAnsi="arial" w:cs="arial"/>
          <w:sz w:val="20"/>
          <w:lang w:val="en-US" w:eastAsia="en-US" w:bidi="ar-SA"/>
        </w:rPr>
      </w:pPr>
      <w:bookmarkStart w:id="28" w:name="Legislation Cited_2"/>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8"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Human Rights Act, </w:t>
      </w:r>
      <w:hyperlink r:id="rId136" w:history="1">
        <w:r>
          <w:rPr>
            <w:rFonts w:ascii="arial" w:eastAsia="arial" w:hAnsi="arial" w:cs="arial"/>
            <w:i/>
            <w:color w:val="0077CC"/>
            <w:sz w:val="20"/>
            <w:u w:val="single"/>
            <w:shd w:val="clear" w:color="auto" w:fill="FFFFFF"/>
            <w:lang w:val="en-US" w:eastAsia="en-US" w:bidi="ar-SA"/>
          </w:rPr>
          <w:t>R.S.C. 1985, c. H-6, s. 3</w:t>
        </w:r>
      </w:hyperlink>
      <w:r>
        <w:rPr>
          <w:rFonts w:ascii="arial" w:eastAsia="arial" w:hAnsi="arial" w:cs="arial"/>
          <w:color w:val="000000"/>
          <w:sz w:val="20"/>
          <w:lang w:val="en-US" w:eastAsia="en-US" w:bidi="ar-SA"/>
        </w:rPr>
        <w:t>,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hyperlink r:id="rId137" w:history="1">
        <w:r>
          <w:rPr>
            <w:rFonts w:ascii="arial" w:eastAsia="arial" w:hAnsi="arial" w:cs="arial"/>
            <w:i/>
            <w:color w:val="0077CC"/>
            <w:sz w:val="20"/>
            <w:u w:val="single"/>
            <w:shd w:val="clear" w:color="auto" w:fill="FFFFFF"/>
            <w:lang w:val="en-US" w:eastAsia="en-US" w:bidi="ar-SA"/>
          </w:rPr>
          <w:t>R.S.B.C. 1996, c. 210, s. 10</w:t>
        </w:r>
      </w:hyperlink>
      <w:r>
        <w:rPr>
          <w:rFonts w:ascii="arial" w:eastAsia="arial" w:hAnsi="arial" w:cs="arial"/>
          <w:color w:val="000000"/>
          <w:sz w:val="20"/>
          <w:lang w:val="en-US" w:eastAsia="en-US" w:bidi="ar-SA"/>
        </w:rPr>
        <w:t>,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hyperlink r:id="rId138" w:history="1">
        <w:r>
          <w:rPr>
            <w:rFonts w:ascii="arial" w:eastAsia="arial" w:hAnsi="arial" w:cs="arial"/>
            <w:i/>
            <w:color w:val="0077CC"/>
            <w:sz w:val="20"/>
            <w:u w:val="single"/>
            <w:shd w:val="clear" w:color="auto" w:fill="FFFFFF"/>
            <w:lang w:val="en-US" w:eastAsia="en-US" w:bidi="ar-SA"/>
          </w:rPr>
          <w:t>S.B.C. 2002, c. 78, s. 6</w:t>
        </w:r>
      </w:hyperlink>
      <w:r>
        <w:rPr>
          <w:rFonts w:ascii="arial" w:eastAsia="arial" w:hAnsi="arial" w:cs="arial"/>
          <w:color w:val="000000"/>
          <w:sz w:val="20"/>
          <w:lang w:val="en-US" w:eastAsia="en-US" w:bidi="ar-SA"/>
        </w:rPr>
        <w:t>, s. 47, s. 47(4), s. 58, s. 58(4), s. 59(5), s. 67, s. 96.1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4"/>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A.M. Bookman.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4"/>
      <w:bookmarkEnd w:id="30"/>
      <w:r>
        <w:pict>
          <v:line id="_x0000_s1050"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BAIRD J."/>
            <w:bookmarkEnd w:id="31"/>
            <w:r>
              <w:rPr>
                <w:rFonts w:ascii="arial" w:eastAsia="arial" w:hAnsi="arial" w:cs="arial"/>
                <w:b/>
                <w:color w:val="000000"/>
                <w:sz w:val="30"/>
                <w:lang w:val="en-US" w:eastAsia="en-US" w:bidi="ar-SA"/>
              </w:rPr>
              <w:t>BAIRD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Canadian Mental Health Association, Port Alberni Branch ("CMHA-PA"), Bob Hargreaves, and TPM Management Ltd apply under Rule 9-5(1) to strike the claimant Perry Bulwer's pleadings herein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test for the remedy sought is whether, assuming the facts in the amended notice of civil claim to be true, it is plain and obvious that the plaintiff's case discloses no reasonable cause of action and is destined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Other than a portion of the claim based on statutory human rights law, Mr. Bulwer's lawsuit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alleges that the defendants failed to adequately investigate complaints against him by other tenants in his building before serving him with an eviction notice that caused him psychological damage. He says that he was never issued a warning, asked for his side of the story, given a chance to respond, or offered an opportunity to resolve matters informally or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submit that properly construed the amended notice of civil claim refers to matters reserved for resolution under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Alternatively they argue that the claim seeks to establish a duty of care that does not exist and should not be recognised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Bulwer was a tenant in one of 21 units controlled by CMHA-PA in an apartment building in Port Alberni. These units were offered at subsidised rates to clients of the organization including Mr. Bulwer who suffered from mental health challenges. Bob Hargreaves was CMHA-PA's executive director. TPM Management Ltd. managed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claimant is a law school graduate and non-practicing member of the bar. He suffers from post-traumatic stress disorder, fibromyalgia and major depression. He lived in Vancouver until a few years ago but his modest disability income went only so far and he returned to his home town of Port Alberni to cut costs. Unfortunately this meant that he was disconnected from his medical advisors on the mainland, including a physician who stopped prescribing his anti-depressants because she could not monitor him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time Mr. Bulwer found himself ill, impoverished, and faced with homelessness. In April 2013 CMHA-PA came to his rescue with the subsidised tenancy to which I have referred. At the time Mr. Bulwer was suffering from a major depressive episode, his PTSD symptoms were in full flight, and he was having suicidal ideations. He told me that CMHA-PA saved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Unfortunately, it appears that between April and October 2013 CMHA-PA received complaints about Mr. Bulwer from other tenants in the building, and on October 31, 2013, he was served with a 30-day eviction notice for cause under s. 47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The notice said that Mr. Bulwer "significantly interfered with or unreasonably disturbed another occupant or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November 4, 2013, Mr. Bulwer filed a dispute under s. 47(4)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an arbitral hearing was scheduled for December 17, 2013. No one from CMHA-PA attended this hearing. The arbitrator ordered the eviction notice cancelled and declared that Mr. Bulwer's tenancy continued in full force and effect. As things turned out Mr. Bulwer continued living in his subsidised apartment for many months before moving out of his own 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Bulwer claims that the unexpected psychological blow of receiving the eviction notice was a heavy one which caused him significant harm. He says that he became acutely anxious about the renewed spectre of homelessness. His PTSD and depression symptoms were reactivated. He was tormented anew by thoughts of self-harm. He claims that he was twice threatened with eviction after the arbitral hearing, including once by an employee of TPM Management Ltd., adding to the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will stress once more that on an application such as this I must consider only Mr. Bulwer's pleadings and assume the facts set out in them to be true. Nevertheless, if only for the sake of a coherent narrative, I note that CMHA-PA claims to have attempted multiple meetings with Mr. Bulwer to discuss the complaints but he refused to answer the door of his apartment. Mr. Bulwer denies this but says in any event that an unexpected knock on his door would have triggered his PTSD symptoms preventing him from answering it. Finally, I was told that CMHA-PA did not attend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arbitral hearing because complaints concerning Mr. Bulwer subsided after the eviction notice was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B.C. HUMANS RIGHTS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protects residential tenants against discrimination in the following terms: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to a person or class of persons the right to occupy, as a tenant, space that is represented as being available for occupancy by a tenant,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discriminate against a person or class of persons regarding a term or condition of the tenancy of the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race, colour, ancestry, place of origin, religion, marital status, family status, physical or mental disability, sex, sexual orientation, age or lawful source of income of that person or class of persons, or of any other person or class of persons.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Tenants who suffer discrimination contrary to this prohibition may bring a complaint before a member or panel of the B.C. Human Rights Tribunal and, if successful, s. 37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remedies including compensation for injury to dignity, feelings and self-respect.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Bulwer's amended notice of civil claim includes allegations of wrongful discrimination contrary to s. 10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under "Relief Sought" he seeks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remedies. His pleadings also refer to ss. 3 and 6 of the </w:t>
      </w:r>
      <w:r>
        <w:rPr>
          <w:rFonts w:ascii="arial" w:eastAsia="arial" w:hAnsi="arial" w:cs="arial"/>
          <w:i/>
          <w:color w:val="000000"/>
          <w:sz w:val="20"/>
          <w:lang w:val="en-US" w:eastAsia="en-US" w:bidi="ar-SA"/>
        </w:rPr>
        <w:t>Canadian Human Rights Act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 which is federal legislation having no application to his circumstances. Mr. Bulwer's intention in drafting these claims, he told me, was to argue by analogy that such statutorily established norms of conduct support the existence of the duty of care for which he seeks common law recognition.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plain and obvious that the pleadings alleging human rights violations must be struck. Mr. Bulwer is precluded from pursuing common law remedies for alleged substantive violations of human rights enactments because these have been held to contain their own comprehensive enforcement schemes: see </w:t>
      </w:r>
      <w:r>
        <w:rPr>
          <w:rFonts w:ascii="arial" w:eastAsia="arial" w:hAnsi="arial" w:cs="arial"/>
          <w:i/>
          <w:color w:val="000000"/>
          <w:sz w:val="20"/>
          <w:lang w:val="en-US" w:eastAsia="en-US" w:bidi="ar-SA"/>
        </w:rPr>
        <w:t>Bhadauria v. Seneca College of Applied Arts &amp; Technology,</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The rationale for this limitation was repeated and approved in </w:t>
      </w:r>
      <w:r>
        <w:rPr>
          <w:rFonts w:ascii="arial" w:eastAsia="arial" w:hAnsi="arial" w:cs="arial"/>
          <w:i/>
          <w:color w:val="000000"/>
          <w:sz w:val="20"/>
          <w:lang w:val="en-US" w:eastAsia="en-US" w:bidi="ar-SA"/>
        </w:rPr>
        <w:t>Keays v. Honda Canada Inc.</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2008 2 S.C.R. 362</w:t>
        </w:r>
      </w:hyperlink>
      <w:r>
        <w:rPr>
          <w:rFonts w:ascii="arial" w:eastAsia="arial" w:hAnsi="arial" w:cs="arial"/>
          <w:color w:val="000000"/>
          <w:sz w:val="20"/>
          <w:lang w:val="en-US" w:eastAsia="en-US" w:bidi="ar-SA"/>
        </w:rPr>
        <w:t xml:space="preserve"> at paras. 63 to 66 citing policy concerns about indeterminate liability, forum shopping, and the need for deference to the specialised processes created by legislatures across the country to deal with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Bulwer and the CMHA-PA were parties to a standard form of residential tenancy agreement subject to regulation and enforcement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Dispute resolution is covered in Part 5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starting off with s. 58 which I will set out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(1) Except as restricted under this Act, a person may make an application to the director for dispute resolution in relation to a dispute with the person's landlord or tenant in respect of any of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 obligations and prohibitions under this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 and obligations under the terms of a tenancy agreement that</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required or prohibited under this Act,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 to</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tenant's use, occupation or maintenance of the rental unit, or</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common areas or services or facilities.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subsection (4), if the director accepts an application under subsection (1), the director must resolve the dispute under this Part unless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for an amount that is more than the monetary limit for claims under the Small Claims Act,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was not made within the applicable period specified under this Act,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dispute is linked substantially to a matter that is before the Supreme Court.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subsection (4), a court does not have and must not exercise any jurisdiction in respect of a matter that must be submitted to the director for dispute resolution under this Act.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may</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application, hear a dispute referred to in subsection (2) (a) or (c),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the dispute, make any order that the director may make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Considering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as a whole, including s. 6 ("Enforcing rights and obligations of landlords and tenants"), the correct interpretation of this mixture of mandatory and permissive language is this: if either a landlord or tenant has a dispute against the other concerning rights or obligations under a tenancy agreement or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assuming that it cannot be resolved by agreement, then either may apply to the director, who must conduct a hearing and resolve the dispute unless it is obvious that the complaint has no merit, the applicant owes fees payable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or the complaint is formally defective: see s. 59(5).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have no doubt that amongst the matters that must be submitted to the director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over which this court has no jurisdiction except on judicial review are disputes over the adequacy of a landlord's grounds for serving an eviction notice. As previously stated when such a notice was served upon Mr. Bulwer he pursued a dispute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and the director granted him a remedy. Furthermore s. 96.1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empowers the director to conduct investigations to ensure compliance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such that the duty Mr. Bulwer claims to be owed by the defendants might be said to devolve statutorily upon the director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privative language forbidding adjudication of such complaints in this court is strong and clear. It is subject only to the exceptions contained in s. 58(4) referring to claims over $25,000 and matters subsumed in other litigation properly before the court. The director is empowered by s. 67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to order damages for compensation or loss in any lesser amount, including aggravated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t>
      </w:r>
      <w:r>
        <w:rPr>
          <w:rFonts w:ascii="arial" w:eastAsia="arial" w:hAnsi="arial" w:cs="arial"/>
          <w:i/>
          <w:color w:val="000000"/>
          <w:sz w:val="20"/>
          <w:lang w:val="en-US" w:eastAsia="en-US" w:bidi="ar-SA"/>
        </w:rPr>
        <w:t>Sahota v. Vancouver Director of Residential Tenancy Branch</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2010 BCSC 750</w:t>
        </w:r>
      </w:hyperlink>
      <w:r>
        <w:rPr>
          <w:rFonts w:ascii="arial" w:eastAsia="arial" w:hAnsi="arial" w:cs="arial"/>
          <w:color w:val="000000"/>
          <w:sz w:val="20"/>
          <w:lang w:val="en-US" w:eastAsia="en-US" w:bidi="ar-SA"/>
        </w:rPr>
        <w:t xml:space="preserve">. The defendants argue that if Mr. Bulwer had wanted an investigation, compensation or other redress he should have pursued them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They say that Mr. Bulwer cannot look elsewhere for a remedy, and embedded in this submission is a note of incredulity that his claim could possibly be worth more than the director may lawfully order to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Bulwer's answer is that although his pleadings refer to statutory duties set out in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this is a tort action for non-pecuniary, aggravated, punitive, and special damages exceeding $25,000. He does not argue that the director lacks jurisdiction over the type or subject matter of the claim that he is advancing, only that his case belongs in Supreme Court because he is seeking an award that exceeds the director's limit. He told me that he rated his chances this high after reading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 case involving a plaintiff who became ill when he saw dead flies in an unopened bottle of water supplied by the defendant. On appeal the Supreme Court dismissed the claim on the issue of foreseeability, but along the way the trial judge had awarded over $340,000 in general and other damages for emotional stress and nervous shock. Mr. Bulwer told me that he is seeking compensation on a similar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this subject I pause briefly over a procedural detail. Section 58(4)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mandates that </w:t>
      </w:r>
      <w:r>
        <w:rPr>
          <w:rFonts w:ascii="arial" w:eastAsia="arial" w:hAnsi="arial" w:cs="arial"/>
          <w:i/>
          <w:color w:val="000000"/>
          <w:sz w:val="20"/>
          <w:lang w:val="en-US" w:eastAsia="en-US" w:bidi="ar-SA"/>
        </w:rPr>
        <w:t>on application</w:t>
      </w:r>
      <w:r>
        <w:rPr>
          <w:rFonts w:ascii="arial" w:eastAsia="arial" w:hAnsi="arial" w:cs="arial"/>
          <w:color w:val="000000"/>
          <w:sz w:val="20"/>
          <w:lang w:val="en-US" w:eastAsia="en-US" w:bidi="ar-SA"/>
        </w:rPr>
        <w:t xml:space="preserve"> the Supreme Court may hear a landlord-tenant dispute worth over $25,000. If this means that a preliminary application is required to address the likelihood of damages exceeding this amount before proceeding in this court then for present purposes, to move matters along, I propose to assume without deciding that Mr. Bulwer might prove such damages irrespective of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Is there a triable issue that the defendants owed Mr. Bulwer a duty to take care in investigating complaints against him before issuing an eviction notice? Such a duty has not been recognised before and the threshold question is whether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extended to include it: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If the answer to this question is conclusively "no", then the amended notice of civil claim has no prospect of success and should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may be worth emphasising that on this hearing, after some discussion, Mr. Bulwer conceded that damages for mental distress would not typically be available in circumstances such as those presented by this case. He agreed, in other words, that it was not reasonably foreseeable that a person of ordinary fortitude would suffer psychological injury of a compensable magnitude merely by receiving an eviction notice in a garden variety dispute with a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Whether he conceded it or not, this is certainly my view of the matter, to which I would add that generally speaking, when it comes to matters of tenure and quiet enjoyment, landlords and tenants owe one another nothing that is not covered in their private contracts or set out in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I reject in particular Mr. Bulwer's argument that there is any sort of analogy to be drawn between the legal expectations of a landlord dealing with a residential tenancy complaint and the duty owed by a police officer to the subject of a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Bulwer's remaining argument is that CMHA-PA owed him a specialised duty of care arising from its position as a mental health service provider fully aware of his particular sensibilities, deficits and frailties. He says that CMHA-PA's employees and agents knew or ought to have known that the threat of eviction from his subsidised dwelling was likely to cause him advanced mental distress. It is in the unusual circumstances of this more direct, nuanced and dependent landlord-tenant relationship that Mr. Bulwer says the triable combination of proximity and foreseeability is to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have decided that this argument is destined to fail. The relationship between the parties was contractual. Their bargain was in standard terms well known to everyone. At its most basic it involved CMHA-PA providing tenantable premises and quiet enjoyment in return for Mr. Bulwer's payment of rent and peaceful occupation. When other tenants complained about Mr. Bulwer CMHA-PA took remedial steps permitted by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There was nothing negligent about this. To the contrary, CMHA-PA had a duty to protect the rights and interests of its other tenants. In any event Mr. Bulwer successfully exercised his right to dispute the eviction notice and his tenancy continued uninterrupted as a result. He may have deserved no less but I have decided that legally speaking he was owed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summary, I do not accept the analogy that Mr. Bulwer has urged me to draw between landlords and police officers, and I have concluded that CMHA-PA breached no duty and committed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pursuing its lawful rights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If I am wrong, and there exists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based on the posited special relationship between the parties, then in my view the policy argument against the legal imposition of the duty is unanswerable. There can be no better way of guaranteeing that CMHA-PA and similar philanthropic organizations will abandon the vital work of providing affordable housing to vulnerable citizens than by burdening them with duties and liabilities not shared by other landlords: see generally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paragraphs 21-39.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the foregoing reasons, I have concluded that the amended notice of civil claim discloses no reasonable cause of action and is destined to fail. Accordingly the application is allowed, the pleadings are struck,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received no submissions concerning costs. If necessary a hearing on that issue may be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BAIRD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Chamberlain v. Pro Star Mechanical Technologies Ltd., [2014] B.C.J. No. 2669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22-24, 27-29,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24-28, 2012; July 15, 2013;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July 26, 2013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9, 2013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10-4153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1931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Tammy Marion Carol Chamberlain and Gary Ronald Chamberlain, Plaintiffs, and Pro Star Mechanical Technologies Ltd. and Trane Canada Co.,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 xml:space="preserve">Construction law — Liability — Grounds — Breach of contract — Defective workmanship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Action by plaintiffs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Plaintiffs retained defendant to design and install geothermal exchange system to heat and cool newly built home — Defendant failed to design and deliver proper functioning unit — System was negligently designed and installed — Plaintiffs awarded $29,535 for losses and expenses consequential to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plus $15,000 in non-pecuniary damages for mental distress and loss of enjoyment of life caused by breach of contract.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2"/>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Tammy and Ronald Chamberlain, against the defendant, Pro Star Mechanical Technologies,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plaintiffs built a home and retained the defendant to design and install a geothermal exchange system to heat and cool the home. Upon moving into the home, the plaintiffs encountered issues with the system. Although efforts were made to rectify the matter, the system never worked to the plaintiffs' satisfaction. The plaintiffs alleged that the system was negligently denied and installed. The plaintiffs alleged that the defendant breached the express terms of the parties' contract when it failed to install a system that met the performance specifications therein, breached an implied term that the pond required for the system was of sufficient depth, and breached an implied condition that the system would be reasonably fit for the purpose of heating and cooling their home. They sought damages to compensate for the replacement of the system.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1"/>
            <w:bookmarkEnd w:id="3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failed to design and deliver a properly functioning and efficient system in breach of the express terms of the contract. The ductwork installed by the defendant was deficient, the pipes were improperly insulated, the heat pump failed to function as required and malfunctioned consistently. The defendant failed to ensure the plaintiffs were informed of the dimensions of the pond and that the pond was sufficient for the system. Similarly, the system was not fit for the purpose it was purchased in breach of the Sale of Goods Act. The expert evidence established that the system was negligently designed and installed. There was no grounds for finding that the plaintiffs were contributorily negligent. The plaintiffs were awarded $29,535 for the losses and expenses consequential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plus a further $15,000 in non-pecuniary damages for the mental distress and loss of enjoyment of life caused by the defendant's breach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3"/>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3"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152" w:history="1">
        <w:r>
          <w:rPr>
            <w:rFonts w:ascii="arial" w:eastAsia="arial" w:hAnsi="arial" w:cs="arial"/>
            <w:i/>
            <w:color w:val="0077CC"/>
            <w:sz w:val="20"/>
            <w:u w:val="single"/>
            <w:shd w:val="clear" w:color="auto" w:fill="FFFFFF"/>
            <w:lang w:val="en-US" w:eastAsia="en-US" w:bidi="ar-SA"/>
          </w:rPr>
          <w:t>RSBC 1996, CHAPTER 410, s. 18</w:t>
        </w:r>
      </w:hyperlink>
      <w:r>
        <w:rPr>
          <w:rFonts w:ascii="arial" w:eastAsia="arial" w:hAnsi="arial" w:cs="arial"/>
          <w:color w:val="000000"/>
          <w:sz w:val="20"/>
          <w:lang w:val="en-US" w:eastAsia="en-US" w:bidi="ar-SA"/>
        </w:rPr>
        <w:t>(a)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5"/>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Lawless.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Pro Star Mechanical Technologies Ltd.: M. O'Meara.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5"/>
      <w:bookmarkEnd w:id="37"/>
      <w:r>
        <w:pict>
          <v:line id="_x0000_s1055"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G.R.J. GAUL J."/>
            <w:bookmarkEnd w:id="38"/>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2007, the plaintiffs Tammy and Gary Chamberlain purchased property in Shawnigan Lake on Vancouver Island and started building a dream home for themselves and their two school-aged children. During the course of the construction, the plaintiffs retained the defendant Pro Star Mechanical Technologies Ltd. ("Pro Star") to design and install a geothermal exchange system ("GXS") as a means of heating and cooling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moved into their new house in or around November 2007. Shortly thereafter problems arose with the GXS that Pro Star had installed. Although efforts were made to rectify the situation, the GXS never worked to the plaintiffs'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present action, the plaintiffs seek an award of damages from Pro Star for breach of contract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claim against the second named defendant, Trane Canada Co. ("Trane"), was discontinued on 27 January 2012 and consequently it took no further part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three principal questions to answer in this lawsuit are:</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Pro Star breach its contract with the plaintiffs?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Pro Star negligent in the work it performed for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a breach of contract and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Pro Star, what damages have the plaintiffs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Chamberlain is a Petty Officer Second Class with the Royal Canadian Navy and has been a member of the Canadian Armed Forces for approximately 19 years. During the time relevant to this litigation, he was stationed and working at Canadian Forces Base Esquimalt. Given the nature and intensity of his work, Mr. Chamberlain was often away from home for extended periods of time and consequently the principal manager of the plaintiffs' household and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general contractor for the construction of their Shawnigan Lake home was his wife, Tammy Chamberlain.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Neither of the plaintiffs had ever been involved in the construction of a house before, nor did they have any prior experience or knowledge regarding the design and installation of residential heating and cooling systems, including GXSs.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 Star is a British Columbia company that was incorporated in 1988. Pro Star's business includes designing, installing and servicing residential and commercial plumbing, heating, air conditioning and ventilation systems, including GXSs.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Wilfred Scheuer is the owner and founding president of Pro Star. Mr. Scheuer holds a certification from the instructor's program in plumbing, heating and air conditioning from Purdue University in Indiana, U.S.A. and is a trade qualified journeyman steamfitter. He is also a certified refrigeration mechanic and gas fitter and a Canadian Construction Association "Gold Seal Certified" project manager. According to Mr. Scheuer, this latter designation is similar to a bachelor's degree in construction management. Finally, Mr. Scheuer is certified by the Canadian GeoExchange Coalition to design and install GXSs.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Mr. Scheuer is regularly involved in the day-to-day operations of Pro Star, including dealing with clients and preparing quotes for projects, he is not generally involved in the actual installation of heating and cooling systems. Since 1988, Pro Star has installed approximately 100 GXSs, 25 of which have been similar to the one it designed and installed for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Geothermal Exchange Systems - The Basics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residential GXS has three essential components: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circuit of underground or underwater pipes outside of the house;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heat pump located inside the house to which the circuit of pipes is attached;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ductwork to distribute the heated or cooled air from the heat pump throughout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GXS can either be an "open-loop" or "closed-loop" system. An open-loop GXS uses ground water as its source of energy. In simple terms, a continual flow of water is drawn into a heat pump from an established source (e.g., a well). By means of a compressor in the heat pump, heat is extracted from the water and transferred to the air being circulated in the building. After the energy exchange has occurred, the water is discharged from the heat pump and returned to the environment (e.g., another well), thus completing the "open" circuit. In warmer weather, the heat-transfer process can be reversed and the heat pump can be used to cool warm air drawn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closed-loop GXS operates on the same energy extraction principles as an open-loop GXS, without the residual discharge of the energy source (i.e., water) into the environment. A closed-loop GXS collects energy from the ground or a body of water (e.g., a pond) via a continuous circuit of underground or underwater pipes connected to a heat pump. An antifreeze solution is circulated through the pipes, and again by means of a compressor in the heat pump, heat is extracted from the solution and transferred to the air in the house. The cooling mode of the heat pump allows for the reversal of this process. Unlike an open-loop GXS where the water is returned to the environment, the antifreeze solution in the closed-loop never leaves the pipes or the heat pump.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early part of 2007, the plaintiffs began investigating the possibility of using a GXS as the principal means of heating and cooling their home. As a result of his research, Mr. Chamberlain contacted Pro Star. In his initial conversation with Mr. Scheuer, Mr. Chamberlain indicated that he and his wife wished to have a GXS installed in the home they were building. Subsequent to that conversation, Mr. Chamberlain provided Mr. Scheuer with a copy of the plan drawings for their home. Mr. and Mrs. Chamberlain also met with Mr. Scheuer at their Shawnigan Lake property and escorted him about the property so that he could get a better understanding and appreciation of its dimensions and its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were further discussions between the plaintiffs and Mr. Scheuer regarding the type of GXS that would best suit the Chamberlains' needs. Eventually the plaintiffs chose a pond-based, closed-loop GXS (the "Chamberlain GXS"). The Chamberlain GXS consisted of six essential elements: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pond with sufficient water to act as both a thermal energy source for heating and a thermal energy sink for cooling (the "Pond");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pond heat exchanger ("PHX") consisting of a series of loops of plastic pipe containing an antifreeze solution, placed at the bottom of the Pond and connected to a heat pump inside the house;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heat pump to circulate the antifreeze solution through the PHX loops and to extract and transfer the energy derived from the PHX to the house and vice versa;</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auxiliary electric heating coil for use in the event the heat pump malfunctions or cannot extract energy from the PHX;</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forced-air unit to distribute throughout the house the air that has been warmed or cooled by the heat pump;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ductwork to channel the heated or cooled air from the heat pump to the various rooms in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Neither party disputes the fact that a valid contract existed between them for the design and installation of the Chamberlain GXS (the "Contract"). The terms of the Contract were set out in the following email dated 6 June 2007 from Mr. Scheuer to Mr. Chamberlain: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quote is as follows: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Trane horizontal 4 ton geo thermal heat pump with dual pump package, desuperheater package, variable speed fan option, digital Honeywell thermostat. 10 kw stand by electric heating coil is included also...</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fabricate and install geo loop coil pond loop, loops strapped to galvanized fence panels, weighed down with concrete blocks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connect tubing from house to pond loop, charge system with non toxic propylene glycol and water solution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duct work for air handler and includes for 21 supply air outlets, 4-5 return air grills, one fresh air inlet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connect desuperheater outlets to the domestic hot water tank, note hot water tank supplied by plumber.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price for the system as described is $29,484.00 plus GST.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system will provide heating, cooling, dehumidification and air filtration for your home at very efficient operating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included: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power wiring</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bathroom exhaust fans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 exhaust hood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excavation or backfill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boat is required to drop in the pond loops, boat supplied by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would like to proceed contact me by email or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Within a few days of receiving Mr. Scheuer's email, Mr. Chamberlain contacted him and confirmed that the plaintiffs accepted Pro Star's proposal. Having received the go-ahead from the plaintiffs, Pro Star began work on the design of the Chamberlain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Towards the end of July 2007, Pro Star began installing the ductwork at the plaintiffs' home. Around this same time, the plaintiffs began the excavation of the Pond. The heat pump was delivered to the plaintiffs' residence in August. In September 2007, the heat pump was installed in the basement of the plaintiffs' home and the PHX was installed in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By the end of October 2007, Pro Star had completed its work on the Chamberlain GXS and had issued its final invoice to the plaintiffs. The plaintiffs paid that invoice which brought the total amount they had paid to Pro Star to $31,253.04.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moved into their new home towards the end of November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Depth of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Much evidence was led at trial about the Pond that was needed for the Chamberlain GXS and particularly what depth the plaintiffs were told it needed to be so that the PHX would function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Chamberlain testified that prior to starting the excavation of the Pond, Mr. Scheuer told him that it needed to be as deep as possible and that the loops in the PHX had to be covered by at least seven feet of water. In cross-examination, Mr. Chamberlain disagreed with the suggestion that Mr. Scheuer had told him that the Pond needed to be 20 feet deep. Mr. Chamberlain insisted that Mr. Scheuer had told him that the pipes in the Pond needed to be covered by 7 feet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Chamberlain testified that she specifically asked Mr. Scheuer how deep the Pond needed to be, when she, her husband and Mr. Scheuer toured the Chamberlain property in the summer of 2007. Mrs. Chamberlain was firm in her evidence that Mr. Scheuer said the Pond needed to be a minimum of 9 feet with 2 feet of water for the loops of pipe and at least 7 feet of water above the loops. Like Mr. Chamberlain, Mrs. Chamberlain was steadfast in her contention that Mr. Scheuer had never told her that the Pond needed to be 20 feet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examination-in-chief, Mr. Scheuer testified that at his initial meeting in the summer of 2007 with the plaintiffs on their property, he told them that their Pond needed to be 25 feet deep. His testimony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Chamberlains tell you anything else about what they proposed to do with the area for the pond, such as how big they were going to make it, the area, the depth,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 discussion with the Chamberlains regarding the previous contractor that was there, and they brought up some points that he told them about the pond.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they tell you that they were going to be making it of any particular area or depth?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the exact size,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make any recommendation or instruction at that point about the size or depth of the pond?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said it was a very small pond for a dew application. The only way it could work is if it was significantly made deeper.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say "it was a small pond", do you mean what you were looking at with the weeds coming out of it, two, three, four feet deep?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 plus the contour of the road and you could see where there could be a pond. So, even excavating it you are still going to get a fairly small pond.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was it what was proposed by the Chamberlains you thought was still going to be a small pond?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them of any particular depth that the pond should be, at that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 25 feet is my standard answer now. I might have said more, but I believe 25 feet.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cross-examined regarding his discussion with the plaintiffs about the depth of the pond, Mr. Scheuer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direct evidence you said this was the quote that you produced after your attendance at the site of the Chamberlains,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that site visit, there was no pond that was present. It was simply the intention of the Chamberlains to create a pond out of the marshy area that you observed?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 not provide any express direction as to how deep that pond would have to be,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discussed it verbally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no specific recollection of telling the Chamberlains how deep the pond had to be, do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because they brought up a discussion they had with the previous contractor and they talked about the size of it with him quite thoroughly and they brought that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have a specific recollection of telling the Chamberlains how deep the pond had to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exact number, I do not. But based on our standard procedure, our normal range for ponds is from 20 minimum to 30 feet.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appreciate that you are saying what you usually tell people, but that is not what I am asking you. I'm asking you what you said to the Chamberlains for their pond, in terms of depth?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remember verbatim of that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you can't recall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recall the discussion because it was a deep discussion about the pond from the previous contractor, so I remember that part very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 not tell the Chamberlains that the pond had to be 20 feet deep,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have told them 20 to 30, but the exact wording I do not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ask you what you would have told them. I asked you what you did tell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remember a verbatim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my opinion, the evidence of the plaintiffs with respect to what Mr. Scheuer said about the required depth of the Pond is more reliable than that of Mr. Scheuer. Both of the plaintiffs were convincing when they testified that Mr. Scheuer had told them the Pond needed to have 7 feet of water above the PHX loops and that there had never been any suggestion that it needed to be anywhere near 20 to 25 feet deep. Mr. Scheuer, on the other hand was vague in his testimony, notwithstanding his assertion that he recalled his conversation with the Chamberlains clearly. The depth of the Pond was a critical issue for the proper functioning of the PHX and the GXS as a whole. Although the plaintiffs were responsible for excavating the Pond, they needed to know how deep they should make it. The only qualified person to tell them and the logical person to tell them was the person responsible for designing the GXS, Mr. Scheuer. In an email to Mrs. Chamberlain dated 17 February 2009, Mr. Scheuer indicated that the pond was "not as deep as originally </w:t>
      </w:r>
      <w:r>
        <w:rPr>
          <w:rFonts w:ascii="arial" w:eastAsia="arial" w:hAnsi="arial" w:cs="arial"/>
          <w:color w:val="000000"/>
          <w:sz w:val="20"/>
          <w:u w:val="single"/>
          <w:lang w:val="en-US" w:eastAsia="en-US" w:bidi="ar-SA"/>
        </w:rPr>
        <w:t>assumed</w:t>
      </w:r>
      <w:r>
        <w:rPr>
          <w:rFonts w:ascii="arial" w:eastAsia="arial" w:hAnsi="arial" w:cs="arial"/>
          <w:color w:val="000000"/>
          <w:sz w:val="20"/>
          <w:lang w:val="en-US" w:eastAsia="en-US" w:bidi="ar-SA"/>
        </w:rPr>
        <w:t xml:space="preserve"> it would be" (emphasis added). In another email exchange between Mrs. Chamberlain and Mr. Scheuer on 22 February 2010, Mrs. Chamberlain reiterated to Mr. Scheuer that he had told her and her husband in the summer of 2007 that the Pond only needed to have 7 feet of water above the PHX loops. Mr. Scheuer replied with "I do not recall saying 7 feet. That is pretty shallow." Nowhere in his response does he assert, as one would have expected were it true, that he told them the depth of the Pond needed to be 20 - 25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evidence of the plaintiffs that the Pond was excavated to a depth of approximately 10 feet when the PHX loops were installed in September 2007. I also accept that the size of the pond was increased in May 2008, June 2009 and June 2010, on the advice or direction of Pro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assert that Pro Star breached the express terms of the Contract when it failed to install a GXS that met the performance specifications the parties had agreed to in the Contract. Moreover, the plaintiffs maintain that Pro Star breached the implied condition that the GXS would be reasonably fit for the purpose of heating and cooling their home efficiently, contrary to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Finally, the plaintiffs maintain that the Pond's suitability for the GXS was an additional implied term of the Contract, and that Pro Star breached that term by failing to confirm prior to its installation of the PHX that the Pond was sufficient for the purposes of the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Pro Star says it fulfilled all aspects of the Contract, including the provision and installation of the GXS. Pro Star further asserts that the services and goods it provided to the Chamberlains were of merchantable quality and suitable for the purposes for which they were sold and consequently they met all of the requirements of the </w:t>
      </w:r>
      <w:r>
        <w:rPr>
          <w:rFonts w:ascii="arial" w:eastAsia="arial" w:hAnsi="arial" w:cs="arial"/>
          <w:i/>
          <w:color w:val="000000"/>
          <w:sz w:val="20"/>
          <w:lang w:val="en-US" w:eastAsia="en-US" w:bidi="ar-SA"/>
        </w:rPr>
        <w:t>Sales of Goods Act</w:t>
      </w:r>
      <w:r>
        <w:rPr>
          <w:rFonts w:ascii="arial" w:eastAsia="arial" w:hAnsi="arial" w:cs="arial"/>
          <w:color w:val="000000"/>
          <w:sz w:val="20"/>
          <w:lang w:val="en-US" w:eastAsia="en-US" w:bidi="ar-SA"/>
        </w:rPr>
        <w:t>. Finally, Pro Star denies there was an implied term of the Contract that it would ensure the Pond was of a sufficient depth for the purposes of the Chamberlain GXS.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Express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Contract between the parties was for the provision of a GXS at a price and with the specifications set out in Pro Star's email of 6 June 2007. The plaintiffs say they did not get from Pro Star what they were entitled to and what they paid for under the Contract; that is, a functioning GXS that provided and had "very efficient operating costs". On the evidence before me, I find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ductwork installed by Pro Star was deficient, including a failure to install the proper number of air outlets;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 Star failed to properly insulate the pipes around the heat pump, leading to excessive condensation;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heat pump installed by Pro Star was unduly loud and vibrated excessively. On one occasion the vibration caused an electrical arc that melted some of the heat pump's wiring, resulting in a strong odour of burnt electronics entering the plaintiffs' living space. On another occasion, the heat pump made so much unusual noise that Mr. Chamberlain was required to turn off the power to the heat pump. When he went to the basement to investigate, there was smoke coming from the heat pump.</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heat pump was operating and supposedly warming the plaintiffs' house, there was an uneven distribution of warm air throughout the house resulting in a wide variation of temperatures in the various rooms.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February 2008 and November 2010, the heat pump malfunctioned and ceased operating approximately 250 times. Most often the malfunction caused the auxiliary electric heating system to engage resulting in a higher consumption of hydroelectricity.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PHX installed by Pro Star was not connected or installed properly. Efforts by Pro Star between 2008 and 2010 to repair the Chamberlain GXS, were unsuccessful and it was never able to determine why the GXS did not operate as it was supposed to.</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Chamberlain GXS continued to fail throughout 2010 and into 2011. In particular, the heat pump continued to malfunction and cease operating. In May 2011, Jason Rockson of Mercury Refrigeration Products &amp; Services Ltd., ("Mercury"), a competitor of Pro Star who had been retained by Pro Star to assist in investigating the problems with the Chamberlain GXS, was hired by the plaintiffs to remove and replace the GSX, including the PHX that had been installed by Pro Star. In December 2011, Mercury installed a new heat pump and adapted the ductwork in the plaintiffs' home.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installation of the new GXS by Mercury, the plaintiffs have not faced the problems they did with their former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 plaintiffs are correct when they claim that Pro Star failed to design and deliver a properly functioning and efficient GXS in breach of the express terms of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also argue that by failing to provide a properly designed, installed and functioning GXS, Pro Star breached s. 18(a)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and the implied term of the Contract that the GXS would be reasonably fit for the purpose for which it was purchased. That statutory provision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Implied conditions as to quality or fitness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Subject to this and any other Act, there is no implied warranty or condition as to the quality or fitness for any particular purpose of goods supplied under a contract of sale or lease, except as follows: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except that in the case of a contract for the sale or lease of a specified article under its patent or other trade name, there is no implied condition as to its fitness for any particular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my view this provision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applies to the Contract, given that Pro Star's regular business includes the design and installation of GXSs and the plaintiffs made it known to Pro Star that they were relying upon its expertise and advice in their selection of a GXS. The "trade name exception" does not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Pro Star maintains that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does not require that a product be suitable for every purpose within the range of purposes for which it is sold. According to Pro Star, it is sufficient that the product sold is suitable for one or more of those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question that I must answer is whether Pro Star breached the implied warranty regarding the quality and fitness of the Chamberlain GXS. In my view, there is ample evidence that, notwithstanding the significant efforts of Pro Star, the Chamberlain GXS never functioned properly and continually failed to provide efficient heating and cooling of the plaintiffs' home. The failure of the heat pump resulted in the plaintiffs having to rely on the auxiliary electric heating coil to heat their home at increased hydroelectric costs. Moreover, I accept the plaintiffs' evidence that the forced air unit and the ductwork failed to distribute the warmed air evenly throughout their home and at times the temperature in the house dropped to the low 60s Fahrenheit.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opinion, the GXS designed and installed by Pro Star was not fit for the purpose it was purchased and therefore there was a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Implied Term of the Contract: Depth of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Contract that Pro Star proposed to the plaintiffs and the plaintiffs accepted expressly excluded "excavation or backfill". While the wording could have been more precise, the parties agree this term meant the plaintiffs were responsible for the excavation of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the plaintiffs acknowledge that the creation of the Pond was their responsibility, they point to fact that the Contract expressly required Pro Star to "fabricate and install geo loop coil pond loop". With this latter fact in mind, the plaintiffs assert that the Contract included an implied term that Pro Star would properly advise them of necessary dimensions of the Pond, and in particular its depth, to ensure it was suitable for the PHX Pro Star was to design and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Pro Star denies that the Contract contained any implied term regarding the creation of the Pond. In this regard, it points to what it says is the clear wording of the Contract that excluded it from having anything to do with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Bank of Nova Scotia v. Horgan</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(1985), 30 B.L.R. 293</w:t>
        </w:r>
      </w:hyperlink>
      <w:r>
        <w:rPr>
          <w:rFonts w:ascii="arial" w:eastAsia="arial" w:hAnsi="arial" w:cs="arial"/>
          <w:color w:val="000000"/>
          <w:sz w:val="20"/>
          <w:lang w:val="en-US" w:eastAsia="en-US" w:bidi="ar-SA"/>
        </w:rPr>
        <w:t xml:space="preserve"> (C.A.), the British Columbia Court of Appeal considered and reviewed the law on implied terms of contracts. In doing so the court adopted a number of principles articulated in the jurisprudence of the United Kingdom. At paras. 18 to 20 of his reasons, Hinkson J.A.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first of those decisions commonly cited in this context is Reigate v. </w:t>
      </w:r>
      <w:r>
        <w:rPr>
          <w:rFonts w:ascii="arial" w:eastAsia="arial" w:hAnsi="arial" w:cs="arial"/>
          <w:i/>
          <w:color w:val="000000"/>
          <w:sz w:val="20"/>
          <w:lang w:val="en-US" w:eastAsia="en-US" w:bidi="ar-SA"/>
        </w:rPr>
        <w:t>Union Manufacturing Company (Ramsbottom) Ltd.</w:t>
      </w:r>
      <w:r>
        <w:rPr>
          <w:rFonts w:ascii="arial" w:eastAsia="arial" w:hAnsi="arial" w:cs="arial"/>
          <w:color w:val="000000"/>
          <w:sz w:val="20"/>
          <w:lang w:val="en-US" w:eastAsia="en-US" w:bidi="ar-SA"/>
        </w:rPr>
        <w:t xml:space="preserve"> (1918) 1 K.B. 592. Lord Justice Scrutton said at p. 605: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term can only be implied if it is necessary in the business sense to give efficacy to the contract; that is, if it is such a term that it can confidently be said that if at the time the contract was being negotiated someone had said to the parties, "What will happen in such a case," they would both have replied, "Of course, so and so will happen; we did not trouble to say that; it is too clear." Unless the Court comes to some such conclusion as that, it ought not to imply a term which the parties themselves have not expressed."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next case in this line often referred to is </w:t>
      </w:r>
      <w:r>
        <w:rPr>
          <w:rFonts w:ascii="arial" w:eastAsia="arial" w:hAnsi="arial" w:cs="arial"/>
          <w:i/>
          <w:color w:val="000000"/>
          <w:sz w:val="20"/>
          <w:lang w:val="en-US" w:eastAsia="en-US" w:bidi="ar-SA"/>
        </w:rPr>
        <w:t>Shirlaw v. Southern Foundries</w:t>
      </w:r>
      <w:r>
        <w:rPr>
          <w:rFonts w:ascii="arial" w:eastAsia="arial" w:hAnsi="arial" w:cs="arial"/>
          <w:color w:val="000000"/>
          <w:sz w:val="20"/>
          <w:lang w:val="en-US" w:eastAsia="en-US" w:bidi="ar-SA"/>
        </w:rPr>
        <w:t xml:space="preserve"> (1926) Ltd. (1939) 2 K.B. 206, affirmed [1940] A.C. 707. MacKinnon, L.J. said at p. 227: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"Prima facie that which in any contract is left to be implied and need not be expressed is something so obvious that it goes without saying; so that, if, while the parties were making their bargain, an officious bystander were to suggest some express provision for it in their agreement, they would testily suppress him with a common 'Oh,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Finally, I will refer to the decision in </w:t>
      </w:r>
      <w:r>
        <w:rPr>
          <w:rFonts w:ascii="arial" w:eastAsia="arial" w:hAnsi="arial" w:cs="arial"/>
          <w:i/>
          <w:color w:val="000000"/>
          <w:sz w:val="20"/>
          <w:lang w:val="en-US" w:eastAsia="en-US" w:bidi="ar-SA"/>
        </w:rPr>
        <w:t>Luxor (Eastbourne) Ltd. v. Cooper</w:t>
      </w:r>
      <w:r>
        <w:rPr>
          <w:rFonts w:ascii="arial" w:eastAsia="arial" w:hAnsi="arial" w:cs="arial"/>
          <w:color w:val="000000"/>
          <w:sz w:val="20"/>
          <w:lang w:val="en-US" w:eastAsia="en-US" w:bidi="ar-SA"/>
        </w:rPr>
        <w:t xml:space="preserve"> [1941] A.C. 108. Lord Wright said at p. 137: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presumption is that the parties have expressed every material term which they intended should govern their agreement, whether oral or in writing. But it is well recognized that there may be cases where obviously some term must be implied if the intention of the parties is not to be defeated, some term of which it can be predicated that "it goes without saying," some term not expressed but necessary to give the transaction such business efficacy as the parties must have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opinion, it was logical and necessary that Pro Star should inform the plaintiffs of the essential dimensions of the Pond and would ensure the Pond was sufficient and appropriate before installing the PHX. In my view this responsibility of Pro Star's was an implied term of the Contract. It is clear on the evidence that the plaintiffs relied on Mr. Scheuer to tell them how deep to dig the Pond and that without his advice they would not have known what depth was needed for the proper functioning of the GXS Pro Star was designing. The plaintiffs did not have any expertise in this area; whereas Pros Star clearly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is uncontroverted that the dimensions of the Pond, including its depth, were essential to the proper operation of the Chamberlain GXS. While Pro Star was not responsible for the actual excavation of the Pond, in my view it goes without saying that it was responsible to ensure the plaintiffs had the proper and necessary dimensions for the Pond before they commenced their work. Moreover, it was incumbent upon Pro Star to ensure the Pond was appropriate before it installed the PHX. Pro Star contracted with the plaintiffs to provide a GXS that worked properly and therefore it had a vested interest in the Pond being the proper depth. It makes no sense to me to suggest, as Pro Star has, that under the Contract it "had nothing to do with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opinion, Pro Star breached the Contract when it failed to ensure the plaintiffs were properly informed of the dimensions of the Pond and failed to ensure the Pond was sufficient before it installed the PHX.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Pro Star argues that it met its duty of care to the plaintiffs when it installed a GXS that reasonably fit the purpose for which it was intended. Respectfully, I do not agree. In my view the GXS Pro Star sold to the plaintiffs was not fit for efficiently heating and cooling their home and the reason for that was its negligent design and installation, with particular reference to the PHX.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Daniel Booy is a registered professional engineer with a degree in mechanical engineering from the University of Victoria and a diploma in mechanical engineering technology from Camosun College. He is also the president of Altum Engineering Ltd. Mr. Booy testified on behalf of the plaintiffs and was permitted to provided expert opinion evidence on the design, installation and operation of GXSs. Mr. Booy attended at the plaintiffs' residence in January 2010 and observed their GXS in operation. As of March 2010, he could not determine what was causing the on-going malfunctioning of the heat pump. His initial opinion at the time was that the PHX was adequately sized for the Chamberlain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Booy revised his initial opinion concerning the PHX after he had the opportunity to examine a revised diagram of the PHX and photographs of the PHX loops that had been recently removed from the Pond. In his expert report dated 25 November 2011, Mr. Booy explained his opinion of the PHX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BC Building Code references the CSA Standard C448 pertaining to the design and installation of geo-exchange systems: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"9.33.5.2. Appliance Installation Standards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provided in </w:t>
      </w:r>
      <w:r>
        <w:rPr>
          <w:rFonts w:ascii="arial" w:eastAsia="arial" w:hAnsi="arial" w:cs="arial"/>
          <w:color w:val="000000"/>
          <w:sz w:val="20"/>
          <w:u w:val="single"/>
          <w:lang w:val="en-US" w:eastAsia="en-US" w:bidi="ar-SA"/>
        </w:rPr>
        <w:t>Articles 9.33.5.3.</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9.33.5.4.</w:t>
      </w:r>
      <w:r>
        <w:rPr>
          <w:rFonts w:ascii="arial" w:eastAsia="arial" w:hAnsi="arial" w:cs="arial"/>
          <w:color w:val="000000"/>
          <w:sz w:val="20"/>
          <w:lang w:val="en-US" w:eastAsia="en-US" w:bidi="ar-SA"/>
        </w:rPr>
        <w:t>, the installation of heating and air-conditioning equipment, including mechanical refrigeration equipment, and including provisions for mounting, clearances and air supply, shall conform to</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CAN/CSA-B139-M, "Installation Code for Oil Burning Equipment," for the installation of oil burning equipment</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BC </w:t>
      </w:r>
      <w:r>
        <w:rPr>
          <w:rFonts w:ascii="arial" w:eastAsia="arial" w:hAnsi="arial" w:cs="arial"/>
          <w:color w:val="000000"/>
          <w:sz w:val="20"/>
          <w:u w:val="single"/>
          <w:lang w:val="en-US" w:eastAsia="en-US" w:bidi="ar-SA"/>
        </w:rPr>
        <w:t>Safety Standards Act</w:t>
      </w:r>
      <w:r>
        <w:rPr>
          <w:rFonts w:ascii="arial" w:eastAsia="arial" w:hAnsi="arial" w:cs="arial"/>
          <w:color w:val="000000"/>
          <w:sz w:val="20"/>
          <w:lang w:val="en-US" w:eastAsia="en-US" w:bidi="ar-SA"/>
        </w:rPr>
        <w:t xml:space="preserve"> and its following pursuant regulations: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Gas Safety Regulations for the installation of natural gas and propane burning equipment,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Safety Regulation,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Engineers, Boiler, Pressure Vessel and Refrigeration Safety Regulation for the installation of boilers, pressure vessels, pressure piping and mechanical refrigeration,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CAN/CSA-B365-M, "Installation Code for Solid-Fuel Burning Appliances and Equipment," or</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CAN/CSA-C448-M, "Design and Installation of Earth Energy Systems." (See also </w:t>
      </w:r>
      <w:r>
        <w:rPr>
          <w:rFonts w:ascii="arial" w:eastAsia="arial" w:hAnsi="arial" w:cs="arial"/>
          <w:color w:val="000000"/>
          <w:sz w:val="20"/>
          <w:u w:val="single"/>
          <w:lang w:val="en-US" w:eastAsia="en-US" w:bidi="ar-SA"/>
        </w:rPr>
        <w:t>Sentence 9.33.5.3.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installation shown in the above referenced files does not conform to the CSA Standard C448. It is my opinion that the installation of the original non-conforming PHX either led to or contributed to the "lock-outs" that were reported by the Owner. This finding led to a change of my opinion regarding the PHX compared to what I expressed in my review report called "Shawnigan Review Letter - Final Copy", dated March 12, 2010. I had previously suspected that the PHX was adequate to serve the building, but my site visit was on a relatively warm winter day and it is now my opinion that the PHX was operating poorly during colder weather and higher loading scenarios.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items caused me to revise my opinion regarding the effectiveness of the PHX:</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parallel 3/4-inch diameter 600 ft long PHX circuits were connected to 1-inch diameter run-out pipes to convey fluid to/from the heat pump. This run-out piping should have, in my opinion been 1-1/4 inch diameter with four 3/4-inch diameter 600 ft long PHX circuits connected to it. This would provide more flow area in the run-out piping and more surface area in the PHX piping, resulting in more effective heat exchange from the relatively small pond.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pipes in the PHX should have been high density polyethylene (HDPE) plastic pipes with heat fusion joints only. All PHX pipes not in the pond should have been buried underground. The photos provided to me show metallic fittings with above ground components. In addition to losing energy from being exposed to the surface air, the installed fittings wouldn't, in my opinion, be dependable in the long term. CSA Standard C448 indicates that all piping should be fused HDPE buried underground.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PHX circuits (bundles of piping) shown in the photos are not, in my opinion, acceptably configured to optimize heat transfer into the pipes. In my opinion, PHX circuits should be well spaced in a configuration similar to that shown in the new installation photos.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size of the pond should have triggered the installer to provide longer, well-spaced piping. Due to the layout of the PHX, it is my opinion that the PHX would not have provided an adequate amount of thermal energy to the heat pump. In my opinion, that would eventually lead to lock-outs of the heat pump during cooler weather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causing these "lock-outs", it is my opinion that the non-conforming PHX would have caused undue stress on the heat pump and that the life expectancy of the heat pump would have been compromised due to the operating condition resulting from connection to the PHX.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provision of the above referenced data allows me to firmly stand behind my opinion that the PHX was a leading cause of system failure in this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Mr. Booy's opinion, the PHX loops should have been laid out on the bottom of the Pond in a "slinky" fashion instead of simply piled on top of themselves with random spacers placed between the coils. He also opined that the ductwork installed by Pro Star was substandard in that it did not provide a reasonably even or balanced flow of warm or cool air throughout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Pro Star is critical of Mr. Booy's evidence and submits I should give it little weight because he was biased and more of an advocate in the plaintiffs' favour than an impartial expert witness. Although Mr. Booy did have an ongoing dialogue with the plaintiffs during the preparation of his expert report, I do not find this compromised his ability to be an impartial expert witness. In my view Mr. Booy testified in a direct, fair and objective manner regarding the scientific principles of GXSs and the standards expected of those who design and install these systems. Overall I found him to be a credible and reliable witness and I have accepted his evidence in its entirety, including his expert opinion on the Chamberlain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Both sides agree they discussed the depth of the Pond before it was excavated and in my view this confirms Pro Star knew and accepted that it had a role to play in the creation of the Pond. In my opinion, Pro Star did not examine the Pond properly, either prior to the installation of the PHX or when the problems with the GXS began to arise. This led Mr. Scheuer to blindly recommend to the plaintiffs that they keep making the Pond deeper. In good faith, the plaintiffs followed this advice. The result however was unnecessary trouble and expense for them, without any relief from the problems they were having with their GXS.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Pro Star's key failure and the element that created most of the difficulties associated with the Chamberlain GXS is the fact that the PHX loops were coiled on top of themselves and not spread out in the recommended "slinky" style to maximize the available PHX surface for heat exchange. While such a style is not mandatory, the evidence before me is that it is clearly the preferred and recommended approach and the one that makes the most geothermal sense. Mr. Scheuer was not present when the PHX was installed in the Pond. He left that task to his employees and in my view it was incumbent upon him to ensure they knew what they were doing. I am not satisfied he met that standard or that his employees were sufficiently aware of what was required for the proper installation of the PHX. Nor am I satisfied that Pro Star met the standard of care expected of it when it initially installed the PHX loops incorrectly and failed to address the problem in a timely and effective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Pro Star was also negligent in the installation of the heat pump itself and the ductwork in the house. The heat pump was unreasonably noisy and vibrated excessively. It was not installed on a vibration pad, as is the norm, but instead on wooden blocks. Pro Star attempted to address air flow issues in the plaintiffs' home but never did provide the number of air outlets required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Pro Star did not meet the CSA standards for the proper design and installation of a GXS, nor did it meet the generally accepted practice standards used in the industry. The plaintiffs summarize their criticism of Pro Star's approach to the PHX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than design an appropriate pond loop system, Pro Star took the pond loop coils, strapped them in a pile and sank them to some unknown depth in the pond, and then hoped that the heat exchange system would perform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opinion, the plaintiffs' assessment of Pro Star's approach to the PHX is accurate. When shown pictures of the PHX loops, Mr. Booy explained that they were not in conformity with the prevailing CSA Standard C448 and summarized his opinion by noting "What I saw, quite frankly, was appalling". I accept Mr. Booy's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Pro Star maintains that the Plaintiffs were contributorily negligent when they failed to follow Mr. Scheuer's direction that the Pond be excavated to a depth of 20 to 25 feet. Pro Star also asserts that the plaintiffs were aware that the Pond was of insufficient depth and failed to take the appropriate steps to rectify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there are no grounds to find the plaintiffs contributorily negligent. To begin with, I reject Pro Star's contention that Mr. Scheuer told the plaintiffs that the Pond needed to be 20 to 25 feet deep. Mr. Scheuer's evidence on this point was not clear and it was definitely not persuasive. The plaintiffs relied upon Mr. Scheuer's expertise and advice and created a Pond that allowed for 7 feet of water above the PHX loops. Moreover, they did their best to comply with what he told them after the PHX was installed and the GXS started malfunctioning. On three separate occasions they increased the Pond's capacity and each time it was as a result of Mr. Scheuer's advice. Moreover, whenever Mr. Scheuer suggested some other cause for the problems (e.g., poor supply of hydroelectricity), the plaintiffs took prompt action to investigate only to have their efforts prove fruitless.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seeks an award of damages for the losses and expenses they incurred as a result of Pro Star's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comply with the Contract. They also seek an award of non-pecuniary damages for the mental and emotional distress they have suffered, including loss of enjoyment of life, as a result of Pro Star's failure to provide them with a properly functioning GXS for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Joubarne v. Loodu</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2005 BCSC 1340</w:t>
        </w:r>
      </w:hyperlink>
      <w:r>
        <w:rPr>
          <w:rFonts w:ascii="arial" w:eastAsia="arial" w:hAnsi="arial" w:cs="arial"/>
          <w:color w:val="000000"/>
          <w:sz w:val="20"/>
          <w:lang w:val="en-US" w:eastAsia="en-US" w:bidi="ar-SA"/>
        </w:rPr>
        <w:t xml:space="preserve">, Madam Justice Arnold-Bailey addressed the issue of damages arising from a breach of contract and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At paras. 49 and 50, Justice Arnold-Bailey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SGA confirms that in the event of a breach of condition, a buyer may claim damages for non-delivery. These damages may be regarded as "consequential damages" because they are for the estimated loss directly and naturally resulting from the seller's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Under the SGA there are limits to a buyer's right to reject goods for breach of a condition. Under s. 15(4), if a buyer has accepted the goods, then a breach of condition must be treated as a breach of warranty. If this happens, the buyer's remedy is a claim for damages pursuant to s. 56, which states:</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breach of warranty by the seller, or if the buyer elects, or is compelled, to treat any breach of a condition on the part of the seller as a breach of warranty, the buyer is not merely because of the breach of warranty entitled to reject the goods, but the buyer may</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up against the seller the breach of warranty in diminution or extinction of the price,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an action against the seller for damages for the breach of warranty.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 of damages for breach of warranty is the estimated loss directly and naturally resulting, in the ordinary course of events, from the 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say the excess heating and hot water costs they were required to pay on account of Pro Star's actions amount to approximately $7,000. The plaintiffs claim these costs resulted from the GXS's failure and in particular the heat pump's malfunctioning which caused the more expensive auxiliary electrical heating coil to be engaged. Pro Star submits there was no evidence led at trial to support this claim or that would allow the court to infer the amount of additional hydroelectric expenses the plaintiffs may have incurred as a result of any act of Pro Star. In my view Pro Star is correct on this point. While I accept the auxiliary electrical heating system needed to be used more often than anticipated, I am not satisfied that I have the evidence necessary to determine the cost differential between using this auxiliary system as opposed to the heat pump. As such, this claim for damages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claim for $81.74 for the cost of "supply materials" from Staples Canada is equally vague and unsupported. This claim is denied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that the plaintiffs received inaccurate advice and directions from Pro Star regarding the electrical wiring required for the GXS and therefore its consequential claim for $400.00 for the rewiring that was required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the plaintiffs' troubles began with their GXS they naturally contacted Pro Star for assistance. They relied upon Pro Star to repair the system and fix the problems. On more than one occasion, Mr. Scheuer told the plaintiffs the root of the problem was their Pond and that it needed to be made deeper. The plaintiffs dutifully followed Mr. Scheuer's advice and raised the level of the Pond three times. In May 2008 they engaged the services of Taz Excavating. The cost to raise the Pond was $5,528.40, plus $1,500 for "blasted rock for retaining the driveway". The total, with tax, was $9,146.82. In June 2009, the plaintiffs paid Mr. Marty Fyfe $1,086.75 to raise the pond further. Finally, in June 2010, the plaintiffs paid Malahat Landscape $2,160 to raise the pond even further. There was also a charge of $3,200 for "crushed rock to repair driveway including trucking", which brought the amount paid to Malahat Landscape to $5,628. In total the plaintiffs paid $15,861.57 to have the size of the Pond increased. In my opinion most of those expenses were incurred as a direct result of Pro Star's negligent advice and its breach of the implied term of the Contract regarding the proper depth and size of the Pond. I am not, however, convinced that the expenses associated with "blasted rock" or "crushed rock" are sufficiently linked to Pro Star's actions or advice so as to render them consequential damages. I find the plaintiffs are entitled to $11,200.00 from Pro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GXS Pro Star supplied to the plaintiffs was defective and it never performed to the level it was supposed to. In my opinion, the plaintiffs were justified in retaining Mercury to design and install a new GXS. The cost associated with the new PHX was approximately $8,475.00. Although Trane supplied the plaintiffs with a new heat pump, free of charge, Mercury charged the plaintiffs $7,175.00 to install it and connect it to the PHX. In my view these costs are compensable damages as consequential losses resulting directly from the actions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Pro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further assert that they incurred the following costs on account of Pro Star's breach of the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$144.48 to Tower Fence Products Ltd., for galvanized tension wire and aluminium ties;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$874.72 to Draycore Construction Ltd., for the supply of rock for the plaintiffs' driveway;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$2,284.80 to Ed Brennan Excavating Ltd., for the excavation of the trench from the plaintiffs' house to the PHX;</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$1,3010.40 to Ed Brennan Excavating Ltd., for repairs to the plaintiffs' driveway;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$20.37 to Pro Star for air filters for the heat pump;</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$616.00 to Amerispec Inspection Services for "EcoEnergy audits" of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Except for the costs associated with excavating the trench between the plaintiffs' house and the PHX, I agree with Pro Star that the plaintiffs have failed to prove the other expenses were directly associated or as a consequence of Pro Star's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such, the plaintiffs are entitled to the $2,285.00 they paid to Ed Brennan Excavating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Non-Pecuniary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to the other relief sought in this action, the plaintiffs seek an award of non-pecuniary damages for the emotional distress and the loss of enjoyment of life they have suffered as a result of Pro Star's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Wharton v. Tom Harris Chevrolet Oldsmobile Cadillac Ltd.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the Court of Appeal upheld an award of $5,000 in non-pecuniary damages for the plaintiff's mental distress and inconvenience as a result of the defendant's failure over a period of two-and-a-half years to fix the audio system in a luxury vehicle it had sold to the plaintiff. Writing for the majority of the court, Madam Justice Levine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problem caused by the sound system breached the statutory warranty provided by s. 18(a)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that the automobile was reasonably fit for the purpose for which it was purchased. Non-pecuniary damages (of a modest amount) for mental distress (including anxiety, frustration and inconvenience) caused by the breach of warranty of fitness are recoverable "when the subject-matter of the contract is to provide peace of mind or freedom from distress" (</w:t>
      </w:r>
      <w:r>
        <w:rPr>
          <w:rFonts w:ascii="arial" w:eastAsia="arial" w:hAnsi="arial" w:cs="arial"/>
          <w:i/>
          <w:color w:val="000000"/>
          <w:sz w:val="20"/>
          <w:lang w:val="en-US" w:eastAsia="en-US" w:bidi="ar-SA"/>
        </w:rPr>
        <w:t>Warrington v. Great-West Life Assurance Co.</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(1996), 139 D.L.R. (4th) 18</w:t>
        </w:r>
      </w:hyperlink>
      <w:r>
        <w:rPr>
          <w:rFonts w:ascii="arial" w:eastAsia="arial" w:hAnsi="arial" w:cs="arial"/>
          <w:color w:val="000000"/>
          <w:sz w:val="20"/>
          <w:lang w:val="en-US" w:eastAsia="en-US" w:bidi="ar-SA"/>
        </w:rPr>
        <w:t xml:space="preserve"> (B.C.C.A.) at para. 19 per Newbury J.A.), and for "physical inconvenience and discomfort caused by the breach and mental suffering directly related to that inconvenience and discomfort" (</w:t>
      </w:r>
      <w:r>
        <w:rPr>
          <w:rFonts w:ascii="arial" w:eastAsia="arial" w:hAnsi="arial" w:cs="arial"/>
          <w:i/>
          <w:color w:val="000000"/>
          <w:sz w:val="20"/>
          <w:lang w:val="en-US" w:eastAsia="en-US" w:bidi="ar-SA"/>
        </w:rPr>
        <w:t>Farley v. Skinner</w:t>
      </w:r>
      <w:r>
        <w:rPr>
          <w:rFonts w:ascii="arial" w:eastAsia="arial" w:hAnsi="arial" w:cs="arial"/>
          <w:color w:val="000000"/>
          <w:sz w:val="20"/>
          <w:lang w:val="en-US" w:eastAsia="en-US" w:bidi="ar-SA"/>
        </w:rPr>
        <w:t>, [2001] 3 W.L.R. 899, [2001] H.L.J. No. 49 (H.L.) at paras. 14-16). In my view, both of these conditions apply in this case. The appellant did not raise the matter of mitigation at trial or accept the trial judge's invitation to make submissions on costs. In my view, it is too late to raise these issues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At para. 57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 Justice Levine reviewed the jurisprudence on the awarding of non-pecuniary damages where there has been an breach of contract and neatly summarized the legal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reasons for judgment in </w:t>
      </w:r>
      <w:r>
        <w:rPr>
          <w:rFonts w:ascii="arial" w:eastAsia="arial" w:hAnsi="arial" w:cs="arial"/>
          <w:i/>
          <w:color w:val="000000"/>
          <w:sz w:val="20"/>
          <w:lang w:val="en-US" w:eastAsia="en-US" w:bidi="ar-SA"/>
        </w:rPr>
        <w:t>Farley</w:t>
      </w:r>
      <w:r>
        <w:rPr>
          <w:rFonts w:ascii="arial" w:eastAsia="arial" w:hAnsi="arial" w:cs="arial"/>
          <w:color w:val="000000"/>
          <w:sz w:val="20"/>
          <w:lang w:val="en-US" w:eastAsia="en-US" w:bidi="ar-SA"/>
        </w:rPr>
        <w:t xml:space="preserve"> provide a summary and survey of the law as it has developed, in England, to date. They are helpful in analyzing and summarizing the principles derived from </w:t>
      </w:r>
      <w:r>
        <w:rPr>
          <w:rFonts w:ascii="arial" w:eastAsia="arial" w:hAnsi="arial" w:cs="arial"/>
          <w:i/>
          <w:color w:val="000000"/>
          <w:sz w:val="20"/>
          <w:lang w:val="en-US" w:eastAsia="en-US" w:bidi="ar-SA"/>
        </w:rPr>
        <w:t>Watts</w:t>
      </w:r>
      <w:r>
        <w:rPr>
          <w:rFonts w:ascii="arial" w:eastAsia="arial" w:hAnsi="arial" w:cs="arial"/>
          <w:color w:val="000000"/>
          <w:sz w:val="20"/>
          <w:lang w:val="en-US" w:eastAsia="en-US" w:bidi="ar-SA"/>
        </w:rPr>
        <w:t xml:space="preserve">, which are, in my view, applicable to the case at bar. In summary they are (borrowing the language from both </w:t>
      </w:r>
      <w:r>
        <w:rPr>
          <w:rFonts w:ascii="arial" w:eastAsia="arial" w:hAnsi="arial" w:cs="arial"/>
          <w:i/>
          <w:color w:val="000000"/>
          <w:sz w:val="20"/>
          <w:lang w:val="en-US" w:eastAsia="en-US" w:bidi="ar-SA"/>
        </w:rPr>
        <w:t>Watts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Farley</w:t>
      </w:r>
      <w:r>
        <w:rPr>
          <w:rFonts w:ascii="arial" w:eastAsia="arial" w:hAnsi="arial" w:cs="arial"/>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contract-breaker is not in general liable for any distress, frustration, anxiety, displeasure, vexation, tension, or aggravation which the breach of contract may cause to the innocent party.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is not absolute. Where a major or important part of the contract is to give pleasure, relaxation or peace of mind, damages will be awarded if the fruit of the contract is not provided or if the contrary result is instead procured.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cases not falling within the "peace of mind" category, damages are recoverable for inconvenience and discomfort caused by the breach and the mental suffering directly related to that inconvenience and discomfort. However, the cause of the inconvenience or discomfort must be a sensory experience as opposed to mere disappointment that the contract has been broken. If those effects are foreseeably suffered during a period when defects are repaired, they sound in damages even though the cost of repairs is not recoverable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[2006] 2 S.C.R. 3</w:t>
        </w:r>
      </w:hyperlink>
      <w:r>
        <w:rPr>
          <w:rFonts w:ascii="arial" w:eastAsia="arial" w:hAnsi="arial" w:cs="arial"/>
          <w:color w:val="000000"/>
          <w:sz w:val="20"/>
          <w:lang w:val="en-US" w:eastAsia="en-US" w:bidi="ar-SA"/>
        </w:rPr>
        <w:t>, the Supreme Court of Canada addressed the issue of awarding damages for mental distress in cases where there has been a breach of contract. At paras. 44-45, the court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We conclude that damages for mental distress for breach of contract may, in appropriate cases, be awarded as an application of the principle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The court should ask "what did the contract promise?" and provide compensation for those promises. The aim of compensatory damages is to restore the wronged party to the position he or she would have been in had the contract not been broken. As the Privy Council stated in </w:t>
      </w:r>
      <w:r>
        <w:rPr>
          <w:rFonts w:ascii="arial" w:eastAsia="arial" w:hAnsi="arial" w:cs="arial"/>
          <w:i/>
          <w:color w:val="000000"/>
          <w:sz w:val="20"/>
          <w:lang w:val="en-US" w:eastAsia="en-US" w:bidi="ar-SA"/>
        </w:rPr>
        <w:t>Wertheim v. 44 Chicoutimi Pulp Co.</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[1911] A.C. 301</w:t>
        </w:r>
      </w:hyperlink>
      <w:r>
        <w:rPr>
          <w:rFonts w:ascii="arial" w:eastAsia="arial" w:hAnsi="arial" w:cs="arial"/>
          <w:color w:val="000000"/>
          <w:sz w:val="20"/>
          <w:lang w:val="en-US" w:eastAsia="en-US" w:bidi="ar-SA"/>
        </w:rPr>
        <w:t>, at p. 307: "the party complaining should, so far as it can be done by money, be placed in the same position as he would have been in if the contract had been performed". The measure of these damages is, of course, subject to remoteness principles. There is no reason why this should not include damages for mental distress, where such damages were in the reasonable contemplation of the parties at the time the contract was made. This conclusion follows from the basic principle of compensatory contractual damages: that the parties are to be restored to the position they contracted for, whether tangible or intangible. The law's task is simply to provide the benefits contracted for, whatever their nature, if they were in the reasonable contemplation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It does not follow, however, that all mental distress associated with a breach of contract is compensable. In normal commercial contracts, the likelihood of a breach of contract causing mental distress is not ordinarily within the reasonable contemplation of the parties. It is not unusual that a breach of contract will leave the wronged party feeling frustrated or angry. The law does not award damages for such incidental frustration. The matter is otherwise, however, when the parties enter into a contract, an object of which is to secure a particular psychological benefit. In such a case, damages arising from such mental distress should in principle be recoverable where they are established on the evidence and shown to have been within the reasonable contemplation of the parties at the time the contract was made. The basic principles of contract damages do not cease to operate merely because what is promised is an intangible, like mental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were building their family dream-home. They wished to set a good example for their children and consequently they were diligent in their efforts to ensure their home was built using environmentally sensitive methods. They contracted with and relied on Pro Star to provide them with a properly functioning GXS that would be energy efficient and effective at ensuring the temperature in their home remained at a steady and comfortable level. Instead of having a peaceful and comfortably warmed and cooled home by means of an energy conserving environmentally-friendly GXS, the plaintiffs embarked upon a three-year odyssey of hit and miss attempts by Pro Star to remedy what was clearly a defective GXS. The plaintiffs endured three winters of ineffective home heating and increased hydroelectric bills. Their use and enjoyment of their home was diminished during this time because of the noise, vibration and continuing malfunctions of the heat pump. It was only after the entire GXS was replaced by a company other than Pro Star that the plaintiffs' home began to be heated and cooled properly. In my respectful opinion, the Contract falls into the "peace of mind" category explained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arriving at the quantum of non-pecuniary damages for the plaintiffs, I have kept in mind Justice Levine's words of caution at para. 63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 xml:space="preserve"> that an award of damages for mental distress from a breach of contract should be "restrained and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Kaira v. Nelson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2002 BCSC 1045</w:t>
        </w:r>
      </w:hyperlink>
      <w:r>
        <w:rPr>
          <w:rFonts w:ascii="arial" w:eastAsia="arial" w:hAnsi="arial" w:cs="arial"/>
          <w:color w:val="000000"/>
          <w:sz w:val="20"/>
          <w:lang w:val="en-US" w:eastAsia="en-US" w:bidi="ar-SA"/>
        </w:rPr>
        <w:t>, the court awarded the plaintiffs $25,000 in non-pecuniary damages for the loss of enjoyment of their home and the permanent diminution of its value following the defendant home inspector's failure to identify a permanent defect in the home prior to the plaintiffs purchasing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Commercial Electronics Ltd. v. Savics</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BCSC 1275</w:t>
        </w:r>
      </w:hyperlink>
      <w:r>
        <w:rPr>
          <w:rFonts w:ascii="arial" w:eastAsia="arial" w:hAnsi="arial" w:cs="arial"/>
          <w:color w:val="000000"/>
          <w:sz w:val="20"/>
          <w:lang w:val="en-US" w:eastAsia="en-US" w:bidi="ar-SA"/>
        </w:rPr>
        <w:t>, the court awarded $10,000 in non-pecuniary damages against an electronics company that had breached its contract with a property owner when it failed to install a properly functioning deluxe entertainment centre in the owner's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argue that the amount of distress and aggravation they had to endure over a period of three years warrants an award of non-pecuniary damages of between $30,000 to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its part, Pro Star asserts that it worked diligently for over three years to determine the problem or problems with the Chamberlain GXS and did so without charging the plaintiffs for its work. As such, Pro Star maintains there are no grounds to award the plaintiffs any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accept that Pro Star made a genuine attempt to resolve the puzzling troubles with the GXS it had designed and sold to the plaintiffs. Be that as it may, the stress on the Chamberlain family in having to live in a new home that was not properly heated and that had a continually malfunctioning heat pump was real and it resulted in a serious strain on the plaintiffs' marriage. While it has taken a significant amount of time, effort and expense to get a properly functioning GXS, the plaintiffs now have one, and therefore I do not find their situation to be as egregious as the one in </w:t>
      </w:r>
      <w:r>
        <w:rPr>
          <w:rFonts w:ascii="arial" w:eastAsia="arial" w:hAnsi="arial" w:cs="arial"/>
          <w:i/>
          <w:color w:val="000000"/>
          <w:sz w:val="20"/>
          <w:lang w:val="en-US" w:eastAsia="en-US" w:bidi="ar-SA"/>
        </w:rPr>
        <w:t>Kaira</w:t>
      </w:r>
      <w:r>
        <w:rPr>
          <w:rFonts w:ascii="arial" w:eastAsia="arial" w:hAnsi="arial" w:cs="arial"/>
          <w:color w:val="000000"/>
          <w:sz w:val="20"/>
          <w:lang w:val="en-US" w:eastAsia="en-US" w:bidi="ar-SA"/>
        </w:rPr>
        <w:t xml:space="preserve">. It is, on the other hand, more pronounced than the inconvenience and distress described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 In my view, considering all of the circumstances of this case, an appropriate award of non-pecuniary damages is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outset of these reasons, I identified the three principal questions that needed to be answered in this litigation. In my opinion, the evidence supports the plaintiffs' claims that Pro Star breached the Contract and was negligent when it designed, installed and repeatedly attempted to repair a GXS that never did perform as required. I find the plaintiffs have suffered damages on account of Pro Star's acts or omissions and, therefore, I make the following award: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$29,535 in damages for the losses and expenses consequential to Pro Star's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$15,000 in non-pecuniary damages for the mental distress and loss of enjoyment of life caused by Pro Star's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there is a need to address the issue of costs, then the parties may schedule a hearing for that purpose within 30 days of the date of this judgment. Otherwise, as the plaintiffs have been successful in this action, they are entitled to their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Claiter v. Rose, [2005] B.C.J. No. 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 September 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29649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2005 BCSC 193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137 A.C.W.S. (3d) 661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Claiter and Sharon Claiter, plaintiffs, and Richard Allan Rose, Insurance Corporation of British Columbia and Frederick Moore,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Tortfeasors — Transportation law — Accident claims fund — Actions against unknown party — Traffic regulation — Rights of 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3"/>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Claiter against the defendant Moore and the Insurance Corporation of British Columbia for damages for personal injuries. Claiter was driving on the highway behind Lockhart's vehicle, which was cut off by another vehicle. Lockhart tapped his brakes in order to warn Claiter. The conditions on the highway were snowy and slippery. Instead of braking, Claiter turned his vehicle into the unoccupied left lane. He lost control of his vehicle and crossed the median. Lockhart obtained the license plate number of the vehicle that cut him off and gave it to a police officer. The police officer provided the number to the investigating police officer. The paper on which the number was written was lost and the investigating police officer tried several combinations of license plate numbers. One of the combinations resulted in finding Moore's vehicle. Lockhart stated that Moore's vehicle did not resemble the vehicle that caused the accident but several other witnesses stated it did. Claiter argued that on a balance of probabilities, there was sufficient evidence indicating that Moore's vehicle caused the accident and, in the alternative, the Insurance Corporation of British Columbia was to compensate Claiter. The defendants argued that Claiter operated his vehicle negligently, as he was driving too fast and following the vehicle in front of him too closely given the road conditions.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2"/>
            <w:bookmarkEnd w:id="4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driver of the vehicle that caused the accident was negligent, as he merged onto the highway without yielding to Lockhart's vehicle, which had the right of way. The manoeuvre of the merging driver was not done in safety and affected the travel of other vehicles on the road. The drivers of the three nearby vehicles took evasive action to avoid a collision.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merging driver was a direct contributing cause to Claiter's damages. The evidence of the witnesses confirmed that Claiter's vehicle was at a safe distance from the vehicle in front of him and was travelling at a safe speed in regard to the road conditions. Claiter was an experienced driver. His decision to turn into the left lane to avoid the accident was reasonable. Given the unreliable evidence about the license plate number and the confusion at the police station, Claiter did not prove on a balance of probabilities that Moore was the driver of the merging vehicle. Claiter was entitled to judgment against the Insurance Corporation.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4"/>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8"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ss. 156, 173(2).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6"/>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 Carter and 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Broadway and E.C.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6"/>
      <w:bookmarkEnd w:id="44"/>
      <w:r>
        <w:pict>
          <v:line id="_x0000_s1060"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R.R. HOLMES J."/>
            <w:bookmarkEnd w:id="45"/>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Donald Claiter's claim is for damages for personal injury he suffered as a result of a motor vehicle accident January 25, 1999 at Kamloops, British Columbia. The plaintiff claims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represented in the proceeding by the defendant I.C.B.C., or alternatively that driver was the defendant Frederick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scheduled for 15 days commenced before Mr. Justice Powers October 20, 2003. After 10 days of evidence a possible conflict of interest was recognized by the judge who realized he had many years previously acted as counsel for someone who had been sued by the defendant Moore. The parties agreed that rather than have a mistrial the matter should proceed. Mr. Justice Powers would decide the issues related to assessment of damages and the seat belt defence as neither was dependant on a consideration of the defendant Moore's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January 15, 2004 Mr. Justice Powers assessed the plaintiff's damages at a total of $968,872.79 and dismissed the seat belt defence. This trial is therefore to determine the issues of the identity of the responsible motorist,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the intersection of Tanager Road and the Trans-Canada Highway in the Valley View sub-division on the east side of the City of Kamloops. The intersection is the first traffic light controlled intersection encountered by westbound traffic on the Trans-Canada Highway entering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approximately 8:00 a.m. The Trans-Canada Highway was covered by a "light dusting" of snow and was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lived 15 kilometres to the east of Kamloops and travelled to his business in the city on the Trans-Canada Highway. On the day of the accident he was the second in a group of three vehicles travelling in the curb lane westbound on the highway approaching the Tanager Road intersection. The evidence is the westbound centerline lane was not being used by traffic that morning and as the trio of vehicles proceeded west they passed no vehicle in that lane, nor did any vehicle in that lane pass them. All three vehicles were travelling at less than the posted 80 kilometre limit because of the road condition, and each was maintaining pace at a safe distance from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following a Ford pick-up truck owned and driven by David Lockhart. His son, Steven Lockhart, was riding as passenger. The plaintiff's vehicle was followed by Mr. Miller driving a 1994 Sunbird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when a vehicle on Tanager entered onto the highway from the north proceeding westbound in front of the Lockhart vehicle. When Mr. Lockhart realized the merging vehicle was not going to yield to him and the traffic on the Trans-Canada Highway he tapped his brake to warn following drivers and then braked to slow his speed to avoid collision with the merging vehicle. The vehicle entered the highway in front of the Lockhart vehicle and continued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Unfortunately the plaintiff suffered a severe head injury in the accident and has no memory of the events of that day. The evidence of Mr. Miller who was following the plaintiff however is that the plaintiff's reaction to the merging vehicle and the braking of the Lockhart vehicle was to turn his vehicle left into the unoccupied westbound centerline lane. Mr. Miller did not observe brake lights or turn signal on the plaintiff's vehicle. It appears that the plaintiff decided to turn into the centerline lane so as to parallel the vehicles ahead rather than to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however immediately lost control of his vehicle and fish-tailed across the east bound lanes of the highway. He was struck heavily by an eastbound pick-up truck from Alberta driven by Mr. Rose. Mr. Rose was a originally a defendant in this action but the claims against him were dismissed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Miller reacted to the actions of the merging vehicle and the plaintiff's vehicle by applying his brakes and down-shifting his transmission. He immediately began to swerve left and he slid into the centerline lane but he was able to regain control before he crossed the centerline into the east bound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Lockhart who realized there had been an accident behind him, although he did not see it, sped up to obtain the licence number of the vehicle who had entered the highway ahead of him as he felt that person was responsible for the accident. Steven Lockhart obtained a licence number which was written on the reverse of one of David Lockhart's business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Mr. Lockhart and Mr. Miller turned at the next intersection and returned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MERGING VEHICLE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merging vehicle, a pick-up truck, was approaching the Trans-Canada Highway from the north on Tanager Road, and was to the right of the trio of vehicles led by the Lockhart vehicle travelling west on the Trans-Canada Highway. Tanager Road is one of two entrances/exits from a residential sub-division between the Thompson River and the Trans-Canada Highway. There are two sets of railway tracks that parallel the Trans-Canada highway on its north side and the residential sub-division lies to the north between the tracks and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vehicle using Tanager to exit from the subdivision and travel west on the Trans-Canada Highway into Kamloops would after crossing the railway tracks turn in an arc to the right on an entrance lane which narrows within a short distance melding into the westbound curb land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vehicle on the entrance lane is faced with a yield sign. Section 173(2) of the Motor Vehicle Act requires that "... if two vehicles approach or enter an intersection from different highways at approximately the same time and there is a yield sign, the driver of the vehicle facing the sign must yield the right-of-way to all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Mr. Lockhart and Mr. Miller is clearly that the merging vehicle here was approaching the intersection "... at approximately the same time ..." and that it did not "... yield the right of way to all other traffic ..."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Lockhart saw the merging pick-up when it was just over the railway tracks and he assumed it would yield the right of way to him and the following traffic. Mr. Lockhart then observed that the merging pick-up was spinning its back wheels and he realized "... he was going to go for it ..." rather than yield. Mr. Lockhart spontaneously verbalized is concern by the utterance: "... this clown isn't going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Lockhart tapped his brake to warn following drivers and then braked to slow his vehicle. Had he not braked he would have hit the merging vehicle. The merging vehicle entered the highway closely in front of him with his rear wheels still spinning, fish-tailed, and then the tires gripped and he accelerated down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Stephen Lockhart, age 30, was a passenger in his father's vehicle. He was not paying attention to traffic and he was first alerted to the presence of the merging vehicle by his father's exclamation that "... the fool is not slowing down." Stephen has never been licensed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Once alerted to the merging vehicle however he saw it cut in front of them, and he looked behind as he was aware there had been an accident. He involved himself in getting the licence number of the merging vehicle as it was felt it had been responsible for the accident and was not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Miller was following Mr. Claiter and was unable to observe from his position the lead Lockhart vehicle although he was aware there was traffic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Miller saw the merging vehicle on his right as he approached the Tanager Road intersection. The vehicle was in the merge lane section and it appeared to swerve and merge left into the Trans-Canada highway curb lane short of the full merge distance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described his immediate reaction as saying to himself "... holy crap, we are going to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Miller saw the plaintiff turn his steering wheel to the left and immediately lose control of his vehicle and cross over the median into the east 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Miller reacted to the events by braking and down shifting his manual transmission. He swerved back and forth between the curb and centerline lane and lost control of his vehicle for several seconds. He was finally able to regain control without crossing the median. He said at one point while swerving out of control he was beside the merging pick-up truck. I find on the whole of the evidence it was likely the Lockhart pick-up that he paralleled and not the merging vehicle which was ahead of Lockhart.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Miller after gaining control turned at the next intersection and returned to the accident scene. He was badly shaken by the experience and was very angry about the actions of the merging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in considering the difficulty Mr. Miller experienced when reacting to events that his Sunbird vehicle was a superior vehicle for adverse winder weather driving. It has front wheel drive, manual transmission, and an ABS braking system. Mr. Miller was also an experienced winter driver, and his occupation for many years was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defendant argues that the merging driver was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his vehicle entered the highway in compliance with s. 156 of the Motor Vehicle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driver of a vehicle is causing the vehicle to enter or leave a highway and the driver has ascertained that he or she might do so with safety and does so without unreasonably affecting the travel of another vehicle, the provisions of sections 151 and 155 are suspended with respect to the driver while the vehicle is entering or leaving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this submission devoid of merit. The merging driver was not entering a highway having "... ascertained that he or she might do so in safety ...". The evidence is to the contrary. It cannot be said the manoeuvre of the merging driver "... did not unreasonably affect the travel of another motor vehicle ..." Mr. Lockhart had to brake to avoid a collision; the plaintiff lost complete control of his vehicle, and Mr. Miller lost control and was barely successful in regaining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circumstance here was not as in Sorensen v. Muker, </w:t>
      </w:r>
      <w:hyperlink r:id="rId170" w:history="1">
        <w:r>
          <w:rPr>
            <w:rFonts w:ascii="arial" w:eastAsia="arial" w:hAnsi="arial" w:cs="arial"/>
            <w:i/>
            <w:color w:val="0077CC"/>
            <w:sz w:val="20"/>
            <w:u w:val="single"/>
            <w:shd w:val="clear" w:color="auto" w:fill="FFFFFF"/>
            <w:lang w:val="en-US" w:eastAsia="en-US" w:bidi="ar-SA"/>
          </w:rPr>
          <w:t>[2002] B.C.J. No. 247</w:t>
        </w:r>
      </w:hyperlink>
      <w:r>
        <w:rPr>
          <w:rFonts w:ascii="arial" w:eastAsia="arial" w:hAnsi="arial" w:cs="arial"/>
          <w:color w:val="000000"/>
          <w:sz w:val="20"/>
          <w:lang w:val="en-US" w:eastAsia="en-US" w:bidi="ar-SA"/>
        </w:rPr>
        <w:t>, where a merging vehicle had properly entered onto a highway, successfully completed the merge procedure, and was struck from the rear when it braked because of traffic ahead. The merge driver here did not enter the highway properly and it was as a result of interference with highway traffic during the merge process that led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Lockhart gave warning and braked because he was forced to do so to avoid a collision, not because he was inviting the merging driver take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actions of the merging driver were clearly negligent. He failed to yield to traffic on the Trans-Canada Highway which was approaching at approximately the same time. The drivers of all three of the approaching westbound vehicles were required to take immediate action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Lockhart, Mr. Miller and the plaintiff were all mature, experienced, and knowledgeable drivers. Mr. Miller and Mr. Lockhart from their separate perspectives instantly recognized the actions of the merging driver were foolhardy and dangerous. The action of the plaintiff was also consistent with him having an appreciation of imminent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merging driver must have been aware of the treacherous road conditions as it was observed that his tires were spinning, and his truck swerving and fish-tailing. He was not in control of his vehicle but rather than get his vehicle under control before entering the highway he recklessly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Attempting to enter onto the highway in front of approaching traffic travelling at approximately 70 kph, with adverse road conditions, when his vehicle could not maintain traction and he was unable to travel without swerving was indeed foolish and in breach of his duty to the approaching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merging driver was a direct contributing cause of the plaintiff's damages.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merging driver created a chain reaction that impacted the trio of approaching westbound vehicles. The merging drivers actions required Mr. Lockhart to take action to avoid a collision. He tapped his brake to warn following traffic then applied steady brake pressure to slow his vehicle and avoid hitting the merging pick-up. The plaintiff reacted to the danger posed by the merging vehicle by turning into the unoccupied westbound centerline lane, however he lost control due to the slippery road conditions. Mr. Miller, the last driver in the chain reacted by attempting to reduce his speed by braking and downshifting. He lost control of vehicle and felt very fortunate that he was able to regain it in time to avoid himself being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PLAINTIFF'S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position is that the plaintiff was negligent in following too closely behind the Lockhart vehicle. They rely on the evidence of the known adverse road conditions and that the older style rear wheel drive pick-up driven by the plaintiff are known to be "light" and more difficult to control in snow or ice conditions. It is also alleged that the plaintiff did not observe the merging vehicle and take timely action to slow his vehicle in a controlled fashion. There is also the issue of whether the plaintiff was negligent to turn out rather than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difficult to gauge whether a vehicle was following another too closely without evidence of that distance. The plaintiff's inability to testify adds to the difficulty. The evidence of Mr. Lockhart and Mr. Miller supports the view that the distances separating the three westbound vehicles were adequate and safe. The three had been travelling in convoy for some time and all three drivers appeared content with the reduced speed set by the leader Mr. Lockhart. Mr. Lockhart was comfortable with the distance at which the plaintiff was following him. Mr. Miller estimated he was following the plaintiff by approximately five car lengths which he felt was appropriate. The Miller vehicle had superior handling characteristics for adverse road conditions and therefore the plaintiff should have an increased distance. There is no evidence however to suggest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road conditions were known to be slippery but it could not be said the presence of ice was uniform. Adverse circumstances require judgment, and the judgment of experienced drivers, knowledgeable of local weather and road conditions, highway characteristics, traffic patterns and routing are valuable indicators of acceptable standards. I consider the experience and local familiarity with road and weather conditions of Mr. Lockhart, Mr. Miller and the plaintiff of value in gauging what speed and separating distances between vehicles was appropriate to the weather and road conditions prevailing. I do not find the evidence supports the allegation the plaintiff was negligent in that his speed was too high or that he was too closely following the Lockhart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also no evidence to suggest that the plaintiff did not see the merging vehicle in a timely fashion. I expect he saw what both Mr. Lockhart and Mr. Miller observed. A pick-up truck in the merge section of the entrance to the highway, wheels spinning, swerving, not apparently intent on yielding, and on a collision course with the Lockhart vehicle as the merge lane narrowed.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unknown whether the plaintiff first reacted to what he observed of the merging vehicle, or whether he reacted to the warning brake tap from the Lockhart vehicle. The two events were in any event where very close in time. What is known is that the plaintiff did react by turning out to the left which Mr. Miller describes as more of a controlled and measured manner rather than in a fast or quick swing.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 would also be unknown to the plaintiff in these circumstances was what action the Lockhart vehicle would take to avoid the dangerous actions of the merging vehicle. Was he going to brake sharply or turn out to avoid collision? These are factors the plaintiff would have to instantly correlate in exercising judgment as to the appropriate avoidance action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the plaintiff's decision to turn left into the unoccupied lane was reasonable. It would increase the distance available for his vehicle to stop more slowly if necessary. It was also a natural avoidance technique when danger on his right side was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reacting reasonably to the danger created by the merging vehicle. Mr. Miller's evidence as what occurred when he tried to down shift and brake support the avoidance decision taken by the plaintiff was entirely appropriate. Emergency application of the brakes might be expected to create a control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answer to the "ultimate question" postulated by Madam Justice Southin in Tucker (Public Trustee of) v. Asleson </w:t>
      </w:r>
      <w:hyperlink r:id="rId171"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at [paragraph] 22, I find that the plaintiff "... drove with the skill and care expected of a reasonable driver at the time and place in issue". I do not on the evidence find the plaintiff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IDENTITY OF MERGING DRIVER AND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alleges the evidence on a balance of probabilities proves the defendant Moore was the owner of the merging pick-up truck and that he was driving it at the time of the accident. The plaintiff carries the onus of proof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allegation is based upon a description and a licence number the R.C.M.P. in the course of their investigation developed for the merging vehicle which is close to the licence number of the defendant Moore's vehicle. The defendant Moore also lives in the Thompson River sub-division and used the Tanager Road intersection westbound merge lane to enter the Trans-Canada Highway on his way to work in Kamloops at approximately 7:45 a.m. the morning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acknowledged that the evidence gathered by the R.C.M.P. would not prove the defendant Moore was the owner and operator of the vehicle beyond a reasonable doubt but the plaintiff contends the coincidence would satisfy the civil burden of a balance of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Preponderance of probability, however, incorporates degrees of probability within the standard and traditionally will require a higher standard when considering conduct that might also be considered criminal in nature. [Hanes v. Wawanesa Mutual Insurance Company </w:t>
      </w:r>
      <w:hyperlink r:id="rId172" w:history="1">
        <w:r>
          <w:rPr>
            <w:rFonts w:ascii="arial" w:eastAsia="arial" w:hAnsi="arial" w:cs="arial"/>
            <w:i/>
            <w:color w:val="0077CC"/>
            <w:sz w:val="20"/>
            <w:u w:val="single"/>
            <w:shd w:val="clear" w:color="auto" w:fill="FFFFFF"/>
            <w:lang w:val="en-US" w:eastAsia="en-US" w:bidi="ar-SA"/>
          </w:rPr>
          <w:t>(1963), 36 D.L.R. (2d) 718</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Here, the defendant Moore is being accused of negligent conduct causing a motor vehicle accident based on breaches of the Motor Vehicle Act resulting in serious injury to the plaintiff and then failing to remain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Chief Justice Laskin, writing for the court, summed it in Continental Insurance Co. v. Dalton Cartage Company Ltd. et al., </w:t>
      </w:r>
      <w:hyperlink r:id="rId173"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position is relatively straight forward. Steven Lockhart wrote down the licence number of the merging vehicle on the back of one of his father's business cards within a minute or two of the accident as they followed the vehicle to the next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David Lockhart gave the card to an R.C.M.P. officer at the accident scene shortly after. He believes the officer was female. Neither of Lockharts how have any memory of the number written on the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Constable Cole was the investigating R.C.M.P. officer. He was given something with a licence number written on it and told it was the number of the merging vehicle that had caused the accident. He doesn't recall who gave it to him, when they gave it to him or what it was written on. The paper was not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number 6789 CR was entered into Constable Cole's continuation report the morning of the accident. When he made inquiries regarding the plate number, however, he was advised that it had not yet been issued. In other words it was a wrong licence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R.C.M.P. considered and searched the possible combination of the numbers contained in the licence number but no match to the suspect vehicle was found. A press release was issued the day following the accident seeking information on the vehicle and some tips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response to tips a patrol of the Thompson River sub-division, which is immediately adjacent to the accident scene at the Tanager intersection, was done and the defendant Moore's vehicle was observed parked at his home. The vehicle matched a very general description of the suspect vehicle and the licence plate contained the same numbers as recorded by Constable Cole except they were in a different order: 6897 CR as opposed to 6789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Moore habitually travelled through the Tanager intersection westbound to work in Kamloops each morning at approximately 7:45 a.m. He had travelled that route the morning of the accident. Mr. Moore was not aware however of any accident at the Tanager intersection until contacted by the R.C.M.P. several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Steven Lockhart viewed the photos of the defendant Moore's vehicle at the request of the R.C.M.P. and told them it was not the vehicle whose licence number he recorded. However his father David Lockhart and Mr. Miller on viewing the photographs at trial testified it was "similar" to the vehicle which had merged at the time of the accident. The plaintiff urges that on the evidence it is more probable than not that the merging vehicle they recall is the defendant Moore's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more in-depth analysis of the evidence however gives rise to substantial concern as to the admissibility, accuracy, and inferences to be drawn from the evidence on which the plaintiff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Steven Lockhart had no recollection of what he wrote the licence number on, although his father recalls it was on the back of one of his business cards. David Lockhart gave the business card to a female R.C.M.P. officer at the scene. He was never contacted again by the police. Steven was later contacted by the police but only on request to look at the photos of the defendant Moore's vehicle. He told them it was not the merging vehicle he had observed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Cole later on the morning of the accident recorded a licence number in his continuation report that he had received on a piece of paper from someone, somewhere, at sometime, none of which he remembers or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 one can verify it was the same number that Steven Lockhart wrote down. The female officer did not give evidence and there is no evidence of what happened to the business card she was given or what use was made of it. There is no admissible evidence therefore that the licence number Constable Cole placed in his report was the number of the merging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further apparent that the number ultimately recorded in Constable Cole's notes is unreliable. Steven Lockhart said that when recording the plate number he was unsure of one of the letters or digits, but was sure that the sequence of the numbers was correct. Constable Cole in an affidavit swore the licence number he was given was 6789 CE, which changes the recorded letter R to an E. He now feels that was in error, caused by his not reading the affidavit carefully. The letters CE however have appeared elsewhere in the police file during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Constable Cole met with another officer at a coffee shop the morning of the accident he wrote the licence numbers 9865 CR and 9685 CR on a napkin during the course of discussion. These are yet a different sequence and selection of numbers, without explanation for their use or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 undated phone message found in the R.C.M.P. file from Steven Lockhart for Constable Cole written by Corporal Pankewich recorded the number 678(9) CE. This appears consistent with Steven Lockhart's evidence he was unsure of one of the numbers [indicated by bracketing 9], but not the sequence. The letters CE are however as recorded by Constable Cole in his affidavit but not the CR of the number he said was given to him and written into his continuation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combinations and permutations of possible licence numbers on the basis any of the numbers or letters might be uncertain would create a very large cohort of possible numbers. Those combinations have never been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Unfortunately Constable Cole's capacity to err in recording a licence number in this investigation was demonstrated in another context. The constable drew a sketch of vehicle positions at the accident scene. In depicting the plaintiff's vehicle he attributed a totally incorrect licence plate number to it. The error was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with the submissions of counsel for the defendant Moore that I should place little weight on the evidence of the defendant Moore who said he saw the letters CR on the merging vehicle while he was fighting to regain control of his vehicle and came along side of it. I have earlier commented that I believe he has mistaken the Lockhart pick-up truck for that of the merging vehicle. Mr. Lockhart was at all times behind the merging vehicle so that Miller would have had to pass Mr. Lockhart to come beside the merging pick-up and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Miller did not give the R.C.M.P. at the scene information of the partial plate letters CR, nor did he provide it to an insurance adjuster taking his statement a few days later. I find his explanation that he had found from previous experience the police were not interested in partial plate numbers illogical.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Miller's evidence was that the letters CR on the plate were retained in his memory because he associated them to his favourite musical group Credence Clearwater Revival [CCR] and to the word "crap" which associates with the conduct of the merging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difficult to accept that clear recollection in light of his report to the police that he had found a vehicle parked at a residence in Kamloops that strongly resembled the merging vehicle. Its licence was 4324 BY. Mr. Moore had taken it upon himself to tour the Thompson Drive sub-division looking for the merge vehicle but Mr. Moore's vehicle was not reported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circumstances, I have rejected Mr. Miller's evidence that the letters on the licence plate of the merging vehicle were CR as being corroborative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of the witnesses as to the physical description of the merge vehicle was vague, general, and inconsistent one with the other. David Lockhart recalled the truck was blue or grey. Mr. Miller recalled it was a dark colour. Mr. Lockhart couldn't remember the size of the vehicle and thought it was a Ford. Steven Lockhart thought it was a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Miller described the vehicle having a rounded front end, but the vehicle he later reported seeing to police as "closely matching" was a 1997 grey Ford 4 x 4. Mr. Moore's vehicle is a 1991 model, not one of the newer models, and had a square front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Steven Lockhart was in probably the best position to observe and remember a description of the merging vehicle. He was not driving and was devoting his full attention to the merge vehicle they thought was leaving the scene of the accident in the process of obtaining its licence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Steven was shown a series of photographs of the defendant Moore's vehicle after the police located it and at a time his memory was fresh. He was positive the defendant Moore's vehicle was not the one he had observed when recording the licence number. He noted five specific differences: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merging vehicle had lettering on the tail gate the same colour as the truck body; the defendant Moore's truck has lettering of a different colour.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merging vehicle was Toyota; Moore's is a Ford.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merging vehicle looked older than the defendant Moore's.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merging vehicle did not have roll bars; Moore's does.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merge vehicle had a dull or matte finish; the defendant Moore's a gloss.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found the roll bars on the Moore vehicle to be distinctive and prominent. Even taking account of the differing angles from which the witnesses observed the merging vehicle they are an unusual feature that I would expect a witness to see and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particular I would have expected David and Steven Lockhart to have observed the roll bars, if they were present, as they viewed the vehicle in profile and then followed directly behind it while trying to obtain the licence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the defendant Mr. Moore was co-operative and open with the police when they contacted him about his truck and his activities the day of the accident. I accept the evidence of Mr. Moore that he was not aware of any accident at the Tanager intersection as he travelled to work that day, nor did he enter in front of traffic close to the intersection. It is possible that the driver of the merging vehicle might not realize there was an accident behind them, but I doubt it would be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also accept the defendant Moore's evidence that he habitually warmed up his vehicle and cleared the windows of snow and frost before leaving home. This is in contrast to the evidence that the windows of the merge vehicle were frosted and there was white smoke from the exhaust which is an indication it had not been pre-warmed.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accident was reported to police at 8:07 am. and that would appear to be reasonably precise as the evidence was that there were people immediately on the scene using their cell phones. The evidence of Mr. Moore is that he would have passed the intersection earlier and would have been at work by the time of the accident. He was to give evidence in court that day and he recalls being early to work. I have no reason to doubt this evidence and if it is true the effect is to make his involvement in the accident mathematically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on a close analysis of the whole of the evidence only coincidence is raised and the plaintiff has failed his burden to prove on a balance of probabilities that the owner and driver of the merging vehicle was the defendant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action is therefore dismissed against the defendant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owner and negligent driver of the merging vehicle causing this accident remain unidentified.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unidentified negligent driver of the merging vehicle as represented by the defendant I.C.B.C. pursuant to the provisions of the Insurance Motor Vehicle Act was the sole cause of the accident. The plaintiffs are entitled to judgment for their damages as assessed by Mr. Justice Powers and to the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Collins v. Rees, [2012] B.C.J. No. 2032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M92435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Louise Collins, Plaintiff, and Wayne Rees, The Minister of Highways and Transportation, Her Majesty the Queen in Right of the Province of British Columbia, and Mainroad Contracting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2"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 xml:space="preserve">Civil litigation — Civil procedure — Trials — Non-suit — Non-suit application by defendants to dismiss plaintiff's case allowed — Plaintiff lost control of vehicle and collided with sides of tunnel and another vehicle — Plaintiff claimed her injuries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 province and contractor in failing to maintain road surface free of ice, failing to salt/sand, failing to post warning signs and failing to install proper drains — Plaintiff did not adduce evidence to prove appropriate standard of care — Court could not speculate, and applying knowledge of every day matters not appropriate to deal with decisions relating to highway maintenance — Expert evidence was required.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Breach of statutory duty — Non-suit application by defendants to dismiss plaintiff's case allowed — Plaintiff lost control of vehicle and collided with sides of tunnel and another vehicle — Plaintiff claimed her injuries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 province and contractor in failing to maintain road surface free of ice, failing to salt/sand, failing to post warning signs and failing to install proper drains — Plaintiff did not adduce evidence to prove appropriate standard of care — Court could not speculate, and applying knowledge of every day matters not appropriate to deal with decisions relating to highway maintenance — Expert evidence was required.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Evidence and proof — Non-suit application by defendants to dismiss plaintiff's case allowed — Plaintiff lost control of vehicle and collided with sides of tunnel and another vehicle — Plaintiff claimed her injuries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 province and contractor in failing to maintain road surface free of ice, failing to salt/sand, failing to post warning signs and failing to install proper drains — Plaintiff did not adduce evidence to prove appropriate standard of care — Court could not speculate, and applying knowledge of every day matters not appropriate to deal with decisions relating to highway maintenance — Expert evidence was required.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4"/>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Non-suit application by the defendants to dismiss the plaintiff's case. The plaintiff was driving through a tunnel when she lost control of her vehicle and collided with the sides of a tunnel and was struck by another vehicle. The plaintiff claimed her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province and contractor for failing to maintain the road surface free of ice, failing to salt or sand, failing to post warning signs and failing to install proper drains. The plaintiff had now closed her case and the defendants argued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made out on the evidence. The plaintiff testified there was frost on her vehicle in the morning, but she did not encounter any ice or frost on the road. The plaintiff had no recollection of the actual collision or why it occurred. A witness testified the plaintiff passed him at an extremely high rate of speed and went out of control. He observed some slush and slippery road surface where the plaintiff's vehicle came to rest, but did not see her lose control on ice. The witness did not recall seeing sand or salt on the road, but was not looking for it. The attending police officer did not recall the state of the road. The plaintiff did not adduce evidence about the responsibility of the contractor or standard of care for road maintenance. The plaintiff argued no witnesses saw any salt or sand on the road and it was common knowledge that icy roadways were dangerous and could be inferred the icy conditions caused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3"/>
            <w:bookmarkEnd w:id="4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to prove the applicable standard of care. The court could not engage in speculation. Applying knowledge of every day matters was not the appropriate way to deal with the issue of decisions relating to highway maintenance. Expert evidence was required on this issue but was not led.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5"/>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3"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7"/>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D.L. Nundal, N.A. Mulholland.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G.J. Underwood, K.W. Inaya.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Mainroad Contracting Ltd.: I.D. Mackie, T.C. Hinkson.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7"/>
      <w:bookmarkEnd w:id="51"/>
      <w:r>
        <w:pict>
          <v:line id="_x0000_s1065" style="position:absolute;z-index:2518190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May 10 and October 2, 2012;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J.W. WILLIAMS J. (orally)"/>
            <w:bookmarkEnd w:id="52"/>
            <w:r>
              <w:rPr>
                <w:rFonts w:ascii="arial" w:eastAsia="arial" w:hAnsi="arial" w:cs="arial"/>
                <w:b/>
                <w:color w:val="000000"/>
                <w:sz w:val="30"/>
                <w:lang w:val="en-US" w:eastAsia="en-US" w:bidi="ar-SA"/>
              </w:rPr>
              <w:t>J.W. WILLIAMS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 have the reasons here which I will pronounce with respect to the applications of the defendants, Her Majesty the Queen in Right of the Province of British Columbia (the "Province") and Mainroad Contracting Ltd. Those defendants apply for an order pursuant to Rule 12-5(4) dismissing the plaintiff's case. They seek this order on the basis that there is no evidence to support all of the essential elements of the plaintiff's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giving rise to the action at issue are these. In the early morning hours of January 15, 2005, the plaintiff was driving her automobile northbound on Highway 99 at or near the Massey Tunnel, also known as the Deas Island Tunnel. As she passed through the tunnel and was emerging toward the north end, her vehicle went out of control, collided with the sides of the tunnel and was subsequently struck by another motor vehicle travelling behind her. The plaintiff claims that she sustained physical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alleges that the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Province and Mainroad Contracting, and in her Amended Statement of Claim she alleges the particulars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the road surface in a safe condition and, in particular failing to ensure that icy conditions did not develop on the road surface during cold weather at or near the scene of the motor vehicle collision at a time when the defendants knew or should have known that such icy conditions would develop on the road surface;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sand or salt the road surface at a location where it was known or should have been known that icy conditions developed on the road surface when cold conditions prevail;</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sign or otherwise warn motorists, and in particular the plaintiff, of icy road conditions on the surface of the roadway at or near the scene of the motor vehicle collision;</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install proper or adequate drains, vapour barriers, or other mechanisms in or under the road surface in or at the tunnel sufficient to ensure that the water or moisture did not accumulate on the surface of the road thereby creating an icing hazard on the road in freezing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called a number of witnesses and has now closed her case. It is at that juncture of the proceedings where these applications have arisen. I have heard submissions on behalf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parties are essentially agreed with respect to the applicable principles on a no-evidence motion of the type before this Court. The Court is required to decide whether there is any evidence on which the trier of fact can reasonably find for the plaintiff. That entails determining whether there is some evidence to support each element of the cause of action that the plaintiff alleges and that the plaintiff must prove in order to succeed. Furthermore, it is established that where a layperson is unable to draw inferences as to the standard of care and causation as a matter of common knowledge, the plaintiff is required to lead expert evidence on such issues in order to overcome a no-evidence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alternative description of the test has been stated as follows: The test is whether the plaintiff has failed to adduce evidence on which a properly instructed jury, acting reasonably, could find for the plaintiff. "Acting reasonably" means more than simply speculating and does not mean relying on a mere scintilla of evidence. On the other hand, it is not open to the trial judge to weigh the evidence against contrary evidence or to assess its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If there is evidence to support each element of the cause of action, the motion will stand dismissed. If, however, the plaintiff has not adduced evidence on each element of the claim, then the no-evidence motion will succeed and the court will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To succeed in her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prove the following elements: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each of the defendants owed her a duty of care;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each of the defendants breached the duty that they owed by failing to comply with a requisite standard of care;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suffered loss or damage; and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failure of the defendants to discharge the duty owed to the plaintiff caused the plaintiff's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Province, in its submissions, acknowledges that a duty of care was owed to the plaintiff as a user of a highway and also agrees that the proposition that the plaintiff suffered loss or damage can be assumed for the purpose of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the Province contends that the plaintiff has offered no evidence with respect to the other elements of the cause of action, namely, the Province says that the plaintiff has provided no evidence of the requisite standard of care in relation to the matters pled, says that the plaintiff has provided no evidence that the Province failed to meet the requisite standard of care, and says that the plaintiff has provided no evidence that her loss, if any, was caused by a breach of duty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position advanced by the defendant Mainroad is essentially the same. Additionally, with respect to the causation issue, Mainroad says that not only is there no evidence that the plaintiff's loss was caused by a breach of duty of Mainroad, but also says that the plaintiff has adduced no evidence to prove that the collision was caused by icy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delving into an examination of these particular issues, I wish to make some reference to the evidence that has been adduced by the plaintiff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shows that early in the morning of January 15, 2005, which was a Saturday, the plaintiff was driving her automobile from a residence in Langley to her work in downtown Vancouver. She testified that the weather was cold and that there was some frost on her vehicle when she went to start it in the morning. She testified that she was careful with respect to the possibility that there was frost on the road as she made her way from her home toward the main thoroughfare into Vancouver which is Highway 99. As I understand her evidence, she said she encountered no frost or ice on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has no recollection of events between the time she passed the King George exit from Highway 99 up until the point she was seated in her car stopped inside the Massey Tunnel and the collision had occurred. She is not able to say why the accident occurred, nor is she able to speak to the conditions on the roadway at the relevant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called Mr. Rees, the driver of an automobile that was also travelling northbound on Highway 99. He was passing through the tunnel at the same time as the plaintiff. He specifically recalled her going past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speed limit in the tunnel is 80 kilometres per hour. Mr. Rees testified he was travelling at approximately 70 kilometres per hour. He estimates the speed of the plaintiff's car as it passed him to be approximately 120 kilometres per hour. He said that he specifically remarked to someone in his car with respect to the extremely high speed that the Collins vehicle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Rees testified that he observed the plaintiff's vehicle go out of control. It struck one side of the tunnel, then the other, then came to rest. He applied his brakes aggressively and was almost able to stop in time, but as I understand, he came into some contact with the plaintiff's vehicle where it had come to rest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Rees did not have a vivid recollection of the events of the day nor of the road conditions. He testified that his vehicle, when he applied full emergency braking, skidded a little bit. He did not have any observation as to the road surface, that is, whether there was ice, slush, sand, or salt, or whatever on the roadway. He did, however, say that after he moved his vehicle from the tunnel, he walked back to where the plaintiff's vehicle was located. He said that there was some slush on the roadway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My note of his evidence is that, "The road surface when I got back to the vehicle, the vehicle was still running and it was slippery around the area." He remarked that it was below zero. He said with respect to the road surface, "I didn't see any salt or sand, but I wasn't really looking." He testified that on that day, the weather conditions were cold and below freezing and he had to scrape his windows in order to get underway with the day. He was specifically asked did he see the Collins vehicle strike and lose control on ice or slush and lose control and his answer was, "No." He also said that the icy part of the road surface that he observed was at the final resting place of the car. He testified that he did not go further into the tunnel and that was his evidence as I have it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called the attending police officer. He testified that he arrived after the tow truck, the fire truck and the ambulance had attended. He did not have any recollection as to the state of the road, either as he observed it there or from his experience of having driven to the scene. He did state that he had some very general knowledge of there being an underground spring on the north side of the tunnel and that on occasion water seeped onto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has not adduced evidence with respect to the responsibility of Mainroad nor has there been any evidence led as to the standards of care with respect to the maintenance of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turn now to the specific issues arising from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of the defendants say that the plaintiff has adduced no evidence with respect to the applicable standard of care. Furthermore, they say that this is a matter of some expertise and it is not a situation where a trial judge should purport to bring his or her every day knowledge to bear. They say that in the circumstances, there is no evidence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as I understand, submits that the Court should conclude that the matter of the standard of care and its breach can be reasonably inferred on the basis that the witnesses called have not testified as to seeing any salt or sand on the roadway, and they say the Court should infer that there was none and should therefore conclude by inference that Mainroad failed to take any steps to deal with ice on the roadway. The plaintiff says that it is within the realm of common knowledge that ice on a roadway is dangerous, and it is reasonable to expect the road operator to mitigate or eliminate the ice. She says the Court can properly conclude that icy conditions were left untreated. She says that there is some evidence before this Court which would allow those inferences to reasonably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applicants say this is not a matter where the Court should be prepared to draw inferences about the standard of care because it is a complex area of activity, that is, highway maintenance, highway signage and drainage of the Massey Tunnel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applicants also say that the plaintiff's Statement of Claim misstates the standard of care. It will be recalled that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by failing to ensure that icy conditions did not develop on the road surface during cold weather at or near the scene, when they knew or ought to have known such conditions would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submission of the defendants, to the extent that constitutes an assertion of a standard of care, it is materially at odds with the decision of the Supreme Court of Canada in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112 D.L.R. (4th) 1</w:t>
        </w:r>
      </w:hyperlink>
      <w:r>
        <w:rPr>
          <w:rFonts w:ascii="arial" w:eastAsia="arial" w:hAnsi="arial" w:cs="arial"/>
          <w:color w:val="000000"/>
          <w:sz w:val="20"/>
          <w:lang w:val="en-US" w:eastAsia="en-US" w:bidi="ar-SA"/>
        </w:rPr>
        <w:t>, where the Court observed that ice is a natural hazard of Canadian winters. The duty of the agency which maintains the highway is to have policies to cope with the hazards that arise. It does not extend to keeping every road ice-free at all times. In the submission of the defendants, to the extent that the pleading purports to allege an obligation to maintain the roads in an ice-free condition as a standard of care, it is simply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dimension of the standard of care issue, the proposition that the defendants failed to meet the standard of care, alleges that the failure to ensure that icy conditions did not develop, failing to apply salt or sand, failing to post appropriate signs and a failure to install proper or adequate drains are matters where there is an obligation on the plaintiff to adduce some evidence. The matter must, of course, be considered in the context of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turn now to the matter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say that what is known is that the plaintiff lost control of her vehicle while travelling through the tunnel. To succeed in her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these defendants, she must prove on a balance of probabilities that a breach of duty on the part of those defendants is the cause of her loss; cause entails both factual and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say that there is no evidence as to how the plaintiff lost control. They say as well that there is no evidence that reaches any level of reliability as to what the road conditions were at the point where she actually lost control. They say that her loss of control is consistent with other causes, including excessive speed, driver error or driver inattention.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agrees that the evidence with respect to this issue is scant. However, she says that the description of witnesses that it was cold at the time, together with the fact that there is some evidence that there is water which seeps from a spring on the north side of the tunnel and which can be presumed to flow south into the tunnel, that it is a reasonable inference that there was ice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addressing that point, I must comment on one matter that arose in the course of the proceeding. The investigating police officer, Constable Appell, had a note on a report that he had prepared in conjunction with this accident. It would appear that his note reflects something said to him by the witness, Mr. Rees. Beyond that, the officer had no further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permitted the plaintiff to recall Mr. Rees and he was further examined with respect to the information he provided to the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matters have turned out, I am left to conclude that the evidentiary effect of whatever Mr. Rees may have said to the police officer cannot rise to the level of evidence that the Court can place any reliance upon. While that is regrettably so, it is a conclusion that flows properly from the applicable principles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issue of standard of care, I can find nothing in the record which could be said to constitute evidence going to prove the applicable standard of care of the defendants. To find that on the evidence before this court would require guesswork and speculation. I am unable to infer that standard from the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Inference is the exercise of reaching a logical conclusion by reasoning from proven facts. Here, the proven facts from which the inference could be drawn are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Insofar as applying my own knowledge of every day matters, that would not be an appropriate way to deal with this issue. Decisions as to the proper steps, measures and procedures to sign and maintain a highway system in a large metropolitan community are undoubtedly complex things. I am sure that engineers have spent their entire lives working on those very issues. The same applies with respect to issues such as drainage and vapour barriers. It is not reasonable to expect that a trial judge, as a layperson, will draw the inferences to establish this element. It is clearly a matter that requires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find the plaintiff has adduced no evidence with respect to the element of the applicable standard of care and, as well, the issue of the defendants' failure to meet that standard of care and that, therefore, the defendants' applications must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also address the application as it concerns the issue of causation. For the plaintiff to overcome the defendants' application, she must be able to point to some evidence which goes to establish the causation element. Here, she alleges that the failure of the defendants to meet the relevant standard of care has caused her loss. Leaving aside for a moment the difficulty with respect to the establishment of the applicable standards of care and the allegation of breach by the defendants, even if I examine this on the basis only that the plaintiff must adduce some evidence that the accident in which she sustained her injury was caused by icy road conditions, I find that to be a troublesome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of all, there is no direct evidence as to why she lost control and crashed.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so far as ice,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is concerned, there is no evidence. The only evidence is the observation of Mr. Rees that he saw slush near the place where the plaintiff's car came to rest. For me to conclude that there was evidence going to prove that Ms. Collins lost control because of ice on the roadway is at that boundary between inference and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of course, the evidence on that issue which I have attempted to explain a moment ago. There is also the evidence of Ms. Collins' excessive speed as observed by Mr. Rees, a factor which certainly stands as a very plausible cause of the crash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I consider the proven facts and then consider whether or not an inference as to causation could be reasonably or properly drawn, I find, frankly, it is a dubious proposition in the extreme. However, that said, I cannot and do not conclude that there is no evidence on the point. On that particular element, I cannot find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result, I conclude that the application of the defendants must succeed. To be clear, while there is no direct evidence of the elements at issue, that is, with respect to the standard of care, I have also examined this in terms of reasonable inference. Regrettably for the plaintiff, the same conclusion results. There is no evidence available to permit the sought-after inferences to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circumstances, the orders sought by the defendants will be granted. The plaintiff's action is dismissed on the basis of the no-evidence motion.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I will leave this on the basis that there will be no order as to costs. In the event that is not resolved among the parties, you are at liberty to apply to appear before me on that issue or, alternatively, to proceed by way of written submissions; I would leave it to counsel to arrange the timing and sequence of that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cover page of the judgment was corrected on May 10, 2012.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Corrected Judgment: A typographical error in para. 38 was corrected on October 2, 2012.</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Costello v. Hornby Island Local Trust Committee, [2009] B.C.J. No. 1950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S.S. 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16-20, 23-27, 30, 31, April 1-3, 6, 7, 14-16,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20-22 and April 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S100043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M.P.L.R. (4th) 197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Costello, Plaintiff, and Hornby Island Local Trust Committee and The Islands Trust and The Islands Trust Council and Penny Griggs and Tony Law,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 xml:space="preserve">Municipal law — Planning and development — Zoning regulations — Land use — Buildings — Height — Action for damages for abuse of public office,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trust, mental distress and for punitive damages dismissed — Plaintiff had purchased a building and had it barged to her property on Hornby Island — Building exceeded height restriction on Island — Plaintiff spent six years attempting to bring building into bylaw compliance — Plaintiff alleged defendants sought to prevent her from enjoying the use of her property by engaging in conduct that was outrageous, highhanded and vexatious — Over-height issue was not unexpected and unforeseen — All events and costs that ensued resulted from plaintiff's failure to exercise due diligence.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for damages for abuse of public office,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trust, mental distress and for punitive damages dismissed — Plaintiff had purchased a building and had it barged to her property on Hornby Island — Building exceeded height restriction on Island — Plaintiff spent six years attempting to bring building into bylaw compliance — Plaintiff argued that Islands Trust and Islands Trust Council were negligent in failing to oversee and supervise activities of Local Trust Committee — No duty of care owed because the plaintiff could not establish proximity.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public office — Action for damages for abuse of public office,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trust, mental distress and for punitive damages dismissed — Plaintiff had purchased a building and had it barged to her property on Hornby Island — Building exceeded height restriction on Island — Plaintiff spent six years attempting to bring building into bylaw compliance — Plaintiff had not established that defendants acted with the necessary subjective intent or recklessness, or in a manner inconsistent with their statutory obligations.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5"/>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abuse of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trust, mental distress and for punitive damages. The plaintiff purchased a building from the Department of National Defence slated for demolition. She had it barged to her property on Hornby Island without investigating the Bylaw to determine any potential restrictions or issues in the siting or use of the building on her property. The building exceeded the residential high restriction. Over six years the plaintiff attempted to bring the building into bylaw compliance. An amendment to the Bylaw with respect to the definition of height permitted compliance by using fill and the building was mow in compliance. The plaintiff alleged this amended Bylaw singled her out and attempted to obstruct her from bringing the building into compliance with the Bylaw. The plaintiff alleged the defendants, by attempting to enforce bylaw compliance, were seeking to drive her off the Island and into financial ruin. She argued that the Islands Trust and Islands Trust Council were negligent in failing to oversee and supervise the activities of the Local Trust Committee, including the two defendant trustees. She argued the Islands Trust and Islands Trust Council were vicariously liable for the actions of the Local Trust Committee and the personal defendants. She argued the Local Trust Committee and defendant trustees engaged in wilful and deliberate conduct and targeted malice against her, which interfered with the use and enjoyment of her property. The plaintiff alleged the defendants sought to prevent her from enjoying the use of her property by engaging in conduct that was outrageous, highhanded and vexatious.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4"/>
            <w:bookmarkEnd w:id="5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failed to establish the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abuse of public office, breach of trust, mental distress and punitive damages. The plaintiff was obliged to obtain proper permits and to ensure compliance with the Bylaw. By ignoring the trustee's advice, she was responsible for all of the costs she incurred to make her building Bylaw compliant. The over-height issue was not unexpected and unforeseen, but was the consequence of the plaintiff's being unconcerned about the requirements of the Bylaw and its potential enforceability. All the events and all the costs that ensued were the product of the plaintiff's failure to exercise due diligence. There was no evidence the defendants engaged in deliberate, unlawful conduct and targeted malice against the plaintiff or her property. The defendants attempted to facilitate a compromise, weighing the interests of all parties in conjunction with the community interest to preserve and protect community values, resources and rural character. The plaintiff had not established that any of the defendants acted with the necessary subjective intent or recklessness, or in a manner inconsistent with their statutory obligations. No liability rested upon them for the tort of abuse of public office or misfeasance in public office. No proximity existed sufficient to found a duty of care. While the Trust Council might have reasonably foreseen harm to the plaintiff if the Local Trust Council was negligent in assessing the permit application, there was no duty of care owed because the plaintiff could not establish proximity. Even if a duty of care existed, no evidence of the standard of care was adduced. The evidence did not establish that the defendants breached their duty, even assuming a high standard of care. Mo such trust relationship existed in fact or in law as the defendants were not trustees of the plaintiff's property.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6"/>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8"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Hornby Island Land Use Bylaw No. 86,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Islands Trust Act, </w:t>
      </w:r>
      <w:hyperlink r:id="rId188" w:history="1">
        <w:r>
          <w:rPr>
            <w:rFonts w:ascii="arial" w:eastAsia="arial" w:hAnsi="arial" w:cs="arial"/>
            <w:i/>
            <w:color w:val="0077CC"/>
            <w:sz w:val="20"/>
            <w:u w:val="single"/>
            <w:shd w:val="clear" w:color="auto" w:fill="FFFFFF"/>
            <w:lang w:val="en-US" w:eastAsia="en-US" w:bidi="ar-SA"/>
          </w:rPr>
          <w:t>RSBC 1996, CHAPTER 239, s. 3</w:t>
        </w:r>
      </w:hyperlink>
      <w:r>
        <w:rPr>
          <w:rFonts w:ascii="arial" w:eastAsia="arial" w:hAnsi="arial" w:cs="arial"/>
          <w:color w:val="000000"/>
          <w:sz w:val="20"/>
          <w:lang w:val="en-US" w:eastAsia="en-US" w:bidi="ar-SA"/>
        </w:rPr>
        <w:t>, s. 4, s. 31, s. 31(2)(a), s. 31(3)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8"/>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Lawrence E. Pierce and Andrew C.K. 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Donald J. Smith and Alexander D.C. Kask.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8"/>
      <w:bookmarkEnd w:id="58"/>
      <w:r>
        <w:pict>
          <v:line id="_x0000_s1070"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S.S. STROMBERG-STEIN J."/>
            <w:bookmarkEnd w:id="59"/>
            <w:r>
              <w:rPr>
                <w:rFonts w:ascii="arial" w:eastAsia="arial" w:hAnsi="arial" w:cs="arial"/>
                <w:b/>
                <w:color w:val="000000"/>
                <w:sz w:val="30"/>
                <w:lang w:val="en-US" w:eastAsia="en-US" w:bidi="ar-SA"/>
              </w:rPr>
              <w:t>S.S. 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March 1999, Joan Costello, the plaintiff, purchased a Department of National Defence building that was slated for immediate demolition and had it barged to her property on Hornby Island. Ms. Costello applied for a Siting and Use Permit ["SUP"] in advance of the building's arrival, indicating the intended use of the building was both as a residence and in some other commercial, agricultural or cultural capacity, and asserting the building was below the residential height restriction as stipulated in the</w:t>
      </w:r>
      <w:r>
        <w:rPr>
          <w:rFonts w:ascii="arial" w:eastAsia="arial" w:hAnsi="arial" w:cs="arial"/>
          <w:i/>
          <w:color w:val="000000"/>
          <w:sz w:val="20"/>
          <w:lang w:val="en-US" w:eastAsia="en-US" w:bidi="ar-SA"/>
        </w:rPr>
        <w:t xml:space="preserve"> Hornby Island Land Use Bylaw No. 86, 1993</w:t>
      </w:r>
      <w:r>
        <w:rPr>
          <w:rFonts w:ascii="arial" w:eastAsia="arial" w:hAnsi="arial" w:cs="arial"/>
          <w:color w:val="000000"/>
          <w:sz w:val="20"/>
          <w:lang w:val="en-US" w:eastAsia="en-US" w:bidi="ar-SA"/>
        </w:rPr>
        <w:t xml:space="preserve"> (25 November 1993) [Bylaw]. Once the building arrived, it was evident that it far exceeded the Bylaw's height restrictions. The defendants informed Ms. Costello of the necessary steps to take to bring her building into compliance. In the ensuing years leading up to this litigation, Ms. Costello made applications and applied for a number of permits with the overall purpose of bringing the building into compliance with the Bylaw. Throughout, there was widespread community opposition toward Ms. Costello, her husband, John Grayson, and the building. Eventually, with an amendment to the Bylaw, the building was brought into conformity with the height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Costello advances a number of claims against the defendants, the Hornby Island Local Trust Committee ["HILTC"], the Islands Trust, the Islands Trust Council, and two trustees of the HILTC, Penny Griggs and Tony Law. The scope of Ms. Costello's pleadings has evolved both prior to and during the trial itself. In essence, Ms. Costello's allegations are based primarily in abuse of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include claims for breach of trust, mental distress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issues require determination:</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actions of some or all of the defendants constitute an abuse of public office?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some or all of the defendants negligent during the course of their duties?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trustees who owe Ms. Costello a duty to protect her building, and as such are liable for breach of trust?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Costello suffer mental distress as a result of the actions of some or all of the defendants?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conduct of some or all of the defendants, except Ms. Griggs, give rise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1996, Ms. Costello bought an 18.9 acre property on Hornby Island, zoned Rural Residential, which was surrounded by smaller lots. In 1999, for $1.00, Ms. Costello and Mr. Grayson rescued from immediate demolition an admittedly ugly, yellow vinyl-sided Department of National Defence office building called Flanders, which they perceived to be a heritage building. In fact, the building had no heritage value. The building was intended to be (and presently is) Ms. Costello's and her husband's personal residence. As she was required to remove the building quickly, Ms. Costello arranged to barge it to Hornby Island without investigating the Bylaw to determine any potential restrictions or issues in the siting or use of the building on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Hornby Island is part of the Islands Trust, a designated area to preserve and protect the unique amenities and environment of the approximately 5,200 square kilometres of land and water between the British Columbia mainland and southern Vancouver Island. The Hornby Island trust area is subject to the Bylaw that regulates, among other things, the use, location and size of buildings and structures permitted on the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Costello applied for a SUP prior to landing the building on Hornby Island. The application for a SUP clearly states that the applicant should obtain and read copies of the Hornby Island Official Community Plan and the Bylaw. Neither Ms. Costello nor Mr. Grayson obtained copies of either document or measured the height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Two and a half weeks before the building landed on Hornby Island, and before Ms. Costello obtained the first SUP, she clear cut a large swath of trees on her land to create a 60 foot driveway in order to locate and site the building. In doing so, she disturbed the natural ground surface required to measure building height in accordance with the Bylaw in force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building landed on Hornby Island, Ms. Costello was advised by an Islands Trust employee, in writing, that the building exceeded the height restrictions stipulated in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SUP was approved on April 16, 1999, after the building landed around April 14, 1999, on the understanding the building was not over 26 feet in height. In fact, from the outset the building was over height, in violation of the Bylaw. Ms. Costello moved the building onto Hornby Island in violation of the height restriction in the Bylaw and now argues that by attempting to regulate the height of her building the defendants were attempting to drive her off Hornby Island and into financial ruin. Ms. Costello asserts that the building, once landed on Hornby Island, became a unique amenity of the Island deserving of protection and preservation.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without dispute that Ms. Costello had an obligation to ensure her building was bylaw compliant in the first instance. I agree with the defendants that all the events and all the costs that ensued were the product of Ms. Costello's failure to exercise due diligence. Although Ms. Costello is the only plaintiff, her husband, an apparently astute businessman, was instrumental in orchestrating the events that unfolded, and he is the primary force driving this litigation. Mr. Grayson's excuse for not reading the Bylaw, or exercising even a modicum of due diligence, was that it was his vacation property. Ms. Costello offers no excuse except that she relied on her husband to take care of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ISLANDS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conduct of the defendants must be viewed in the context of their respective statutory obligations or functions as delineated in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1974, the province enacted legislation to create the Islands Trust to ensure the preservation and protection of the trust area, through land use planning and regulation for the benefit of the 25,000 residents of the trust area and of the province generally. Hornby Island, which has a permanent population of less than 1,000, is one of 13 major islands designated a trust area that, along with 450 smaller islands, comprise the Islands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object of the Islands Trust is stated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preserve and protect the trust area and its unique amenities and environment for the benefit of the residents of the trust area and of British Columbia generally, in cooperation with municipalities, regional districts, improvement districts, other persons and organizations and the government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Two policies to carry out the protection and preservation of the trust area are relevant to these proceedings. The first is an advocacy policy, directed at ensuring cooperation between other government agencies and local governments in fulfilling the object of the trust. This policy permits communication and advocacy on the part of local government and local trustees with government agencies about how best to address various issues and community interests which are otherwise outside the jurisdiction of local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policy relates to preserving and protecting the unique amenities and environment of the trust area by having regard to aesthetic and overall visual qualities and the preservation of a rural, scenic environment. The principal goal of this policy is to retain the rural residential character of the trust area. Therefore, home occupations such as Ms. Costello's proposed winery are permitted, but with restrictions and/or limitations that are designed to protect the integrity of the quiet, residential and rural neighbourhoods.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Official Community Plan plays a critical role in assessing community objectives and is reviewed every 5-10 years to re-evaluate community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outlines the organization and structure of the Islands Trust "for the purpose of carrying out the object of the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trust council, executive committee, local trust committees and trust fund board are continued for the purpose of carrying out the object of the trust.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council is intended to establish the general policies for carrying out the object of the trust and to be responsible for the financial management of the trust, other than financial management of the trust fund.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executive committee is intended to carry out the daily business of the trust, to review the activities of the local trust committees and to act as a local trust committee for that part of the trust area that is not in a local trust area or municipality.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trust committees are intended to regulate the development and use of land in their local trust area by exercising powers conferred by this Act, including powers that would otherwise belong to the regional district for each area.</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fund board is intended to administer the trust fund and to manage the real and personal property assets of the trust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Islands Trust is effectively a federation of independent local governments which plan land use and regulate development by developing official community plans, zoning and bylaws for each of the local trust areas. The original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was replaced on April 1, 1990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S.B.C. 1989, c. 68 which is substantially the same as the current version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designated trust area elects two local trustees every three years. The 26 local trustees comprise the Trust Council, which elects three trustees, one chair and two vice-chairs, to be members of the Executive Committee. The Trust Council's mandate is to establish land use policy within the trust area. The two elected local trustees of each designated trust area, with a chair from the Executive Committee, form the Local Trust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headquarters of the Islands Trust is located in Victoria. There are approximately 44 employees. There are three planning teams with the one for Hornby Island located on Gabriola Island. The budget of the Islands Trust, raised mostly from property taxes, is just over $6 million a year. The annual budget of the HILTC is about $3,000. A small amount of money is garnered through fees and grants. At the relevant time, local Trustees were paid an annual salary of approximately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Local Trust Committees have the same powers as regional districts to regulate land use. The bylaws of Local Trust Committees are subject to review by the Executive Committee and the Minister, and they must comply with established land use policy. There is no authority to deliver building inspection on permitting functions, which is handled by Regional Districts. The Regional District assigned to Hornby Island in 1999 was the Comox Strathcona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Hornby Island is a local trust area where there is no building bylaw in force so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and sets forth the process for granting SUPs. In this case, the HILTC required Ms. Costello to obtain a SUP pursuant to s. 31(2)(a). Section 31(3) provides that the permit must be refused if the construction does not comply with the applicable zoning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Islands Trust is a unique creature of statute. While similar to local governments, its actions must be viewed through the statutory framework and stated objects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preserve and protect the trust area and its unique amenities and environment". This was highlighted in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(1995), 10 B.C.L.R. (3d) 121</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28 M.P.L.R. (2d) 157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MacMillan Bloedel Ltd</w:t>
      </w:r>
      <w:r>
        <w:rPr>
          <w:rFonts w:ascii="arial" w:eastAsia="arial" w:hAnsi="arial" w:cs="arial"/>
          <w:color w:val="000000"/>
          <w:sz w:val="20"/>
          <w:lang w:val="en-US" w:eastAsia="en-US" w:bidi="ar-SA"/>
        </w:rPr>
        <w:t>.]. Madam Justice Southin, at para. 22, commented on the uniqueness of s. 3: "no comparable provision is to be found in any other legislation of this Province concerning municipal government". In the context of considering whether a Local Trust Committee had acted lawfully in "down zoning" with the intention of preventing development, she held, at para.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were no s. 3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I might be of a different opinion but s. 3 is not a mere piety. To put it another way, these by-laws were enacted for the purposes or the objects of s. 3 as well as for the health and welfare of the inhabitants of Galiano Island. They therefore had a lawful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Finch J.A. (as he then was), commented on the increased powers conferred on democratically elected local trust committees by the legislature, at paras. 177-178: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history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indicates a legislative intent to increase the powers of local trust committees. It also shows an intent to give increased effect to the object statement now contained in s. 3 by setting out the object statement in a separate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think it a clear inference that local trust committees exercising the powers conferred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the powers conferred in both s. 4(4) and s. 27(1)(a), have a legislative mandate to act in conformity with object statement in s.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all members of the Islands Trust Committees are now elected, either directly or indirectly. In my view courts should be slow to find bad faith in the conduct of democratically elected representatives acting under legislative authority, unless there is no other rational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PLAINTIFF'S PLEADINGS AND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28 day trial proceeded on the Fourth Amended Statement of Claim. Ms. Costello's pleadings and submissions were unclear and throughout much of the trial it was difficult to appreciate the legal or evidentiary foundations upon which she based her claims. Ms. Costello's claims, and the particulars in support of her claims, evolved as the evidence at trial unfolded and even during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main argument Ms. Costello advances is that having moved her building onto Hornby Island in violation of the Bylaw, the defendants, by attempting to enforce bylaw compliance, were seeking to drive her off the Island and into financial ruin.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Ms. Costello claims the Islands Trust and Islands Trust Council were negligent in failing to oversee and supervise the activities of the HILTC, including the two trustees named personally as defendants, Mr. Law and Ms. Griggs. Further, Ms. Costello alleges abuse of public office against the HILTC and the two personal defendants. Ms. Costello asserts the Islands Trust and Islands Trust Council are vicariously liable for the actions of the HILTC and the personal defendants, based on ss. 4(3) and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Ms. Costello claims $1.7 million for damages, which includes $1.5 million for punitive damages due to the conduct of the defendants (except Ms. Griggs).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number of the allegations, it is unclear whether a specific allegation is directed against a specific defendant or all of the defendants collectively. However, given Ms. Costello's claim regarding vicarious liability, this may not, in effect, have a significant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respect of abuse of public office, Ms. Costello alleges the HILTC and the two personal defendants engaged in wilful and deliberate conduct and targeted malice against her, which interfered with the use and enjoyment of her property. Ms. Costello claims those defendants sought to prevent her from enjoying the use of her property by engaging in conduct that was "outrageous, highhanded and vexatious". The particulars of these allegations may be summarized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an action against Ms. Costello to have her building removed from her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grant a development variance permit on the basis of a number of factors, including that the HILTC did not have the statutory authority to regulate certain issues, such as the appearance of Ms. Costello's home;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information to residents of Hornby Island about Ms. Costello's plans to operate a winery and trying to prevent her from operating such a business;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Contacting various government agencies regarding Ms. Costello's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Changing the definition of "height" in the Bylaw to obstruct Ms. Costello;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Writing "threatening and coercive" letters to Ms. Costello;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Interfering with the functions of the Islands Trust staff to obstruct investigations;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"drive Ms. Costello to financial ruin" and "off Hornby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particular Ms. Costello alleges, as against Mr. Law, that he engaged in deliberate and unlawful conduct against her with targeted malice and personal animosity. In the alternative, Ms. Costello alleges he acted recklessly and was wilfully blind. Ms. Costello states Mr. Law disclosed and circulated confidential and inaccurate information about her and her plans for her property to various people; acted with an improper purpose on a number of occasions, including at the development variance permit hearing by insisting Ms. Costello change the colour of the building, voting to provide funding to commence legal action against Ms. Costello and voting on a motion requiring further information from Ms. Costello about her proposed winery; and, acted with personal animosity towards Ms. Costello on a number of occasions, such as attempting to prevent the issuance of SUPs, and providing information to bylaw enforcement personnel about Ms. Costello's health and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against Ms. Griggs, an elected Hornby Island Trustee who served on the Hornby Island Local Trust Committee for less than one term, from December 2002 to November 2004, Ms. Costello advances similar allegations. Ms. Costello alleges Ms. Griggs acted outside the scope of her office by engaging in reckless, wilfully blind, and unlawful conduct. Ms. Costello alleges Ms. Griggs had a personal animosity towards her and her husband, which was demonstrated through Ms. Griggs failure to acknowledge Ms. Costello's growing support at a subsequent development variance permit hearing, and failure to follow-up on a request from Mr. Grayson to discuss road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Ms. Costello's allegations are that the Islands Trust and the Islands Trust Council were negligent in failing to properly supervise the activities of the HILTC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supervise the Local Trust Committee;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legal action against her without a proper or any investigation of the facts;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Informing her that her building had to be used solely for agricultural purposes;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in place adequate or any procedures for issuing Siting and Use Permits;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grant her an extension of time to build the tear-drop building;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supervise the Local Trust Committee in the conduct of the Petition action against her;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Trustee Tony Law to participate in the vote on the Executive Committee on the motion to provide funding for the Petition action against her;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issue a Siting and Use Permit in April 1999 for a building with a maximum height of 33 feet;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Misinforming her in April 1999 that her building could only be 26 feet;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her that its employee, Ed Pickard, could not properly determine the height of the building;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 proper survey of the height of the building;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a Notice of Board of Variance Hearing to be circulated on Hornby Island saying that the height of her house was 34 feet;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answer Ms. Costello's inquiries about various issues including how they calculated the height of her house;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Arbitrarily refusing to grant Siting and Use Permits;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up a scheme for Siting and Use Permits that was defective;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Misrepresenting to Ms. Costello in March and April of 2006 the contents of the Bylaw by stating that the building had to be used solely for agricultural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Costello claims damages for breach of trust, a claim which was neither properly pled or particularized. She admits breach of trust is a weak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Ms. Costello asserts she "has suffered and continues to suffer mental distress and aggravation of damages" as a result of the actions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Costello further alleges the conduct of the defendants gives rise to punitive damages (except against Ms. Griggs).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position of the defendants is that this lawsuit is motivated by Mr. Grayson's efforts to eliminate the Islands Trust and the land use and development control contemplated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defendants assert these efforts include:</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23, 2001 Mr. Grayson wrote a letter to then Minister of Community, Aboriginal and Women's Services George Abbott calling for the elimination of the Islands Trust;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Grayson distributed a pamphlet criticizing the Official Community Plan just before it was to be passed;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Grayson did not participate in a review process of environmentally sensitive areas;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17, 2005, Ms. Costello published an article suggesting Mr. Law had a "secret agenda to spend energy and money on a court battle", and she described the bylaw enforcement litigation as an "abuse of power and a waste of taxpayers' money" and suggested voters elect candidates other than Mr. Law (in fact, Mr. Law was defeated in the election but was re-elected in 2007 in a by-election; shortly after, in 2008, Ms. Costello added Mr. Law as a defendant in this lawsuit);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Costello published an article in October 2008, a month before the last election of local trustees (where Mr. Law was re-elected), suggesting the consent dismissal of bylaw enforcement proceedings against her was an admission her building was not over-height and that she was claiming damages against the HILTC for actions "in bad faith, with malice and in abuse of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argue that the Costello/Grayson course of conduct demonstrates hostility on the part of Ms. Costello and Mr. Grayson toward the Islands Trust and the local trustees, and under the guise of a tort action they are doing what they did not achieve at the ballot box. In the defendants' words, this lawsuit is "politics in the wrong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Costello's claims against the defendants must be viewed in the context of the entirety of the extensive evidence presented during the course of these lengthy proceedings. I do not intend an exhaustive review of all the evidence. Suffice it to say I have carefully considered all of the evidence although I may not have referenced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16, 1999, Ms. Costello purchased Flanders on terms that required it to be removed by April 9, 1999. The proposed moving date of the building was the week of April 13-14, 1999. The building was expected to land on Hornby Island around April 14-15,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Costello applied for a SUP on March 29, 1999. Printed on the application form was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Hornby Island Local Trust Area is subject to a land use bylaw that regulates; (i) the use of land and (ii) the use, location and size of buildings and structures permitted on the land. In lieu of building permits, Siting and Use Permits are required under Section 31 of the Islands Trust Act. These permits verify that any proposed construction/siting/use would comply with requirements of the Hornby Island land use bylaw and must be obtained prior to construction or any change in use of the land or existing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requirements of the Bylaw are expressed in both the General Regulations that apply to all lands in the Hornby Island Local Trust Committee Area and in the zone-specific regulations that apply to land within the zone. It is recommended that, prior to seeking a SUP, the applicant: (i) obtain and read copies of the Hornby Island Official Community Plan and Land Use Bylaw; (ii) establish a water supply, and (iii) obtain a sewage disposal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procedure for a SUP involves a desktop review to ensure compliance with zoning bylaw regulations. It is the responsibility of the applicant to provide reliable, accurate and truthful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application, Ms. Costello described the present use of the property as "Residence -- artist". She noted an existing "900 sq. ft. cabin -- used as a residence" and described the proposed use of property, including a description of any home occupations, as "agriculture, silviculture, advanced technology, consulting, art". She provided the dimensions of the two story "L" shaped building as 27 feet high with a footprint of 3,300 square feet. Ms. Costello had no way of knowing the actual height because she never measured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March 30, 1999, Ms. Costello was informed that it could take one to four weeks to issue a SUP. Ms. Costello's first application for a SUP was rejected by Steve Lee, an Islands Trust employee in the Victoria office who was the processing officer for the SUP, because the proposed use of the building was not stated and Mr. Lee concluded, rightfully, it was an accessory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April 7, 1999, Mr. Lee wrote Ms. Costello: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intended use of this structure is for activities that are not entirely related to farming, the building must be considered as an accessory building and under Section 3.6 of the Hornby Island Land Use Bylaw #86, 1993, the maximum height is restricted to 20 feet. As the building you propose to move onto the site is 27 feet we cannot issue a permit to site it on your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Costello's clarified by fax on April 13, 1999, that the use of the building would be residential and "after the building is placed on a foundation the building height will be 26' [feet] maximum". As stated, the building would be in compliance with the height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fax on April 13, 1999, Ms. Costello submitted an amended SUP application indicating:</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building will become my primary residence;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building is placed on a foundation the building height will be 26' [feet] maximum;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residence, a 860 sq. ft. cabin will be converted to accessory use once the new primary residence is completed and is ready for occupancy.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that these three changes result in this siting application to be in complete compliance with the bylaws governing Hornby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basis of the information provided by Ms. Costello, Mr. Lee approved the SUP on April 16, 1999, one or two days after the building had landed, with the following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dwelling being not more than 26 feet in height and that any home occupations carried out within this dwelling comply with all applicable Home Occupation Regulations in the Hornby Island Land Use Bylaw #86,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Grayson, on behalf of Ms. Costello, read and understood the limitation of the SUP, namely that the building could not exceed 26 feet in height once placed on the foundation. Neither Ms. Costello nor Mr. Grayson measured the height of the building, or obtained dimensions or measurements of the building from the Department of National Defence, or the barging company. The Motor Vehicle Branch permit to move the building on land indicated the height of the building was 32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Prior to siting the building, not only did Ms. Costello fail to review the applicable land use Bylaw, she failed to follow Mr. Lee's advice to obtain a proper survey (and did not obtain one until 2004), and she failed to heed Mr. Lee's offer to attend her property prior to the building being placed on its foundation to ensure the building was in compliance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early as May 4, 1999, Mr. Lee contacted Ms. Costello about her over-height building. Mr. Lee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received several inquiries from Hornby Island residents concerning the height of the proposed dwelling permitted under Siting and Use permit HO-SUP-04-99 that was recently issued to you. There seems to be some concern that your building being relocated to your Hornby Island property may exceed the 26' maximum height specified in the Hornby Island Land Use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discussed, a development variance permit is required in the event that any portion of your dwelling is to exceed this maximum height. I would suggest that prior to the final placement of this structure on its footings, that an accurate survey be carried out to assure that this maximum building height will not be exceeded. We would be pleased to come on site prior to the final placement of this building to verify its compliance with the bylaw provisions. Please advise at least one week in advance if you wish us to do this. In the absence of this prior inspection you may expect our bylaw investigations officer to determine compliance with this height restriction following placement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Had Ms. Costello determined the height of the building before it was placed on the foundation, she may have been able to take steps to ensure it was within the 26 foot height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trial, Ms. Costello asserted Islands Trust staff should have issued a permit that would have allowed her building to be 33 feet in height. Mr. Grayson contended that in order to get a SUP he was "forced" to write a letter to Mr. Lee stating that the building would be used as a residence. Ms. Costello maintains the intended use of the building was agricultural as she planned to live in an existing cabin and use the building for a number of possible purposes, including agriculture. This assertion is self-serving and contrary to the evidence, which clearly indicates the building was to be used as Ms. Costello's and Mr. Grayson's personal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trial, the following evidence was led from Mr. Grayson and Ms. Costello:</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Grayson described the building as his vacation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wrote to Mr. Lee that the building would be used as a residence;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Costello wrote a letter to the local newspaper on April 17, 1999, stating, "[my] partner and I have the task ahead to restore Flanders to her former glory and to make it our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suggestion that the building was intended to be used for agricultural purposes is a reconstructed account and contrary to the evidence in light of the clear statements from Ms. Costello and Mr. Grayson in 1999 that it was their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There was never any dispute that the building was subject to the 26 foot height limitation in the Bylaw. Nor was there any dispute that the building was over height. The fact that Ms. Costello now says she intended to use part of the building for a home occupation winery, as permitted by the Bylaw, does not make the building subject to the height permitted for an agricultural building. This interpretation is inconsistent with the intent of the Bylaw. The lower of the two height restrictions must apply, otherwise the residential height Bylaw would be rendered virtually meaningless: </w:t>
      </w:r>
      <w:r>
        <w:rPr>
          <w:rFonts w:ascii="arial" w:eastAsia="arial" w:hAnsi="arial" w:cs="arial"/>
          <w:i/>
          <w:color w:val="000000"/>
          <w:sz w:val="20"/>
          <w:lang w:val="en-US" w:eastAsia="en-US" w:bidi="ar-SA"/>
        </w:rPr>
        <w:t>Weyerhaeuser Company Ltd. v. Assessor of Area No. 4</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2008 BCSC 550</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[2008] B.C.J. No. 780</w:t>
        </w:r>
      </w:hyperlink>
      <w:r>
        <w:rPr>
          <w:rFonts w:ascii="arial" w:eastAsia="arial" w:hAnsi="arial" w:cs="arial"/>
          <w:color w:val="000000"/>
          <w:sz w:val="20"/>
          <w:lang w:val="en-US" w:eastAsia="en-US" w:bidi="ar-SA"/>
        </w:rPr>
        <w:t xml:space="preserve">, applying </w:t>
      </w:r>
      <w:r>
        <w:rPr>
          <w:rFonts w:ascii="arial" w:eastAsia="arial" w:hAnsi="arial" w:cs="arial"/>
          <w:i/>
          <w:color w:val="000000"/>
          <w:sz w:val="20"/>
          <w:lang w:val="en-US" w:eastAsia="en-US" w:bidi="ar-SA"/>
        </w:rPr>
        <w:t>Eccom Developments Ltd. v. Assessor of Area No. 9</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[1989] B.C.J. No. 69</w:t>
        </w:r>
      </w:hyperlink>
      <w:r>
        <w:rPr>
          <w:rFonts w:ascii="arial" w:eastAsia="arial" w:hAnsi="arial" w:cs="arial"/>
          <w:color w:val="000000"/>
          <w:sz w:val="20"/>
          <w:lang w:val="en-US" w:eastAsia="en-US" w:bidi="ar-SA"/>
        </w:rPr>
        <w:t xml:space="preserve"> (S.C.), 1989 CarswellBC 1094, aff'd </w:t>
      </w:r>
      <w:hyperlink r:id="rId192" w:history="1">
        <w:r>
          <w:rPr>
            <w:rFonts w:ascii="arial" w:eastAsia="arial" w:hAnsi="arial" w:cs="arial"/>
            <w:i/>
            <w:color w:val="0077CC"/>
            <w:sz w:val="20"/>
            <w:u w:val="single"/>
            <w:shd w:val="clear" w:color="auto" w:fill="FFFFFF"/>
            <w:lang w:val="en-US" w:eastAsia="en-US" w:bidi="ar-SA"/>
          </w:rPr>
          <w:t>[1989] B.C.J. No. 2107</w:t>
        </w:r>
      </w:hyperlink>
      <w:r>
        <w:rPr>
          <w:rFonts w:ascii="arial" w:eastAsia="arial" w:hAnsi="arial" w:cs="arial"/>
          <w:color w:val="000000"/>
          <w:sz w:val="20"/>
          <w:lang w:val="en-US" w:eastAsia="en-US" w:bidi="ar-SA"/>
        </w:rPr>
        <w:t xml:space="preserve"> (C.A.), 1989 CarswellBC 1363.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Almost immediately upon landing on Hornby Island, and perhaps even prior to, Ms. Costello's building attracted negative attention due to concerns of the neighbours of the introduction of an obviously over-height, large, yellow vinyl sided, military building in a rural residential area on the small island. Ms. Costello described her building as clad with "ugly vinyl siding" covering "all natural first growth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were immediate concerns about the proposed uses for the building: as visitor accommodation or a bed and breakfast that would require a change to the Official Community Plan and a zoning amendment; an artists' colony; a cultural centre; and later as a winery. Some of the neighbours felt Ms. Costello and Mr. Grayson had misrepresented their support for the building and misrepresented the "heritage" value of the building. In response they drafted a petition in opposition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Other than perhaps the school, Flanders was the biggest building on the Island, at over 10,000 square feet. The plaintiff's immediate neighbours were devastated as they felt the massive building interfered with their use and enjoyment of their property. Clearly this building did not fit in with the accustomed rural residential island size and ambiance.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Board of Variance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early as February 2000, Ms. Costello was told by Islands Trust staff that she would have to apply for a variance for her over-height building. She was provided an application form for a Board of Variance [BOV] hearing. The plaintiff submitted the application seven months later and applied to relax the height requirement of 26 feet to allow for 30.5 feet. Material distributed to the BOV indicated the height was 34 feet. This measurement appears to be an approximation of height measurements taken by one of two Islands Trust employees: one employee measured with an inclinometer and the other employee measured by counting the siding. Whatever the actual height, there is no dispute the building was over height, even if it could not be accurately measured because Ms. Costello had disturbed the natural ground surface before she applied for a 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BOV met on February 16, 2001. The BOV was established pursuant to s. 901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The HILTC must establish a Board of Variance with one person appointed by the HILTC, one by the Minister of Municipal Affairs and Housing and one appointed by the other two appointees. A decision of the BOV is discretionary. The BOV may order a variance from a bylaw where the applicant establishes undue hardship if forced to comply with a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Costello complains the BOV meeting was conducted improperly for two reasons. First, she says the chair did not control the overt hostility and "venom" directed toward her and her husband. Second, George Buvyer was on the BOV when he should have disqualified himself as he was a trustee when the building landed and apparently agreed with Mr. Law that the police should be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understand the evidence, the reference to calling the police when the building landed was either to ensure there was a proper transportation permit in place to move the building on land from the barge to the Costello property, or was in reference to whether the RCMP had any role in enforcing bylaw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time of the BOV meeting, no objection was taken to Mr. Buvyer being on the BOV. Ms. Costello was given an opportunity to speak at the BOV hearing. The BOV application was dismissed unanimously. A note in the final report indicated it was impossible to measure the height of the building because the natural ground surface had been destroyed. As noted, it was Ms. Costello who destroyed the natural ground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Only after the adverse ruling did Ms. Costello complain of "nepotism", "cronyism" and a "kangaroo court". The evidence of Derek Ward (a Hornby Island resident), Mr. Buvyer, Ed Picard (a retired Islands Trust planning assistant and secretary to the BOV) and Mr. Law conflicts with the evidence of Ms. Costello and Mr. Grayson that they were subjected to "two continuous hours of deceit, verbal abuse, libellous statements and threats", and that Mr. Law made inflammatory comments. Ms. Costello and Mr. Grayson's allegations about the BOV proceedings are a mischaracterization of the BOV proceedings and contrary to the weight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Ms. Costello has alleged misconduct on the part of the BOV, Ms. Costello never sought judicial review of the BOV's decision. The BOV is not a party to this proceeding. Given her failure to initiate judicial review proceedings of the BOV's decision, she cannot, more than eight years later, complain she did not get a fair hearing, or that one member had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response to the rejection of the BOV application, Mr. Ward heard Mr. Grayson say, as he was leaving the meeting, "well now the fun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Almost immediately thereafter Ms. Costello threatened to clear cut her 18 acres of forested property to sell the timber to pay for the cost of removing her roof. Clearly this was intended to intimidate the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Applications for further Siting and Use Permits and Development Variance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October 15, 2001, Ms. Costello was alerted to the likelihood of enforcement proceedings and cost consequences by Watson Smith, a bylaw enforcement officer. She responded at the deadline with a suggestion of using gabions.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second SUP was issued March 14, 2003 for a one-cornered "teardrop" structure, which would increase the footprint of the building to 8,000 square feet, and attach at a location where the existing natural ground surface was in tact. This would permit the new structure to be in compliance with the height restrictions of the Bylaw. A deck was built to connect to the teardrop structure, but otherwise the project was never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third SUP for a 40,000 square foot structure, applied for April 22, 2003, was denied because Ms. Costello refused to decommission the cabin on the property, and only one dwelling was permitted by the Bylaw. Ms. Costello's motivation in applying for this SUP was Mr. Grayson's perceived infringement of his property rights arising from a schedule D1 map attached to the Official Community Plan. Only Mr. Grayson claims to have seen yellow circles on a map that he believes targeted the Costello property as an environmentally sensitive eco-system area. The weight of the evidence does not support his contention. Ms. Costello testified she never had any serious intention of building a 40,000 square foot building and the motivation for submitting this third SUP was a tactical decision "like chess". Mr. Grayson did not respond to a subsequent offer to participate in an advisory planning committee to study environmentally sensitive mapping.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Development Variation Permit [DVP] application was made on November 18, 2003 to the HILTC. A DVP is discretionary and site specific. Prior to the HILTC considering the application, the Advisory Planning Commission [APC], which has an advisory function only, received public submissions and recommended the approval of the DVP application. The HILTC is not bound by the APC recommendations, as it has broader components to consider: s. 4(h), </w:t>
      </w:r>
      <w:r>
        <w:rPr>
          <w:rFonts w:ascii="arial" w:eastAsia="arial" w:hAnsi="arial" w:cs="arial"/>
          <w:i/>
          <w:color w:val="000000"/>
          <w:sz w:val="20"/>
          <w:lang w:val="en-US" w:eastAsia="en-US" w:bidi="ar-SA"/>
        </w:rPr>
        <w:t>Hornby Island Local Trust Committee Advisory Planning Committee Bylaw, 1994</w:t>
      </w:r>
      <w:r>
        <w:rPr>
          <w:rFonts w:ascii="arial" w:eastAsia="arial" w:hAnsi="arial" w:cs="arial"/>
          <w:color w:val="000000"/>
          <w:sz w:val="20"/>
          <w:lang w:val="en-US" w:eastAsia="en-US" w:bidi="ar-SA"/>
        </w:rPr>
        <w:t xml:space="preserve"> (8 February 1996) (as amended by </w:t>
      </w:r>
      <w:r>
        <w:rPr>
          <w:rFonts w:ascii="arial" w:eastAsia="arial" w:hAnsi="arial" w:cs="arial"/>
          <w:i/>
          <w:color w:val="000000"/>
          <w:sz w:val="20"/>
          <w:lang w:val="en-US" w:eastAsia="en-US" w:bidi="ar-SA"/>
        </w:rPr>
        <w:t>Hornby Island Local Trust Committee Bylaw No. 99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Prior to the DVP hearing, Ms. Costello, at the request of Mr. Law, provided a letter of apology to the community and undertook to address the visual impact of her building by changing the color. The HILTC decision to defer the DVP application from February 20, 2004 to September 2004 was unanimous as Ms. Costello undertook to change the colour of the siding on the structure. However, she did not do so in the six month time frame and the HILTC rejected Ms. Costello's DVP application. Mr. Law and Ms. Griggs both agreed Ms. Costello's failure to address the visual amenities was one factor in the HILTC's rejection. Mr. Law and Ms. Griggs indicated the impact on the neighbours and the community as a whole, due to the non-compliance with the Bylaw, was another factor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DVP is discretionary, and permits consideration of extrinsic factors other than mandated in the Bylaw, such as visual impact of a building, to determine if a variance of the Bylaw is in the interests of the community as a whole. Maintaining the quality of residential neighbourhoods is included in the Islands Trust Policy Statement and in the Official Community Plan as an important consideration of visual amenity in rural residential zoned areas. It matters not who could see Ms. Costello's over-height building, as the existence of a non-compliant building was a concern to the community as a whole, sight unseen. Although the Bylaw did not provide for regulation of the colour or appearance of the building, except for height, a DVP deals with a variance from a bylaw and visual impact associated with height, to ameliorate appearance, is within the mandate of the local trustees to preserve and protect the amenities of the Island, including rural neighbourhoods. It is fundamental to a municipal law regulatory scheme that on a variance application extrinsic factors such as colour or appearance can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Law and Ms. Griggs maintain that they kept an open mind throughout the DVP process, weighing all the pros and cons when they voted in the first instance to delay the application for six months and later voted against granting the DVP. They considered the impact on neighbours and the visual amenities of the island, as was their mandate. They felt they had nothing but promises from Ms. Costello and Mr. Grayson to ameliorate the impact of the building, and they were looking for concrete action. Both Mr. Law and Ms. Griggs impressed me as fair-minded and balanced in their approach and both took their trustee duties seriously. This impression is borne out by the witnesses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December 17, 2003, amendments were made to the Bylaw provision concerning height. Two days later Felicity Adams, an Islands Trust planner, sent a copy of the amended Bylaw to Ms. Costello and invited her to provide new elevation plans for a variance application based on the new height definitions. The amended Bylaw provides, as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HEIGHT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Buildings and structures other than accessory and agricultural buildings and structures must not exceed a height of 8 m (26 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Buildings and structures, other than accessory and agricultural buildings and structures, located within 100 m (328 ft) of the natural boundary of the sea must not exceed a height of 7 m (22 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Accessory buildings and structures must not exceed a height of 6 m (20 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Agricultural buildings and structures must not exceed a height of 10 m (33 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definition section of the Bylaw "height" means the vertical distance from the grade level to the highest point of a building or structure. "Grade level" means the average of the elevations of those points where two perimeter walls of a building or structure contact each other and the natural ground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this case, because the natural ground surface had been disturbed before the SUP was applied for and had been issued, it was difficult, if not impossible to measure the height of the building in accordance with the definition in the original Bylaw. Far from targeting Ms. Costello, the amended Bylaw defined height in an advantageous way so that she could readily bring her building into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fourth SUP application, filed on March 21, 2004, for decks and landscaping, went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fifth SUP, dated January 12, 2005, to add decks, a hot tub and raised flower beds, was declined because the Islands Trust planner, Mr. Marlor, could not get an explanation about the drawings and figures supplied by Mr. Grayson, on behalf of Ms. Costello, concerning the centre point of walls and height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sixth SUP for a gambrel roof was applied for on July 9, 2005, and issued September 22, 2005. In the normal course a SUP is issued for two years. This SUP was issued for 3 months, based on legal advice received by the HILTC, given the succession of SUPs issued to Ms. Costello with no construction being attempted or completed. There was concern by the HILTC and staff whether this SUP was a legitimate attempt to bring the building into compliance with the Bylaw or simply a tactic to avoid bylaw compliance. In addition, Ms. Costello indicated on the sixth SUP application that she was anxious to begin the project and misrepresented it was a simple straightforward project that was ready to proceed with a designated contractor available. The deadline for the SUP was extended one time at the request of Ms. Costello, but no further extension was requested before the SUP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designate Flanders an agricultural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zoning of Ms. Costello's property (Rural Residential) allows for home occupations subject to preserving the rural character and minimizing any impact on neighbours. On March 6, 2006 Ms. Costello applied to designate Flanders as an agricultural building, which had an allowable height of 33 feet, as she had received a BC Assessment Farmland designation for tax purposes. This request was denied as Ms. Costello indicated no intention of using the building exclusively for agriculture. Rather, she intended to use the building as both a winery and her residence. Mr. Grayson's explanation for the application is that Ms. Costello felt her back was against the wall and this was another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planning staff properly interpreted the intent of the Bylaw to apply the height requirement for a residential building to a dual use residential/agricultural building, as to do otherwise would lead to an absurd interpretation having regard to scheme and object of the Bylaw: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154 D.L.R. (4th)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Lazarev v. Toronto (City)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(2006), 25 M.P.L.R. (4th) 85</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[2006] O.J. No. 3553</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Impact on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Costello never addressed the colour of the siding or visual impact of the building with respect to her immediate neighbours. What she did was clear cut 20-30 feet from one neighbour's property, the Graves, and built what Joan Graves described as an "unsightly, invasive, haphazard" 30 foot straight line fence, with no corners, constructed from rough boards with irregular tops and bottoms. In addition, Ms. Costello clear cut 117 feet to the Wetzel property line, telling Mr. Wetzel it was for "fire control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Costello strung camouflage fish farm netting, using steel wire, in the trees facing the Graves' property. This was very upsetting to the Graves family who viewed this action as intimidating. Despite the fact Ms. Graves is legally blind from macular degeneration, she could still see with her peripheral vision what she perceived to be military installations around her cherished vacation property. Ms. Graves felt many promises were made by Ms. Costello to ameliorate the impact of her building that were not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Wetzel described the building as "abominable", "huge" and "ugly". He felt Ms. Costello and her husband were not being entirely candid in their plans for the building. He said his life was totally disrupted so he sold one of his lots to move to a different part of the island. His other lot is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Costello and Mr. Grayson suggest neighbourhood opposition stems from the neighbours using their property as a neighbourhood park with trails, and suggest the neighbours were upset that access was curtailed when they moved the building onto the property. This is not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the number of applications and proposals submitted by Ms. Costello and Mr. Grayson for the building and their property, many of which were overlapping and many submitted at the deadline, the Islands Trust staff prepared a chronology to assist new trustees and staff. This prompted Mr. Grayson to accuse them of preparing a secret dossier about him and Ms. Costello. However, I conclude there was nothing improper in this and it made good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Prior to the commencement of this action, legal action was commenced in 2005 by the defendants to enforce Bylaw compliance on the recommendation of the Islands Trust staff. This action resulted in a Consent Dismissal with each party bearing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the time this litigation was commenced, as a result of amendments to the Bylaw, the building had been brought into compliance through the use of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Ms. Costello's claim appears to be modeled 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police officers involved in a fatal shooting failed to cooperate in an investigation by the Special Investigations Unit. The family of the victim sued, alleging misfeasance in public office against the police officers and chief of police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chief of police, police services board and the province. The family also claimed damages for mental distress. In addressing issues based on whether portions of the statement of claim should be struck out as disclosing no reasonable cause of action, the Supreme Court of Canada considered the relevant principles of law applying to claims similar to those brought by Ms. Costello.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Iacobucci J. stated that the purpose of the tort of abuse of public office or misfeasance in public office is to "protect each citizen's reasonable expectation that a public officer will not intentionally injure a member of the public through deliberate and unlawful conduct in the exercise of public functions": at para. 30. The tort is not restricted to situations where public officers engage in unlawful conduct of a statutory power he or she actually possesses. Rather, the focus centres on whether the misconduct is deliberate and unlawful, and whether the officer is aware that it would likely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Iacobucci J. agreed with the House of Lords decision in </w:t>
      </w:r>
      <w:r>
        <w:rPr>
          <w:rFonts w:ascii="arial" w:eastAsia="arial" w:hAnsi="arial" w:cs="arial"/>
          <w:i/>
          <w:color w:val="000000"/>
          <w:sz w:val="20"/>
          <w:lang w:val="en-US" w:eastAsia="en-US" w:bidi="ar-SA"/>
        </w:rPr>
        <w:t>Three Rivers District Council v. Bank of England (No. 3)</w:t>
      </w:r>
      <w:r>
        <w:rPr>
          <w:rFonts w:ascii="arial" w:eastAsia="arial" w:hAnsi="arial" w:cs="arial"/>
          <w:color w:val="000000"/>
          <w:sz w:val="20"/>
          <w:lang w:val="en-US" w:eastAsia="en-US" w:bidi="ar-SA"/>
        </w:rPr>
        <w:t xml:space="preserve">, [2000] 2 W.L.R. 1220, [2000] 3 All E.R. 1, that the tort of misfeasance can arise in two ways, which he referred to as Category A and Category B. Category A involves situations where a public officer engages in conduct that is "specifically intended to injure a person or class of persons"; Category B involves a public officer who "acts with knowledge both that she or he has no power to do the act complained of and that the act is likely to injure the plaintiff":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Whether a claim falls under either category requires the plaintiff to establish two elements, in addition to the requirements of all torts. First, the public officer must have engaged in "deliberate and unlawful conduct in his or her capacity as a public officer". Second, the officer must have been aware that his or her conduct was "unlawful and that it was likely to harm the plaintiff":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difference between the two categories rests in the manner in which the plaintiff proves each element. In Category B cases, the plaintiff must prove the two ingredients independently of each other. In Category A cases, the express conduct of the officer to harm the plaintiff is sufficient to prove the requirements of the tort, as an officer does not have the authority to exercise his or her powers for improper purposes. In both cases, "the tort involves deliberate disregard of official duty coupled with knowledge that the misconduct is likely to injure the plaintiff":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outlining the requirements of the second element of the tort Iacobucci J. was clear that the requirements to establish the tort would not result in a floodgate of claims against public officials, and would not impact upon the authority of public officers to make decisions which are adverse to the interests of certain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Iacobucci J. noted that public officials often have to make decisions which harm certain segments of the population, yet do so in complete good faith, and this alone will be insufficient to establish liability. Instead, the officer's actions must be deliberate and inconsistent with the obligations of his or her office. Iacobucci J. stated,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Knowledge of harm is thus an insufficient basis on which to conclude that the defendant [officer] has acted in bad faith or dishonesty. A public officer may in good faith make a decision that she or he knows to be adverse to interests of certain members of the public. In order for the conduct to fall within the scope of the tort, the officer must </w:t>
      </w:r>
      <w:r>
        <w:rPr>
          <w:rFonts w:ascii="arial" w:eastAsia="arial" w:hAnsi="arial" w:cs="arial"/>
          <w:color w:val="000000"/>
          <w:sz w:val="20"/>
          <w:u w:val="single"/>
          <w:lang w:val="en-US" w:eastAsia="en-US" w:bidi="ar-SA"/>
        </w:rPr>
        <w:t>deliberately engage in conduct that he or she knows to be inconsistent with the obligations of the office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addition, a public official must act with knowledge that his or her unlawful conduct will cause harm to the plaintiff. While "unlawful conduct in the exercise of public functions is a public wrong", there is no basis for imposing liability on the officer, absent knowledge or awareness that such conduct would harm the plaintiff, as an individual: at para. 29. Thus, the plaintiff must establish a nexus between the officer's conduct and his or her awareness of potential harm to the plaintiff. This creates a relatively high threshold for the required mental state to establish the tort. In the words of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the public officer must demonstrate a conscious disregard for the interests of those affected by his or her </w:t>
      </w:r>
      <w:r>
        <w:rPr>
          <w:rFonts w:ascii="arial" w:eastAsia="arial" w:hAnsi="arial" w:cs="arial"/>
          <w:color w:val="000000"/>
          <w:sz w:val="20"/>
          <w:u w:val="single"/>
          <w:lang w:val="en-US" w:eastAsia="en-US" w:bidi="ar-SA"/>
        </w:rPr>
        <w:t>misconduct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Windset Greenhouses (Ladner) Ltd. v. Delta (Corp.)</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2007 BCCA 126</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66 B.C.L.R. (4th) 59</w:t>
        </w:r>
      </w:hyperlink>
      <w:r>
        <w:rPr>
          <w:rFonts w:ascii="arial" w:eastAsia="arial" w:hAnsi="arial" w:cs="arial"/>
          <w:color w:val="000000"/>
          <w:sz w:val="20"/>
          <w:lang w:val="en-US" w:eastAsia="en-US" w:bidi="ar-SA"/>
        </w:rPr>
        <w:t>, the Court of Appeal upheld the trial judge's dismissal of the appellant's claim for abuse of public office. Kirkpatrick J.A. upheld the trial decision based on the finding that the municipal officials acted under an honest but mistaken belief that Delta was acting within the scope of its powers. Kirkpatrick J.A. stated,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Windset places undue emphasis on what the municipality was told and what certain public officers did or said. It is important to bear in mind the principle established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that objective recklessness does not suffice to establish the requisite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trial decision, </w:t>
      </w:r>
      <w:hyperlink r:id="rId197" w:history="1">
        <w:r>
          <w:rPr>
            <w:rFonts w:ascii="arial" w:eastAsia="arial" w:hAnsi="arial" w:cs="arial"/>
            <w:i/>
            <w:color w:val="0077CC"/>
            <w:sz w:val="20"/>
            <w:u w:val="single"/>
            <w:shd w:val="clear" w:color="auto" w:fill="FFFFFF"/>
            <w:lang w:val="en-US" w:eastAsia="en-US" w:bidi="ar-SA"/>
          </w:rPr>
          <w:t>2006 BCSC 339</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 M.P.L.R. (4th) 74</w:t>
        </w:r>
      </w:hyperlink>
      <w:r>
        <w:rPr>
          <w:rFonts w:ascii="arial" w:eastAsia="arial" w:hAnsi="arial" w:cs="arial"/>
          <w:color w:val="000000"/>
          <w:sz w:val="20"/>
          <w:lang w:val="en-US" w:eastAsia="en-US" w:bidi="ar-SA"/>
        </w:rPr>
        <w:t>, Tysoe J. (as he then was) discussed the evidentiary burden required to satisfy the knowledge requirement,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judgment of the B.C. Court of Appeal in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94 B.C.L.R. (3d) 14</w:t>
        </w:r>
      </w:hyperlink>
      <w:r>
        <w:rPr>
          <w:rFonts w:ascii="arial" w:eastAsia="arial" w:hAnsi="arial" w:cs="arial"/>
          <w:color w:val="000000"/>
          <w:sz w:val="20"/>
          <w:lang w:val="en-US" w:eastAsia="en-US" w:bidi="ar-SA"/>
        </w:rPr>
        <w:t xml:space="preserve">] followed upon the decision of the House of Lords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As observed by Newbury J.A. at paragraph 7 of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the House of Lords rejected the actionability of unlawful conduct based on recklessness used in the objective sense. There must be subjective recklessness in the sense that the public official did not care or was wilfully blind as to whether his or her act was unlawful or whether his or her act was likely to cause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the case at bar, Ms. Costello argues the HILTC and Mr. Law and Ms. Griggs engaged in wilful and deliberate misconduct, which interfered with the use and enjoyment of her property. As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makes clear, the evidence must demonstrate that the defendants both engaged in wilful or unlawful misconduct and knew that such misconduct was likely to harm the plaintiff. In order to determine this, it is necessary to consider the factual context relating to both Mr. Law and Ms. Griggs. In doing so, I agree with the submission of the defendant that it is important to remember that trustees are elected officials. They sit on various bodies. They are not disqualified because they have an opinion or have taken part in a decision before. They come with predisposed views. That is a function of the democratic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Tony Law, a five-time elected trustee of the HILTC, is a long time Hornby Island resident. He was born in England where he studied education before coming to Canada. He has worked as a family and addictions counsellor, a mediator, and a special needs aide for children. He attempted to be non-partisan in his role as trustee. The evidence adduced at trial demonstrates that Mr. Law was a listener, sharing his thoughts and feelings, but always keeping an open mind as he explored ways to find a "win-win" solution between Ms. Costello and her neighbours. Mr. Law impresses me as an honest and sincere man who sought a community-based solution to a clear violation of the Bylaw that had the immediate neighbours and parts of the community incensed. There was an expectation by members of the community that the HILTC should act to enforce the Bylaw. In fact, at one point, members of the community threatened to take the HILTC to court to compel them to enforce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Law was the subject of personal attacks and felt assailed by both sides when he refused to take sides and attempted to provide a balanced perspective. He did not agitate the neighbours or the community against Ms. Costello or Mr. Grayson. All the neighbours called by the defendants as witnesses indicated that he had nothing to do with their petitions or alliances in opposition to Ms. Costello's building or her intended use of the building. Ms. Costello called no evidence to suggest otherwise, instead relying on innuendo and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Hornby Island is a small community prone to gossip, particularly of a political nature. From the outset, Ms. Costello upset the neighbours by suggesting she had their support for her over-height "heritage" building. This led to the first of many neighbourhood petitions, followed by perceived hostility to and ostracism of Ms. Costello and her husband by parts of the community. There was an element of fear in the community concerning proposed or potential uses of the building, and the likely impact on the community in terms of future uses affecting the quality of the rural residential neighbourhood, including possible commercial uses and the impact on scarce water resources, waste, and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beginning, Mr. Law sought a mediated solution. When Islands Trust staff recommended litigation to enforce the Bylaw, the HILTC decided to hire a mediator. Ms. Costello was willing to mediate but the neighbours, who felt they had done nothing wrong,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Law encouraged Ms. Costello to address the concerns of her neighbours by changing the colour of the siding, thus altering the visual impact of her building, something Ms. Costello had suggested she was willing to do from the outset. In advance of the DVP application Mr. Law attempted to get Ms. Costello to address the visual impact of her building by getting a letter of commitment from her. He indicated this was "not a clean way of proceeding" and Wayne Quinn, an Islands Trust planner, suggested to Mr. Law it was dangerous to tie the two together. I accept Mr. Law's explanation that he meant it was "not uncomplicated or less than straight forward," and the "clean way" to proceed would have led to an immediate rejection of the DVP application rather than a deferral for six months. In fact, Mr. Law attempted to give Ms. Costello an opportunity to ameliorate the visual impact of her building so that it would lead to a successful DVP application. Ms. Costello acceded to changing the colour of the siding; she cannot now challenge the efficacy of the procedure that attempted to balance her interests against the community interests: </w:t>
      </w:r>
      <w:r>
        <w:rPr>
          <w:rFonts w:ascii="arial" w:eastAsia="arial" w:hAnsi="arial" w:cs="arial"/>
          <w:i/>
          <w:color w:val="000000"/>
          <w:sz w:val="20"/>
          <w:lang w:val="en-US" w:eastAsia="en-US" w:bidi="ar-SA"/>
        </w:rPr>
        <w:t>Burnaby (City) v. Racanelli</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45 M.P.L.R. (2d) 117</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[1998] B.C.J. No. 545</w:t>
        </w:r>
      </w:hyperlink>
      <w:r>
        <w:rPr>
          <w:rFonts w:ascii="arial" w:eastAsia="arial" w:hAnsi="arial" w:cs="arial"/>
          <w:color w:val="000000"/>
          <w:sz w:val="20"/>
          <w:lang w:val="en-US" w:eastAsia="en-US" w:bidi="ar-SA"/>
        </w:rPr>
        <w:t xml:space="preserve"> (S.C.)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number of allegations have been made concerning misconduct on the part of Mr. Law. I will address only a few of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First, Mr. Law denies telling Mr. Grayson, "take your damn building off the Island". I conclude such a comment would be out of character having regard to the weight of the evidence of how Mr. Law conducted himself as well as the evidence of a number of witnesses who said they never heard Mr. Law speak ill of Ms. Costello or Mr. Grayson.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Second, there is nothing untoward in Mr. Law sending emails to an "undisclosed recipient list" having regard to his explanation that he was respecting the privacy of the recipients, and that he had various lists depending on a person's area of interest in the many projects which he was involved in as their elected representative. In fact, Ms. Costello was in receipt of such emails from Mr. Law. There is a perfectly reasonable explanation as to why she may not have received every email Mr. Law may have sent. There is no evidence supporting Ms. Costello's allegations of intentional concealment, or a conspiracy or plot against her or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Third, an email from Ron Emerson, dated March 2, 2001, suggesting that the location of an easement on the northern tip of the Costello property would be a logical point of entry to a 5 acre "community forest park" was directed to a "defendable development" of a maximum of six 400 sq. ft. self contained cabins. Despite Mr. Grayson perceiving this as "blackmail", it is obvious this is in reference to a possible zoning change and an amendment to the Official Community Plan and had nothing to do with the over-height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Ms. Costello alleged it was Mr. Law who first disseminated information about Ms. Costello's proposed winery when, in fact, Ms. Costello and Mr. Grayson first advertised it at a fall fair. The evidence establishes that Mr. Law did not oppose the winery. In 2003, he supported Ms. Costello and her winery subject to operation as a home occupation. In fact, he advocated for Ms. Costello and Mr. Grayson's position. He often demonstrated contrary positions to the neighbours and their petitions, maintaining the winery would not have the negative effect feared and disseminated information to diffuse the misinformation. Mr. Law advised Ms. Costello and Mr. Grayson what those opposing the winery were saying and he attempted to dispel misinformation. Mr. Law saw himself as a facilitator, endeavouring to open lines of communications between opponents who were mistrustful and angry. He was caught between the proverbial rock and a hard place, pleasing neither side. Mr. Law's approach was not perfect, and in retrospect may be open to criticism, but he did the best he could with the situation he faced as he tried to dispel misinformation and bring the sides together in mutual understanding. It was within the Islands Trust mandate and Mr. Law's mandate as an elected trustee to act in an advocacy role to consult with and work cooperatively with other agencies, including the Liquor Control and Licensing Board, Ministry of Transport and Highways, and the Ministry of Health (now the Vancouver Island Health Authority) to ensure the Islands Trust statutory mandate was fulfilled. This has been wrongly misinterpreted by Ms. Costello and Mr. Grayson as conspiracy or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Far from Ms. Costello's and Mr. Grayson's suggestions that Mr. Law was trying to stir up, agitate, or rile up the neighbours against them, the evidence establishes that Mr. Law's efforts were directed at trying to calm the community and provide accurate information. He was trying to dispel misinformation and brewing problems, often advocating Ms. Costello's and Mr. Grayson's position. There was nothing improper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One time Mr. Law inadvertently disseminated confidential information about the winery and immediately apologized for his mistake. No harm flowed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was within Mr. Law's mandate to pass on information concerning potential bylaw violations to bylaw enforcement for investigation. The Islands Trust and the trustees have the ability to investigate and determine whether the land use bylaws are being observed. In the same vein, there was nothing wrong with Felicity Adams, a planner with the Islands Trust, inquiring of Ms. Costello about her proposed home operation winery business to ensure bylaw compliance, particularly given the history of non-compliance with respect to this property. Ms. Costello does not live in a vacuum. Like it or not, her property is subject to land use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Griggs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Penny Griggs was a trustee for less than one term, from December 2002 to November 2004. She moved to Hornby Island in 1995 and did not live on Hornby Island in 1999 when Ms. Costello barged her building to the island. Ms. Griggs attended Simon Fraser University but did not complete her Bachelor of Arts degree. She has worked as a manager of a food co-operative, at a gas station, a marina, a credit union, as a landscaper, a housecleaner, and a long-term care aide. She had no political experience and was encouraged to run for office to represent the interests of the younger voters.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case against Ms. Griggs is groundless. She was joined as a party eight months before trial, and possibly outside the limitation period, an issue I decline to decide given the outcome I have reached, because Ms. Costello's counsel could not get an order to examine her on behalf of the defendants. Joining her as a party was highly unusual, ill-conceived and ill-advised.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evidence of Judith Walmsley, Ms. Costello's friend, that she heard Ms. Griggs publicly comment that the Islands Trust would sue Ms. Costello, is rejected as unreliable, although she does report what was a known fact. Ms. Griggs denies she made the comments attributed to her by Ms. Walmsley and denies being the person described by Ms. Walmsley.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the suggestion Ms. Griggs questioned Mr. Grayson's honesty, Ms. Griggs maintains she did have justifiable concerns about Mr. Grayson's honesty because he and Ms. Costello failed to follow through with changing the colour of the siding on the building as Ms. Costello had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evidence does not support Ms. Costello's claim that the defendants acted in bad faith and with malice, and are liable for abuse of public office. In fact, the evidence is to the contrary. Rather than showing subjective recklessness, the evidence before this Court demonstrates that all the defendants, and particularly the HILTC and trustees Law and Griggs, acted in good faith throughout their dealings with Ms. Costello. Thus, Ms. Costello has failed to establish the first element required to establish the tort of abuse of office, as outlined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the trustees have fulfilled their mandate consistent with their statutory obligations. They exhibited no bias, and they properly exercised their discretion taking care not to pre-judge the issues, keeping an open mind throughout, and trying to find a means to accommodate Ms. Costello and the interests of the community. There is no evidence of targeted malice or malicious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Costello has not proven on a balance of probabilities that any of the defendants acted with the necessary subjective intent or recklessness, or in a manner inconsistent with their statutory obligations. Certainly any alleged actions by the defendants characterized as unlawful, or inconsistent with the obligations of their office, were not motivated by malice and they were not wilfully blind to potential injury to Ms. Costello. Rather, the actions of the defendants were motivated by the desire to find an amicable solution to a dispute between neighbours. Enforcement litigation was considered on the advice of staff only when these efforts failed. The evidence shows that the pursuit of enforcement was undertaken in good faith and by following proper and normal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Newbury J.A. noted, at para. 9, that judicial caution was "indicated" due to the factual context of that case, which involved different officials (some elected and some not) and government agencies (some bureaucratic in nature and some with executive authority), and it was important for the court to keep in mind the practical context in which the decision-makers were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 case at bar, this court is being asked to second guess the decisions of local politicians, as well as staff of the Islands Trust, who were attempting to solve a very heated dispute between neighbours with entrenched views. The court is being asked to find liability from within the grassroots efforts of those elected and non-elected officials with no regard to the practical circumstances facing the officials on Hornby Island. The evidence establishes the defendants acted in good faith. No liability rests upon them for the tort of abuse of public office 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Ms. Costello must establish three elements in order to succeed in her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owed her a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that the defendants breached that duty of care;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damages resulted from that breach: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 duty is defined as an "obligation, recognized by law, to take reasonable care to avoid conduct that entails an unreasonable risk of harm to others":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45. The existence of the "general conception of relations giving rise to a duty of care" was recognized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at 580, [1932] All E.R. Rep. 1 (H.L.), where the court held that a duty of care is owed to one's neighbour, and connotes a concept of proximity. It is well-accepted that establishing a duty of care must be done through the two-step analysis outlined by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[1972] 2 W.L.R. 1024 and adopted by the Supreme Court of Canada in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and further clarified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The two-step approach, recast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11, asks: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or "proximity" to justify imposition of a duty and, if so,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the scope of the duty, the class of persons to whom it is owed or the damages to which breach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As a preliminary matter, the Court in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23, </w:t>
      </w:r>
      <w:hyperlink r:id="rId203" w:history="1">
        <w:r>
          <w:rPr>
            <w:rFonts w:ascii="arial" w:eastAsia="arial" w:hAnsi="arial" w:cs="arial"/>
            <w:i/>
            <w:color w:val="0077CC"/>
            <w:sz w:val="20"/>
            <w:u w:val="single"/>
            <w:shd w:val="clear" w:color="auto" w:fill="FFFFFF"/>
            <w:lang w:val="en-US" w:eastAsia="en-US" w:bidi="ar-SA"/>
          </w:rPr>
          <w:t>31 B.L.R. (2d) 147</w:t>
        </w:r>
      </w:hyperlink>
      <w:r>
        <w:rPr>
          <w:rFonts w:ascii="arial" w:eastAsia="arial" w:hAnsi="arial" w:cs="arial"/>
          <w:color w:val="000000"/>
          <w:sz w:val="20"/>
          <w:lang w:val="en-US" w:eastAsia="en-US" w:bidi="ar-SA"/>
        </w:rPr>
        <w:t xml:space="preserve">, noted that proximity is a broad concept that is capable of subsuming different categories of cases with different factors. Therefore, the starting point for a duty of care analysis is to determine whether there exists an analogous category of cases in which a duty of care has been recognized, thereby making it unnecessary to go through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36, the court listed examples of categories where proximity had been recognized in prior case law. The list of categories is not closed but merely captures the notion of precedent and therefore new categories may be established, through a careful consideration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first step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examines whether there is a sufficiently close relationship between the parties so that the defendant owes the plaintiff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determining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established, the plaintiff must demonstrate the "harm is a reasonably foreseeable consequence of the conduct in question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there is a sufficient degree of proximity between the parties ...":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48 (emphasis in original);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31. Proximity will not always be satisfied by reasonable foreseeability: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Proximity is used to characterize the type of relationships in which a duty of care to guard against foreseeable harm may arise. The concept of proximity therefore requires courts to examine whether it is "just and fair" to impose a duty of care on the defendant. Factors which may be relevant to this inquiry include: expectations of the parties, representations, reliance and the nature of the property or interest involved: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50. Furthermore, factors giving rise to proximity must be grounded in the governing statute when there is one, as in the present case: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at para. 9. While this inquiry does involve certain policy considerations, it is distinct from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as it is in relation to the parties and their relationship and whether the above factors support the imposition of a duty of care. Therefore, proximity requires a consideration of both factual closeness and policy considerations with respect to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through foreseeability and factors going to the relationship between the parties, the second stage of the analysis requires the court to assess whether any residual policy considerations should limit the scope of the duty or class of persons to whom it is owed, or negate it altogether. Here the focus should centre, not on the relationship between the parties, but rather on the effects of imposing a duty on other legal obligations, the legal system and society generally. Thus, despite the reasonable foreseeability of harm and proximate relationship, consideration must be given to whether there are any "broad policy considerations" that would make it unfair to impose a duty of care: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51. Situations involving government policy decisions are one example of a residual policy concern that has been held to immunize government actors from liability, as such decisions are the prerogative of the legislature: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this case, Ms. Costello's foundation for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less than clear. The pleadings, as outlined earlier in these reasons, are vague and do not clearly set out a factual and legal basis for Ms. Costello's case. The essence of the pleadings appears to be that the Trust Council was negligent in its oversight, or failed to properly supervise, the HILTC during the SUP and DVP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important to note that neither the pleadings nor the evidence clearly identified the harm that was suffered as a result of these alleged breaches. The building is now in compliance with the amended Bylaw; there was no evidence to what extent, if any, the impugned actions of the defendants had on Ms. Costello's intended use for her property or the proposed winery. The evidence simply does not disclose any harm suffered by Ms. Costello.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addition to these problems, Ms Costello has not cited, nor am I aware of, any authorities which recognize a duty of care in the circumstances that she alleges in this case. The analysis must therefore turn to whether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extended to establish a novel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first question that must be asked to determine if a duty of care exists is "whether the circumstances disclose reasonably foreseeable harm and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41. Ms. Costello appears to argue that had the Trust Council properly supervised the HILTC she would not have suffered harm; although it is not clear the nature or extent of the harm. The question is, does the Trust Council owe a duty of care to an individual making permit and variance applications before the HILTC?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this case, the factors relating to proximity must arise from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creates the Trust Council and the Executive Committee of the Trust Council. The statute does not impose a duty of care as alleged by Ms. Costello, but rather a duty to both the citizens of the islands and the province generally to fulfill the object of the trust outlined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Southin J.A. noted in </w:t>
      </w:r>
      <w:r>
        <w:rPr>
          <w:rFonts w:ascii="arial" w:eastAsia="arial" w:hAnsi="arial" w:cs="arial"/>
          <w:i/>
          <w:color w:val="000000"/>
          <w:sz w:val="20"/>
          <w:lang w:val="en-US" w:eastAsia="en-US" w:bidi="ar-SA"/>
        </w:rPr>
        <w:t>MacMillan Bloedel Ltd</w:t>
      </w:r>
      <w:r>
        <w:rPr>
          <w:rFonts w:ascii="arial" w:eastAsia="arial" w:hAnsi="arial" w:cs="arial"/>
          <w:color w:val="000000"/>
          <w:sz w:val="20"/>
          <w:lang w:val="en-US" w:eastAsia="en-US" w:bidi="ar-SA"/>
        </w:rPr>
        <w:t>., s. 3 is a unique provision which is not found in other legislation concerning municipal governments. The Trust Council's powers and duties relate to the protection and preservation of the whole trust area and its unique amenities. While the Trust Council does oversee the activities of the HILTC, its duties extend far beyond that alleged here and to impose a duty of care on the Trust Council with respect to individuals dealing with the HILTC may give rise to conflict with those overarching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I agree that the Trust Council may have reasonably foreseen harm to Ms. Costello if the HILTC was negligent in assessing the permit application, there is no duty of care owed because Ms. Costello cannot point to factors in the relationship that establish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Having concluded no proximity exists sufficient to found a duty of care, there is no need to proceed to the second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However, I would note there are strong policy reasons militating against the recognition of a duty of care under the second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Trust Council is required to balance the interests of the residents, the municipalities, other organizations and British Columbians as a whole, while trying to achieve the object of the Trust which is "to preserve and protect the trust area and its unique amenities and environment";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effect of imposing a duty of care owed to individual residents would result in a conflict with the overarching duties prescribed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object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Policy decisions of government actors that require the exercise of discretion must be given deference by the court: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Even if I could conclude a duty of care exists, I conclude the defendants did not breach this duty. Ms. Costello, bears the burden of proof and she has provided no evidence of the standard of care. Furthermore, the evidence does not support Ms. Costello's argument that the defendants breached their duty, even assuming a high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Based on my earlier findings, all of the defendants followed established procedures and performed their duties in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manner. The defendants performed all of their actions in good faith in an attempt to enforce a valid bylaw and, particularly in the case of Mr. Law, to seek an amicable solution to a very heated dispute between a group of concerned residents of Hornby Island and Ms. Costello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no evidence of negligent oversight by the Islands Trust of the activities of the HILTC. A member of the Executive Committee of the Islands Trust chairs the HILTC. At every HILTC meeting, staff from the Islands Trust sit in and take minutes. There are policies in place and a reporting system and procedures if wrongdoing is encountered. None was ever observed or recorded at any HILTC meeting 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does not challenge the validity of the procedures themselves, but rather the decisions resulting from those procedures. The actions of all of the defendants, elected and non-elected, were performed to execute the required duties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Hornby Island bylaws. In all instances, I find the defendants executed these duties properly and in good faith. Furthermore, the defendants made a number of attempts to assist Ms. Costello to bring her building into compliance with the Bylaw, by delaying hearings, extending permits, or providing general advice about bylaw compliance. Having concluded the defendants actions were all performed in the good faith exercise of their statutory duties, Ms. Costello has failed to establish a breach of the duty of care, assuming one was owed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breach of trust claim appears to have been an afterthought. It was neither properly pled nor particularized. Ms. Costello characterizes the trust claim such that "the Trust property is clearly the Trust area including the property the Plaintiff owns and occupies". Ms. Costello acknowledges she has a weak argument in support of her trust claim, suggesting the defendants are trustees who owe a duty to protect her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fact, no such trust relationship exists in fact or in law as the defendants are not trustees of Ms. Costello's property. To the extent that Ms. Costello's property is within the jurisdiction of the Islands Trust, it is subject to the benefits of and the land use obligations of the Islands Trust outlined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"to preserve and protect the trust area and its unique amenities and environment for the benefit of the residents of the trust and of British Columbia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not intended to create a private law duty as between the Islands Trust and Ms. Costello. Rather, it intended to create a general public law duty for the Islands Trust to act in a manner to preserve the trust area. Further, local trust committees cannot be responsible as fiduciaries to individual residents, particularly in the realm of bylaw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law for damages arising from mental distress was recently examined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9, </w:t>
      </w:r>
      <w:hyperlink r:id="rId143"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(Eng.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[1996] 1 A.C. 155, at p. 189; </w:t>
      </w:r>
      <w:r>
        <w:rPr>
          <w:rFonts w:ascii="arial" w:eastAsia="arial" w:hAnsi="arial" w:cs="arial"/>
          <w:i/>
          <w:color w:val="000000"/>
          <w:sz w:val="20"/>
          <w:lang w:val="en-US" w:eastAsia="en-US" w:bidi="ar-SA"/>
        </w:rPr>
        <w:t>Linden and Feldthusen</w:t>
      </w:r>
      <w:r>
        <w:rPr>
          <w:rFonts w:ascii="arial" w:eastAsia="arial" w:hAnsi="arial" w:cs="arial"/>
          <w:color w:val="000000"/>
          <w:sz w:val="20"/>
          <w:lang w:val="en-US" w:eastAsia="en-US" w:bidi="ar-SA"/>
        </w:rPr>
        <w:t xml:space="preserve">,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(Ont. C.A.): "Life goes on" (para. 60). Quite simply, minor and transient upsets do not constitute personal injury,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Iacobucci J. also addressed this issue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at para. 74, in respect of psychiatric damages arising out of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discussed in the context of the actions for misfeasance in a public office, courts have been cautious in protecting an individual's right to psychiatric well-being, but it is well established that compensation for psychiatric damages is available in instances in which the plaintiff suffers a "visible and provable illness" or "recognizable physical or psychopathological harm". At the pleadings stage, it is sufficient that the statement of claim alleges mental distress, anger, depression and anxiety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Causation and the magnitude of psychiatric damage are matters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is no evidence to support a claim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Costello failed to establish that conduct on the part of the defendants caused her to suffer a "visible and provable illness" or even that she suffered a "visible and provable illness". Given the lack of evidence adduced establishing that Ms. Costello suffered from any kind of illness, her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Ms. Costello seeks $1.5 million for punitive, aggravated and exemplary damages based on the conduct of all the defendants except Ms. Griggs. A number of the decisions relied upon by the plaintiff involve insurance companies and breaches of the duty of good faith: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Khazzaka v. Commercial Union Assurance Co. of Canada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(2002), 66 O.R. (3d) 390</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162 O.A.C. 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Plester v. Wawanesa Mutual Insurance Co.</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(2006), 213 O.A.C. 241</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269 D.L.R. (4th) 624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Phan v. Jevco Insurance Co</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[2008] O.J. No. 5656</w:t>
        </w:r>
      </w:hyperlink>
      <w:r>
        <w:rPr>
          <w:rFonts w:ascii="arial" w:eastAsia="arial" w:hAnsi="arial" w:cs="arial"/>
          <w:color w:val="000000"/>
          <w:sz w:val="20"/>
          <w:lang w:val="en-US" w:eastAsia="en-US" w:bidi="ar-SA"/>
        </w:rPr>
        <w:t xml:space="preserve"> (S.C.J.), 2008 CarswellOnt 8754.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Punitive damages are restricted to exceptional cases where advertent wrongful acts are so malicious and outrageous that the court concludes they are deserving of punishment on their own: </w:t>
      </w:r>
      <w:r>
        <w:rPr>
          <w:rFonts w:ascii="arial" w:eastAsia="arial" w:hAnsi="arial" w:cs="arial"/>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xml:space="preserve"> at para. 68, </w:t>
      </w:r>
      <w:hyperlink r:id="rId141" w:history="1">
        <w:r>
          <w:rPr>
            <w:rFonts w:ascii="arial" w:eastAsia="arial" w:hAnsi="arial" w:cs="arial"/>
            <w:i/>
            <w:color w:val="0077CC"/>
            <w:sz w:val="20"/>
            <w:u w:val="single"/>
            <w:shd w:val="clear" w:color="auto" w:fill="FFFFFF"/>
            <w:lang w:val="en-US" w:eastAsia="en-US" w:bidi="ar-SA"/>
          </w:rPr>
          <w:t>[2008] 2 S.C.R. 362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To succeed in a claim for punitive damages there must be evidence of serious "moral blameworthiness and culpability ... sufficient to attract a condemnatory response usually characterized as 'outrageous'": </w:t>
      </w:r>
      <w:r>
        <w:rPr>
          <w:rFonts w:ascii="arial" w:eastAsia="arial" w:hAnsi="arial" w:cs="arial"/>
          <w:i/>
          <w:color w:val="000000"/>
          <w:sz w:val="20"/>
          <w:lang w:val="en-US" w:eastAsia="en-US" w:bidi="ar-SA"/>
        </w:rPr>
        <w:t>Greaves v. Grace</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2009 BCSC 394</w:t>
        </w:r>
      </w:hyperlink>
      <w:r>
        <w:rPr>
          <w:rFonts w:ascii="arial" w:eastAsia="arial" w:hAnsi="arial" w:cs="arial"/>
          <w:color w:val="000000"/>
          <w:sz w:val="20"/>
          <w:lang w:val="en-US" w:eastAsia="en-US" w:bidi="ar-SA"/>
        </w:rPr>
        <w:t xml:space="preserve"> at para. 8, 2009 CarswellBC 746.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this case there is no evidence that any of the defendants engaged in malicious or outrageous conduct. In fact,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is important to note that Mr. Law was only one of three members of the HILTC. The decisions made concerning Ms. Costello's property were made by the HILTC, not by Mr. Law or Ms. Griggs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Furthermore, the evidence simply does not support Ms. Costello's contention that Mr. Law engaged in conduct that was "outrageous, highhanded and vexatious". This is borne out in the evidence given by a number of individuals associated with the Islands Trust or HILTC, and or Hornby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Gary Richardson, a planner who worked for the HILTC, never heard Mr. Law or Ms. Griggs speak negatively of, or act with malice toward, Ms. Costello or her husband. He never perceived either to attempt to influence his role as a planner. He found Mr. Law to be an extremely dedicated and caring person who tried to do the very best for the HILTC and The Islands Trust and who took his role very seriously. He found Ms. Griggs to be a dedicated person who wanted to do the best and make the best decisions for Hornby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Felicity Adam, a planner, did not recall either Mr. Law or Ms. Griggs saying anything negative about Ms. Costello or Mr. Grayson. She stated that neither attempted to influence her in her dealings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Watson Smith, a retired Islands Trust Bylaw Investigations Officer, never heard Mr. Law speak ill of Ms. Costello or Mr. Grayson, or anyone. He described Mr. Law as conscientious in doing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Ed Picard, a retired Islands Trust Planning Assistant and secretary to the BOV, never heard Mr. Law say anything negative about Ms. Costello or Mr. Grayson. He never believed Mr. Law attempted to influence any tasks or undertakings, and he was never concerned about any activities of Mr. Law, regarding Ms. Costello's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George Buvyer, a former Trustee of the HILTC, described Mr. Law as having a desire to see a mediated resolution between Ms. Costello and her neighbours to try to get harmony in the community. He never heard Mr. Law speak ill of Ms. Costello or Mr. Grayson.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Derek Ward, a Hornby Island resident, never heard Mr. Law say anything inflammatory or negative about Ms. Costello, although at one point Mr. Law said he was getting tired of the constant work Ms. Costello and Mr. Grayson presented to him and the Islands Trust. While the neighbours were very vocal, upset, and angry about the building and concerned about possible future uses, Mr. Ward found Mr. Law very conciliatory and always trying to reach a consensus.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Leagh Farrell, a member of the Advisory Planning Committee, was active in opposing a winery on the plaintiff's property in the belief that it was a commercial enterprise within a small lot area and because there were concerns about the impact on the environment and water supply. Neither Mr. Law, Ms. Griggs nor any Islands Trust staff were involved in the creation of the group opposing the winery. In fact, Mr. Law supported the idea of the winery. He had answers for all the community concerns about traffic and contamination of ground water. He was trying to be the honest broker to get the community to understand who made the decisions and the basis for the decisions, trying to impress on the community that other agencies had the primary decision-making role. Mr. Law felt if the community understood they would be more accepting of the winery proposal. Mr. Law never made any negative personal comments about Ms. Costello or her husband. Mr. Law always behaved in a professional manner, trying to do what was best for the Island in accordance with his mandate. Mr. Farrell could not recall Ms. Griggs making any negative comments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Kurt Wetzel, a Hornby Island resident with property adjacent to Ms. Costello's, said no trustee or member of the Islands Trust asked him to write any letters in opposition to the Costello property. He was not very impressed with Mr. Law because Mr. Law disliked conflict and kept trying to mediate instead of enforcing the Bylaw. Mr. Wetzel did not want to mediate because he did not feel he had done anything wrong. He wanted the Bylaw enforced. Mr. Wetzel never heard Mr. Law say anything negative about Ms. Costello or Mr. Grayson. Mr. Wetzel felt Ms. Costello and her husband were not being entirely candid, as their story and plans for the property kept changing. Mr. Wetzel sold his property to get away from Ms. Costello and her husband, saying it totally disrupted his life. Commenting on any community support Ms. Costello may have generated, Mr. Wetzel commented, "[e]ven a skunk has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Joan Graves, a neighbour of Ms. Costello, spoke of promises made and constantly broken, intimidating actions, and a great deal of distress for her family. She said Mr. Law listened intently to her concerns. Ms. Graves described Mr. Law as a highly principled person. She felt if she could make him aware of the seriousness of the problem, he would initiate some action to deal with it. That did not turn out to be correct as she felt Mr. Law "talked the talk but did not walk the walk" as he listened and treated everyone with respect but took no steps to correct the problem. She described Mr. Law as impeccable in his attempts to reason with people and negotiate a resolution, but felt he seemed to think that promises made would be kept and they were not. She felt Ms. Griggs heard her concerns but did nothing about them. She felt there was a need to take action. Joan Graves denied that Mr. Law, Ms. Griggs or anyone from the Islands Trust asked her to send any letters or emails about her concerns about the Costello property. She felt Ms. Costello and Mr. Grayson made promises, raised people's expectations and didn't follow through; as a result, her view of Mr. Grayson was he was not being honest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the above evidence demonstrates, there is simply no evidence of "advertent wrongful acts" "so malicious and outrageous that the court concludes they are deserving of punishment"; or "of serious moral blameworthiness and culpability" or of "malicious or outrageous conduct". While Ms. Costello has highlighted a few emails from the extensive volume of emails in support of her case, the weight of the whole of the evidence does not support the very serious allegations made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no evidence that Mr. Law was part of some neighbourhood conspiracy to interfere in the use of the Costello property. No witnesses were called in support of Ms. Costello's contention and there is simply no evidence Mr. Law wrongfully interfered with the health, liquor or highway authorities in respect of her winery application. The Islands Trust advocacy policy envisions communication and cooperation with such agencies and government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Costello barged the building to Hornby Island in March 1999 and placed it on her property shortly thereafter. At no point prior to barging or siting the building, did she or Mr. Grayson examine the height restrictions outlined in the Bylaw, or measure the actual height of the building. While she did obtain a SUP for the building shortly after its arrival at Hornby Island, this was based on erroneous information she provided to Islands Trust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Over the course of the six and a half years prior to this litigation, Ms. Costello submitted seven SUP applications, of which only one (the teardrop building SUP) was substantially commenced, for the apparent purpose of attempting to bring the building into Bylaw compliance. It is clear, however, that not all of the SUP applications were genuine attempts to bring the building into Bylaw compliance and at least one was admittedly a tactical decision, "like chess". Ms. Costello and Mr. Grayson's actions and reactions were, in fact, calculated like a game of chess, with Ms. Costello at one point unsuccessfully seeking to bring the building into bylaw compliance by applying to designate Flanders as an agricultural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Grayson was quite candid when he said he began to see "daggers in the dark" as he perceived opposition to the multiple proposed uses for the property. The evidence establishes that often he mischaracterized or misinterpreted a number of steps in this sad saga.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the end, an amendment to the Bylaw with respect to the definition of height permitted compliance by using fill. This is the same amended Bylaw Ms. Costello alleged, initially, singled her out and attempted to obstruct her from bringing the building into compliance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agree with the defendants that Ms. Costello was obliged to obtain proper permits and to ensure compliance with the Bylaw. The consequence of her failure to do so falls at her own feet. By ignoring Mr. Lee's advice, she is responsible for all of the costs she incurred to make her building Bylaw compliant. She is, plain and simple, the author of her own misfortune: </w:t>
      </w:r>
      <w:r>
        <w:rPr>
          <w:rFonts w:ascii="arial" w:eastAsia="arial" w:hAnsi="arial" w:cs="arial"/>
          <w:i/>
          <w:color w:val="000000"/>
          <w:sz w:val="20"/>
          <w:lang w:val="en-US" w:eastAsia="en-US" w:bidi="ar-SA"/>
        </w:rPr>
        <w:t>Foley v. Shamess</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2008 ONCA 588</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297 D.L.R. (4th) 287</w:t>
        </w:r>
      </w:hyperlink>
      <w:r>
        <w:rPr>
          <w:rFonts w:ascii="arial" w:eastAsia="arial" w:hAnsi="arial" w:cs="arial"/>
          <w:color w:val="000000"/>
          <w:sz w:val="20"/>
          <w:lang w:val="en-US" w:eastAsia="en-US" w:bidi="ar-SA"/>
        </w:rPr>
        <w:t>. The over-height issue was not "unexpected and unforeseen" as Ms. Costello suggested at the APC, but was, rather, the consequence of being unconcerned about the requirements of the Bylaw and its potential enforceability.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agree with the defendants that the claims brought by Ms. Costello are very serious stigmatizing accusations against the HILTC, the Islands Trust, the Islands Trust Council, Ms. Griggs and Mr. Law without any legitimate foundation. The evidence fails to establish Ms. Costello's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public office, breach of trust, mental distress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is no evidence the defendants engaged in deliberate, unlawful conduct and targeted malice against Ms. Costello or her property. To the contrary, the defendants attempted to facilitate a compromise, weighing the interests of all parties in conjunction with the community interest to preserve and protect community values, resources and rural character. The local trustees did their best to serve their community for minimal compensation but, as Mr. Law commented, in the highly charged emotional environment they could not please everyone; in fact, at the end of the day, they could not please anyone. However, the end result is that Ms. Costello's building is in compliance with the Bylaw and Mr. Grayson is closer to establishing his winery.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Costello's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are entitled to their costs. If the parties cannot agree on costs, they may make submissions in writing within 45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S.S. 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Fakhri v. Alfalfa's Canada, Inc. (c.o.b. Capers Community Market), [2003] B.C.J. No. 2618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 and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L02398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1717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B.C.L.R. (4th)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C.P.C. (5th)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568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Helen Fakhri, and Ady Aylon, as representative plaintiffs, plaintiffs, and Alfalfa's Canada, Inc. carrying on business as Capers Community Market,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8"/>
      <w:bookmarkEnd w:id="60"/>
      <w:r>
        <w:rPr>
          <w:rFonts w:ascii="arial" w:eastAsia="arial" w:hAnsi="arial" w:cs="arial"/>
          <w:b/>
          <w:color w:val="000000"/>
          <w:sz w:val="20"/>
          <w:lang w:val="en-US" w:eastAsia="en-US" w:bidi="ar-SA"/>
        </w:rPr>
        <w:t>Practice — Persons who can sue and be sued — Individuals and corporations, status or standing — Class or representative actions, for damages — Class actions, members of class — Class actions, certification, appointment of representative plaintiff — Class actions, certification, considerations (incl. when class action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6"/>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Fakhri and Aylon to certify an action against Capers Community Market as a class action. Capers operated three natural food stores. On March 26, 2002, it was notified by the health authority that one of its supervisors was diagnosed with Hepatitis A. Clinics were set up to provide free immunizations. Fakhri claimed to have been infected. Aylon was a customer who received an injection and suffered adverse effects. The claim was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implied conditions and warranties under the Sale of Goods Act. The proposed class consisted people who were infected the virus between February and April 2002 as a result of handling tainted food or having contact with a person who became infected as a result of such handling. A second group consisted of persons who received injections in March and April 2002 because of contact with tainted food or a person who handled such products.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5"/>
            <w:bookmarkEnd w:id="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a cause of action. There was an identifiable class. There were common issues. The resolution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were necessary to resolve each class member's claim. There was a rational connection between the defined class and the proposed issues based on the definition of the proposed class. All were concerned with whether Capers met the standard of care for food handling. The determination of whether Capers was in breach of contractual or statutory warranties involved the same key factual issues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Aylon was the appropriate person to act as the representative plaintiff. A class proceeding was the preferable procedure to resolve this matter. The claims of the individual plaintiffs were not economically feasible on their own. The issues were complicated. It was not practical for an individual plaintiff to litigate this case without the assistance of counsel. The retention costs of experts would easily outstrip any one class member's claim. Judicial economy would be realized by the class proceeding. The fact that damages would require individual assessment was not a bar to certification.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7"/>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 Act, </w:t>
      </w:r>
      <w:hyperlink r:id="rId218" w:history="1">
        <w:r>
          <w:rPr>
            <w:rFonts w:ascii="arial" w:eastAsia="arial" w:hAnsi="arial" w:cs="arial"/>
            <w:i/>
            <w:color w:val="0077CC"/>
            <w:sz w:val="20"/>
            <w:u w:val="single"/>
            <w:shd w:val="clear" w:color="auto" w:fill="FFFFFF"/>
            <w:lang w:val="en-US" w:eastAsia="en-US" w:bidi="ar-SA"/>
          </w:rPr>
          <w:t>R.S.B.C. 1996, c. 50, ss. 4</w:t>
        </w:r>
      </w:hyperlink>
      <w:r>
        <w:rPr>
          <w:rFonts w:ascii="arial" w:eastAsia="arial" w:hAnsi="arial" w:cs="arial"/>
          <w:color w:val="000000"/>
          <w:sz w:val="20"/>
          <w:lang w:val="en-US" w:eastAsia="en-US" w:bidi="ar-SA"/>
        </w:rPr>
        <w:t>, 4(1), 4(1)(a), 4(1)(b), 4(1)(c), 4(1)(d), 4(1)(e), 4(2), 4(2)(a), 4(2)(b), 4(2)(c), 4(2)(d), 4(2)(e), 7,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219" w:history="1">
        <w:r>
          <w:rPr>
            <w:rFonts w:ascii="arial" w:eastAsia="arial" w:hAnsi="arial" w:cs="arial"/>
            <w:i/>
            <w:color w:val="0077CC"/>
            <w:sz w:val="20"/>
            <w:u w:val="single"/>
            <w:shd w:val="clear" w:color="auto" w:fill="FFFFFF"/>
            <w:lang w:val="en-US" w:eastAsia="en-US" w:bidi="ar-SA"/>
          </w:rPr>
          <w:t>R.S.C. 1985, c. F-27,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9"/>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A. Klein, for the plaintiffs. Elaine J. Adair, Warren B. Milman and Michelle S. Lawrence,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9"/>
      <w:bookmarkEnd w:id="65"/>
      <w:r>
        <w:pict>
          <v:line id="_x0000_s1075"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GEROW J."/>
            <w:bookmarkEnd w:id="66"/>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have their action certified as a class proceeding pursuant to the Class Proceeding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is for damages for injuries and losses which the plaintiffs allege resulted from the defendant's ("Capers") production, manufacture, distribution and sale of food products that were or might have been tainted with the Hepatitis A virus (the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apply to have Ady Aylon appointed as representative plaintiff and for related orders pursuant to the Act. The issue is whether Mr. Aylon is entitled to prosecute this action on behalf of the class described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proposes that the class be comprised of two groups, those who claim to have been infected by the Hepatitis A virus (HAV) and those who did not become ill but received an injection as a result of being exposed to HAV. Ms. Fakhri claims to have become infected by HAV and Mr. Aylon received an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argue that this type of action should be permitted to proceed as a class action because the claims are modest and the financial burden of prosecuting the claim would consume all of the proceeds of a judgement of any single plaintiff. As a result, defendants who would otherwise be found responsible would likely be insulated from lawsuits. It is only by spreading the costs of the litigation amongst many that members of the class will have access to justice. Nantais v. Telectronics Proprietary (Canada) Ltd. </w:t>
      </w:r>
      <w:hyperlink r:id="rId220"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 xml:space="preserve">, refusing leave to appeal from </w:t>
      </w:r>
      <w:hyperlink r:id="rId221"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(Ont. Gen. Div.) at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submits that it is not appropriate for this case to be certified as a class proceeding as the plaintiff has failed to meet any of the requirements set out in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following reasons I have concluded that this case should be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Capers carries on business in British Columbia under the name "Capers Community Markets". Capers is a company incorporated under the laws of British Columbia. Subsequent to the filing of this action, Capers amalgamated and the name of the amalgamated company is Wild Oats Markets Canada,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Capers owns and operates three natural food grocery stores. The stores are located at 2285 West 4th Avenue, Vancouver, 1675 Robson Street, Vancouver, and 2496 Marine Drive, West Vancouver. Capers also owns and operates a kitchen, called the "Commissary", for the commercial manufacture of food products that are sold at its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26, 2002, the Vancouver Coastal Health Authority (the "Health Authority") notified Capers that a person employed by Capers as a Commissary Supervisor had been diagnosed with HAV and had been infectious with HAV during the time he worked in the Commissary.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27, 2002 the Health Authority issued a news release that there was possible contamination of Capers' food products with HAV. According to the news release, "consumption of certain food items sold at all three Capers locations from March 4, 2002 to March 26, 2002 could have exposed members of the public to the Hepatitis A virus." The release listed the affected items and advised those who consumed them to contact their family doctor and the local health unit office immediately if they developed symptoms of Hepatitis A. The Health Authority also recommended that persons who consumed the implicated products after March 12, 2002 obtain a shot of Immune Serum Globulin (ISG).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Health Authority set up four ISG clinics at locations near the Capers markets to administer free ISG immunizations to Capers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Hepatitis A is a viral illness that affects the liver, resulting in fatigue, malaise, gastrointestinal symptoms and jaundice (yellow discolouration of the mucous membranes and skin). The severity of the illness varies from asymptomatic or very mild infections to severe infections that may last weeks or months. Some HAV infected persons have prolonged or relapsing symptoms. There is currently no treatment for HAV infection, although rest and proper nutrition can relieve some symptoms. The death rate is 1/1,000 cases, but increase in persons over the age of fifty. The death rate is also higher in people who have other chronic liver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incubation period for HAV ranges from 15 to 50 days. Infected individuals can spread the virus from two weeks before the symptoms begin to one week after symptoms appear. An infected person who has no symptoms can spread the virus. Infected persons may never feel ill at all. They are still, however, able to spread HAV even if they feel fine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 is transmitted through the fecal-oral route. The virus is excreted in the stool and must enter the mouth of another people for infection to occur. This may occur directly (e.g. changing diapers) or indirectly (e.g. contamination of food resulting from food handling practices). Small amounts of HAV can remain on the hands after a bowel movement, even if hands are washed. HAV is killed by cooking but can be passed on through uncooked food products or handling of food products after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most important measures for preventing the spread of HAV are promoting good personal hygiene and proper food handling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HAV infection can be prevented by inoculation with a Hepatitis A vaccine prior to infection. The vaccine is not recommended for use after exposure to HAV. In such situations, an ISG injection can be used as temporary protection against HAV. People who have come into contact with HAV can reduce their risk of becoming ill by receiving an ISG injection as it helps to prevent or improve the clinical manifestations of HAV if given within two weeks of infection. An ISG injection is of little or no benefit when received more than 14 days after exposure to HAV or during the acute phase of HAV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By mid-April, five customers of Capers were diagnosed with HAV after consuming food products. Three of the five had not consumed food products on the March 27, 2002 list of affected items. The indications were that a second food handler could have been infected and the original advisory was expanded to include patrons who consumed Capers products during February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expanded list included muffins, hummus and black olive tapenade purchased from Capers in late February or early March. These products were added to the list because the five confirmed HAV infected customers had all consumed those food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expanded advisory it was too late for some of the people who had handled and/or consumed the food products to receive inoculations.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end of the outbreak the Health Authority identified eight individuals who became infected with HAV. Approximately 6,447 people received ISG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Aylon was a regular customer of Capers who purchased and consumed potato salad, hummus and a variety of juices from Capers during the relevant period. When he originally learned of the advisory of March 27, 2002 he contacted Capers for advice on what he should do to protect himself. He was told not to worry because the food items he had eaten were not on the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Health Authority expanded the list, Mr. Aylon went to one of the ISG clinics for an injection. He closed his retail business and waited in line for about four hours before receiving his ISG injection. Soon after receiving the ISG injection, Mr. Aylon experienced muscle stiffness, flushing, headache, weakness and nausea. He reported his condition to the health workers in the ISG clinic who directed him to rest in an area with other persons who were having adverse reactions to the ISG injection. He rested in the designated area for about 45 minutes waiting for the symptoms to resolve before going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About three to four hours after arriving home Mr. Aylon experienced the same symptoms again. He went to the emergency ward of the Vancouver General Hospital where he stayed for approximately four hours waiting for medical attention and the results of blood tests. The examining physician advised Mr. Aylon that he was probably having a reaction to the ISG injection and that it was normal for some people to have such a reaction. He went home after receiving the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Several days later, Mr. Aylon experienced the same symptoms again and went to the emergency ward of Vancouver General Hospital where he was examined, put under observation and released after about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Supreme Court of Canada has held that the Class Proceedings Act should be construed generously especially at the certification stage. The Act provides the courts with a procedural tool to deal efficiently and on a principled basis with cases involving vast numbers of interested parties and complex, intertwined legal issues, some which are common and some which are not. Class proceedings have three important advantages over multiple proceedings: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 resulting from unnecessary duplication;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justice by making economical the prosecution of claims which would otherwise be uneconomical;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modifying the behaviour of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Hollick v. Toronto </w:t>
      </w:r>
      <w:hyperlink r:id="rId222"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[paragraphs] 14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certification stage is not meant to be a test of whether the plaintiff's claim will succeed, i.e. a test of the merits, and turns on the facts. Hollick, [paragraphs] 16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Although the Court in Hollick was considering the Ontario statute, the same principles apply in determining whether the plaintiff meets the certification requirements set out in the British Columbia Class Proceedings Act. Rumley v. British Columbia, </w:t>
      </w:r>
      <w:hyperlink r:id="rId22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Applications for certification are governed by sections 4-9 of the Class Proceedings Act. Section 4(1) mandates certification if the following requirements are met:</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the class members of the proceeding,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4(1)(a) -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main thrust of the defendant's argument is that the pleadings fail to disclose a cause of action. The test to be applied when considering section 4(1)(a) of the Class Proceedings Act is the same as that under Rule 19(24) of the Rules of Court: is it plain and obvious that the pleadings cannot sustain a cause of action? On the application for certification it is the plaintiff who bears the burden of establishing the existence of a cause of action. Elms v. Laurentian Bank of Canada </w:t>
      </w:r>
      <w:hyperlink r:id="rId224"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(C.A) at 202. Evidence is not considered at this stage; instead, the court assumes that the facts alleged in the pleadings are true. Endean v. Canadian Red Cross Society, </w:t>
      </w:r>
      <w:hyperlink r:id="rId225" w:history="1">
        <w:r>
          <w:rPr>
            <w:rFonts w:ascii="arial" w:eastAsia="arial" w:hAnsi="arial" w:cs="arial"/>
            <w:i/>
            <w:color w:val="0077CC"/>
            <w:sz w:val="20"/>
            <w:u w:val="single"/>
            <w:shd w:val="clear" w:color="auto" w:fill="FFFFFF"/>
            <w:lang w:val="en-US" w:eastAsia="en-US" w:bidi="ar-SA"/>
          </w:rPr>
          <w:t>[1998] 9 W.W.R. 136</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157 D.L.R. (4th) 465</w:t>
        </w:r>
      </w:hyperlink>
      <w:r>
        <w:rPr>
          <w:rFonts w:ascii="arial" w:eastAsia="arial" w:hAnsi="arial" w:cs="arial"/>
          <w:color w:val="000000"/>
          <w:sz w:val="20"/>
          <w:lang w:val="en-US" w:eastAsia="en-US" w:bidi="ar-SA"/>
        </w:rPr>
        <w:t xml:space="preserve"> (B.C.C.A.) at [paragraphs] 7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claim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implied conditions and warranties under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The plaintiffs rely on section 4 of the Food and Drugs Act, </w:t>
      </w:r>
      <w:hyperlink r:id="rId22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with respect to the issue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argues, correctly, that any contract based claims, including the Sale of Goods Act claims, can only belong to someone who actually purchased items from Capers. An individual who only consumed a food product originating from Capers (and purchased by someone else), or who only had contact with someone else who had consumed a food product, has no claim in contract. They say there is no clear pleading in the case of Ms. Fakhri that she actually purchased the items from Capers that she consumed and which made her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case of the proposed immunized class, including Mr. Aylon, Capers submits that the allegations in the statement of claim do not state material facts disclosing a reasonable cause of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argues that the plaintiffs are seeking to have a class certified based on food products "that were or might have been tainted with the Hepatitis A virus". The group of individuals who have been confirmed as having HAV is small (eight, seven of whom have already settled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overwhelming majority, by far, of the persons whom the plaintiffs propose to have included in this proceeding are persons who did not become ill at all and who may never actually have been exposed to HAV. The defendant's position is that this case does not meet the requirements for certification with respect to that large group as claims based on allegations about food products that might have been tainted do not state any reasonable claim,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contract. Such allegations cannot provide any foundation for common issues that might properly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order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must prove the basic elements, i.e. duty, breach of duty and damages. The defendant argues that to be successful in this action the plaintiffs must show that they suffered injury arising from the food products. Gee v. White Spot Limited </w:t>
      </w:r>
      <w:hyperlink r:id="rId227" w:history="1">
        <w:r>
          <w:rPr>
            <w:rFonts w:ascii="arial" w:eastAsia="arial" w:hAnsi="arial" w:cs="arial"/>
            <w:i/>
            <w:color w:val="0077CC"/>
            <w:sz w:val="20"/>
            <w:u w:val="single"/>
            <w:shd w:val="clear" w:color="auto" w:fill="FFFFFF"/>
            <w:lang w:val="en-US" w:eastAsia="en-US" w:bidi="ar-SA"/>
          </w:rPr>
          <w:t>(1986), 7 B.C.L.R. (2d) 235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However, I am of the view that it is not plain and obvious the plaintiffs' argument that, even if there was no injury, the food products posed a substantial danger to the public and therefore fall within a known exception to the general rule that damages for pure economic loss are not recoverable in tort, will fail. Winnipeg Condominium Corporation No. 36 v. Bird Construction Co., </w:t>
      </w:r>
      <w:hyperlink r:id="rId228"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the defendant agrees that the plaintiffs did not have to consume the food product and wait to get ill, it says the plaintiffs will be unable to establish the food was tainted because it was either thrown away or returned. It is the defendant's position that s. 4 of the Food and Drugs Act does not apply as pleading and proof of a defect; i.e., the material facts supporting a conclusion that one (or more) of the warranties implied under the Sale of Goods Act has been breached, are necessary in order to sustain a claim based on breach of warranties. In this case, Capers says there is simply no evidence that the food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the plaintiffs that it is not plain and obvious that food which either had to be disposed of, returned to Capers for disposal or, if it had been consumed, the individual had to have an ISG injection, is not defective within the meaning of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 relies on M. Hasegawa &amp; Co. v. Pepsi Bottling Group (Canada) Co. </w:t>
      </w:r>
      <w:hyperlink r:id="rId229" w:history="1">
        <w:r>
          <w:rPr>
            <w:rFonts w:ascii="arial" w:eastAsia="arial" w:hAnsi="arial" w:cs="arial"/>
            <w:i/>
            <w:color w:val="0077CC"/>
            <w:sz w:val="20"/>
            <w:u w:val="single"/>
            <w:shd w:val="clear" w:color="auto" w:fill="FFFFFF"/>
            <w:lang w:val="en-US" w:eastAsia="en-US" w:bidi="ar-SA"/>
          </w:rPr>
          <w:t>(2002), 1 B.C.L.R. (4th) 209</w:t>
        </w:r>
      </w:hyperlink>
      <w:r>
        <w:rPr>
          <w:rFonts w:ascii="arial" w:eastAsia="arial" w:hAnsi="arial" w:cs="arial"/>
          <w:color w:val="000000"/>
          <w:sz w:val="20"/>
          <w:lang w:val="en-US" w:eastAsia="en-US" w:bidi="ar-SA"/>
        </w:rPr>
        <w:t xml:space="preserve"> (C.A.) for the proposition that it owes no duty with respect to food that only might be defective. The defendant says that absent an allegation that every item of food was contaminated, or an allegation that every item of food posed a real and substantial danger to human health, no cause of action has been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Hasegawa was a claim for pure economic loss and the trial judge found that the evidence at trial fell well short of proving the mould in the water was capable of doing harm to humans, whether predisposed to illness or not. The most telling evidence that the bottled water was not dangerous was that the plaintiff attempted to sell it elsewhere. The Court of Appeal held that the trial judge did not err in that finding ([paragraph] 49 and 50). I would note that is very different from the evidence in this case where the proposed class members were told to dispose of or return any unconsumed food to Capers and that if they had consumed the food to get an ISG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says the plaintiffs have not pled that the food products posed a danger to the public. The statement of claim is to be read generously to accommodate drafting deficiencies. The test is not predicated on the assumption that the pleadings may not be amended. Kimpton v. Canada (Attorney General) </w:t>
      </w:r>
      <w:hyperlink r:id="rId230" w:history="1">
        <w:r>
          <w:rPr>
            <w:rFonts w:ascii="arial" w:eastAsia="arial" w:hAnsi="arial" w:cs="arial"/>
            <w:i/>
            <w:color w:val="0077CC"/>
            <w:sz w:val="20"/>
            <w:u w:val="single"/>
            <w:shd w:val="clear" w:color="auto" w:fill="FFFFFF"/>
            <w:lang w:val="en-US" w:eastAsia="en-US" w:bidi="ar-SA"/>
          </w:rPr>
          <w:t>(2002), 9 B.C.L.R. (4th) 139</w:t>
        </w:r>
      </w:hyperlink>
      <w:r>
        <w:rPr>
          <w:rFonts w:ascii="arial" w:eastAsia="arial" w:hAnsi="arial" w:cs="arial"/>
          <w:color w:val="000000"/>
          <w:sz w:val="20"/>
          <w:lang w:val="en-US" w:eastAsia="en-US" w:bidi="ar-SA"/>
        </w:rPr>
        <w:t>, at [paragraphs]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 also argues that is plain and obvious there is no causal connection between any acts of the defendant and the claims of the proposed immunized class members because it was the announcement by the Health Authority that an infected individual had worked in the Commissary which resulted in the need for the class members to obtain the ISG injection. However, this argument ignores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Capers in failing to institute appropriate food handling protocol, employee monitoring, employee training and employee vaccinations. I accept that the plaintiffs might have a cause of action based on their theory that the defendant was negligent in failing to ensure proper food handling protocols were in place, failing to properly educate its staff regarding food handling, failing to monitor its staff and failing to vaccinate its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the defendant's arguments premature as they address the merits of the claim. There has been no document exchange to date and there is no evidence of what, if any, tests Capers did on the food that was returned or that it removed from the shelves voluntarily or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Finally, the defendant argues that the proposed immunized class will be unable to show damages or loss; i.e. that an essential element of a tort is missing, or that any damages or loss they will be able to show will be trivial and should not form the basis of an action. However, there is no evidence before me that the immunized class suffered no damages. On the contrary, Mr. Aylon had to shut down his business for the day to line up to get the shot and then suffered an adverse reaction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well, the plaintiffs claim damages for anxiety. The defendant argues that no such claim is recognized in law. However, the plaintiffs have referred to the case of Anderson v. Wilson </w:t>
      </w:r>
      <w:hyperlink r:id="rId231" w:history="1">
        <w:r>
          <w:rPr>
            <w:rFonts w:ascii="arial" w:eastAsia="arial" w:hAnsi="arial" w:cs="arial"/>
            <w:i/>
            <w:color w:val="0077CC"/>
            <w:sz w:val="20"/>
            <w:u w:val="single"/>
            <w:shd w:val="clear" w:color="auto" w:fill="FFFFFF"/>
            <w:lang w:val="en-US" w:eastAsia="en-US" w:bidi="ar-SA"/>
          </w:rPr>
          <w:t>(1999), 44 O.R. (3d) 673</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175 D.L.R. (4th) 409</w:t>
        </w:r>
      </w:hyperlink>
      <w:r>
        <w:rPr>
          <w:rFonts w:ascii="arial" w:eastAsia="arial" w:hAnsi="arial" w:cs="arial"/>
          <w:color w:val="000000"/>
          <w:sz w:val="20"/>
          <w:lang w:val="en-US" w:eastAsia="en-US" w:bidi="ar-SA"/>
        </w:rPr>
        <w:t xml:space="preserve"> (Ont. C.A.) which was an action involving the identification of a possible link between an outbreak of Hepatitis B and clinics where the defendants provided electroencephalogram tests (EEGs). Health authorities notified over 18,000 patients by letter that they should be tested. The plaintiffs brought a proposed class proceeding and claimed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contract. Their motion for certification was granted and the certification order was upheld but amended by the Divisional Court, which removed from the class of plaintiffs a group who did not contract the disease, but who were informed of the possibility and who were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setting aside the order of the Divisional Court the Court of Appeal stated that the Divisional Court was wrong to exclude the group of person who received notice of the possibility of infection, were tested and were uninfected. Given the uncertain state of the law on tort relief for nervous shock, it was not appropriate for the Court to reach a conclusion at the certification stage without a complete factual foundation. On the assumption that a legal obligation existed, this segment of the class was ideally suited for certification as there were many people with the same complaint, each of whom would represent a modest claim that would not justify an independent action. ([paragraphs] 17 - 18)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defendant argues that anxiety is different from nervous shock and not recognized, the plaintiffs submit that anxiety is the same as nervous shock. It would be inappropriate to determine this matter at this early stage as it is not plain and obvious that the plaintiffs' claim in this regard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Accordingly, I find that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4(1)(b) -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Membership in the class is capable of objective determination. The class proposed for certification in these proceedings consists of a class that will be comprised of all persons who:</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to have been infected with HAV in the months of February, March or April 2002 as a result of handling and/or consuming the Tainted Food Products, or having contact with a person who was infected with HAV as a result of handling and/or consuming the Tainted Food Products;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months of March or April 2002, received anti-Hepatitis A injections because of handling and/or consuming the Tainted Food Products, or having contact with a person who was or might have been infected with HAV as a result of handling and/or consuming the Tainted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stated earlier, there are eight individuals who were confirmed by the Health Authorities as infected with HAV as a result of handling or consuming the food products and 6,447 individuals who received ISG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group of 6,447 who received the ISG injections are ideally suited to be a class as there are many persons with the same complaint, each of whom would typically have a modest claim that would not in itself justify an action. They are clearly identifiable based on objective criteria. Western Canadian Shopping Centres Inc. v. Dutton, </w:t>
      </w:r>
      <w:hyperlink r:id="rId23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[paragraph]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the defendant argues that it has settled with seven of the eight individuals who were identified as having contracted HAV and, therefore, there is no longer a class, Ms. Fakhri who allegedly experienced some symptoms and was tested weakly reactive to HAV is not included in the group. In my view, it is inappropriate to exclude individuals who contracted HAV or were weakly reactive for Hepatitis A from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requirement to show that the class is defined sufficient narrowly is not an onerous one. Not everyone in the class has to share the same interest in the resolution of the common issue; however, the class should not be unnecessarily broad. Hollick, [paragraphs] 20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this case, I find that there are objective criteria to satisfy the requirement of defining a sufficiently narrow class. If subsequent to certification, differences among class members become material, they can be dealt with either through sub-classes or as individual issues. Scott v. TD Waterhouse Investor Services (Canada) Inc. </w:t>
      </w:r>
      <w:hyperlink r:id="rId233" w:history="1">
        <w:r>
          <w:rPr>
            <w:rFonts w:ascii="arial" w:eastAsia="arial" w:hAnsi="arial" w:cs="arial"/>
            <w:i/>
            <w:color w:val="0077CC"/>
            <w:sz w:val="20"/>
            <w:u w:val="single"/>
            <w:shd w:val="clear" w:color="auto" w:fill="FFFFFF"/>
            <w:lang w:val="en-US" w:eastAsia="en-US" w:bidi="ar-SA"/>
          </w:rPr>
          <w:t>(2001), 94 B.C.L.R. (3d) 320</w:t>
        </w:r>
      </w:hyperlink>
      <w:r>
        <w:rPr>
          <w:rFonts w:ascii="arial" w:eastAsia="arial" w:hAnsi="arial" w:cs="arial"/>
          <w:color w:val="000000"/>
          <w:sz w:val="20"/>
          <w:lang w:val="en-US" w:eastAsia="en-US" w:bidi="ar-SA"/>
        </w:rPr>
        <w:t xml:space="preserve"> (S.C.), [paragraph]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4(1)(c) -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This inquiry is limited to whether common issues of fact or law exist. It is not an exercise, at this stage, of weighing the common issues against individual issues. Class Proceedings Act, s. 4(1)(c); Lumley, [paragraph] 33; Harrington v. Dow Corning Corp. </w:t>
      </w:r>
      <w:hyperlink r:id="rId234" w:history="1">
        <w:r>
          <w:rPr>
            <w:rFonts w:ascii="arial" w:eastAsia="arial" w:hAnsi="arial" w:cs="arial"/>
            <w:i/>
            <w:color w:val="0077CC"/>
            <w:sz w:val="20"/>
            <w:u w:val="single"/>
            <w:shd w:val="clear" w:color="auto" w:fill="FFFFFF"/>
            <w:lang w:val="en-US" w:eastAsia="en-US" w:bidi="ar-SA"/>
          </w:rPr>
          <w:t>(2000), 82 B.C.L.R. (3d) 1</w:t>
        </w:r>
      </w:hyperlink>
      <w:r>
        <w:rPr>
          <w:rFonts w:ascii="arial" w:eastAsia="arial" w:hAnsi="arial" w:cs="arial"/>
          <w:color w:val="000000"/>
          <w:sz w:val="20"/>
          <w:lang w:val="en-US" w:eastAsia="en-US" w:bidi="ar-SA"/>
        </w:rPr>
        <w:t>, (C.A.), [paragraph]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touchstone to this inquiry is whether proceeding as a class action will avoid either duplication of fact-finding or legal analysis. The questions which should be asked to determine whether issues are common are: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resolution of the issue necessary to the resolution of each class members' claim?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a substantial ingredient of each of the class members' claims? Hollick, [paragraph]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latter requirement has been stated by the British Columbia Court of Appeal as being satisfied if the resolution of a common issue, either for or against the class members, will advance the case; i.e. move the litigation forward, and is capable of extrapolation to all class members. It is not necessary that the resolution of the common issues be determinative of liability. Harrington v. Dow Corning Corp., at [paragraphs] 20-24.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common issues should be disclosed by pleadings, including particulars. However, common issues may be refined and reduced as litigation proceeds. Hoy v. Medtronic, Inc. </w:t>
      </w:r>
      <w:hyperlink r:id="rId235" w:history="1">
        <w:r>
          <w:rPr>
            <w:rFonts w:ascii="arial" w:eastAsia="arial" w:hAnsi="arial" w:cs="arial"/>
            <w:i/>
            <w:color w:val="0077CC"/>
            <w:sz w:val="20"/>
            <w:u w:val="single"/>
            <w:shd w:val="clear" w:color="auto" w:fill="FFFFFF"/>
            <w:lang w:val="en-US" w:eastAsia="en-US" w:bidi="ar-SA"/>
          </w:rPr>
          <w:t>(2001), 94 B.C.L.R. (3d) 169</w:t>
        </w:r>
      </w:hyperlink>
      <w:r>
        <w:rPr>
          <w:rFonts w:ascii="arial" w:eastAsia="arial" w:hAnsi="arial" w:cs="arial"/>
          <w:color w:val="000000"/>
          <w:sz w:val="20"/>
          <w:lang w:val="en-US" w:eastAsia="en-US" w:bidi="ar-SA"/>
        </w:rPr>
        <w:t xml:space="preserve"> (S.C.), aff'd </w:t>
      </w:r>
      <w:hyperlink r:id="rId236" w:history="1">
        <w:r>
          <w:rPr>
            <w:rFonts w:ascii="arial" w:eastAsia="arial" w:hAnsi="arial" w:cs="arial"/>
            <w:i/>
            <w:color w:val="0077CC"/>
            <w:sz w:val="20"/>
            <w:u w:val="single"/>
            <w:shd w:val="clear" w:color="auto" w:fill="FFFFFF"/>
            <w:lang w:val="en-US" w:eastAsia="en-US" w:bidi="ar-SA"/>
          </w:rPr>
          <w:t>(2003) 14 B.C.L.R. (4th) 32</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2003 BCCA 316</w:t>
        </w:r>
      </w:hyperlink>
      <w:r>
        <w:rPr>
          <w:rFonts w:ascii="arial" w:eastAsia="arial" w:hAnsi="arial" w:cs="arial"/>
          <w:color w:val="000000"/>
          <w:sz w:val="20"/>
          <w:lang w:val="en-US" w:eastAsia="en-US" w:bidi="ar-SA"/>
        </w:rPr>
        <w:t>, at [paragraph]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courts have addressed whether certain types of claims and relief raise common issues and have held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common issues because no class member can prevail without showing duty and breach;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appropriately certified as common issues because the focus of the inquiry into the award is on the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Rumley, [paragraphs] 27-32 and 34; Chace v. Crane Canada Inc. </w:t>
      </w:r>
      <w:hyperlink r:id="rId237" w:history="1">
        <w:r>
          <w:rPr>
            <w:rFonts w:ascii="arial" w:eastAsia="arial" w:hAnsi="arial" w:cs="arial"/>
            <w:i/>
            <w:color w:val="0077CC"/>
            <w:sz w:val="20"/>
            <w:u w:val="single"/>
            <w:shd w:val="clear" w:color="auto" w:fill="FFFFFF"/>
            <w:lang w:val="en-US" w:eastAsia="en-US" w:bidi="ar-SA"/>
          </w:rPr>
          <w:t>(1996), 44 B.C.L.R. (3d) 264</w:t>
        </w:r>
      </w:hyperlink>
      <w:r>
        <w:rPr>
          <w:rFonts w:ascii="arial" w:eastAsia="arial" w:hAnsi="arial" w:cs="arial"/>
          <w:color w:val="000000"/>
          <w:sz w:val="20"/>
          <w:lang w:val="en-US" w:eastAsia="en-US" w:bidi="ar-SA"/>
        </w:rPr>
        <w:t xml:space="preserve"> (C.A.) [paragraph] 23 -27; Endean v. Canadian Red Cross Society et al., [paragraphs] 40-41.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proposed common questions are: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Capers have a duty to class members to ensure that its food products were safe and reasonably fit for their intended purpose, being human consumption?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Capers negligent in the production, manufacture, distribution, or sale of the food products that were or might have been contaminated with HAV?</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Capers breach an implied warranty to class members who purchased its food products that those food products were safe and reasonably fit for their intended purpose, being human consumption?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Capers breach a statutory warranty to class members who purchased its food products, pursuant to the Sale of Goods Act and the Food and Drugs Act?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and exemplary damages be awarded against Capers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agree with the plaintiffs that the resolution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are necessary to the resolution of each class member's claim; i.e. each must be able to prove that the defendant owed a duty of care, the nature of the duty of care and whether it was breached. These issues are primary issues in each proposed class member's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a decision on them will, in my view,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is a rational connection between the class as defined and the proposed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based on the definition of the proposed class. All are concerned with whether Capers met the standard of care for food handling. If the plaintiffs establish at the common issues trial that the negligent handling of food products posed a substantial danger to the public that will advance the case of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If the defendant is right that the plaintiffs' theories have no merit then it will resolve the claims being asserted. The time for the determination of whether Capers owed a duty to the class members and breached that duty is the trial of the common issues. No individual member of the class is likely to have personal knowledge of these duties and breaches, so individual participation in the resolution of these issues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submissions that there is no causal connection between the class members getting the injection and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Capers will be considered in the context of whether the plaintiffs' theories regarding improper food handling, improper employee education, improper employee monitoring and that employees should have been vaccinated are correct. The issue of whether there is a causal connection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Capers and the plaintiffs' claims for damages is at the heart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argues that proposed common issue (a) is not a matter in issue as the defendant has admitted that it owed a duty to take reasonable care that food products it manufactured were safe, free from contaminants and reasonably fit for human consumption (statement of defence, paragraph 3(a)). Both parties agree that common issue (a) should be: What duty was owed by Capers in the production, manufacture, distribution or sale of food products and to whom was the duty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position on the proposed common questions (c) and (d) is that they only apply to persons who bought food from Capers and, therefore, are not appropriate common questions. I am of the view that the proposed common issues in (c) and (d) meet the test of eliminating duplication of fact finding and legal analysis. I agree with the defendant that although the questions are common to many of the proposed class members they are not common to those who did not purchase food products from Capers. The practical solution to deal with these common issues is to subdivide the proposed class members into those who had a contractual relationship with Capers and those that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agree with the plaintiffs that, in order to determine whether the defendant was in breach of contractual or statutory warranties, the key factual issues will be same as those relating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i.e. any causal connection between the food handling protocols or employee training, monitoring and vaccinations and damages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Once the issue of whether Capers breached an implied warranty that the food products were safe and reasonably fit for human consumption, or a statutory warranty pursuant to the Sale of Goods Act and the Food and Drugs Act, the determination of whether the defendant was in breach to a particular class member will be a simple factual matter at the individual issues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Accordingly, I conclude that proposed question (b) and (a), as reworded, are common issues in the class proceeding. Questions (c) and (d) are common issues with respect to those class members who purchased food products from Capers.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Proposed common question (e) deals with whether punitive and exemplary damages should be awarded against Capers. Punitive damages have been accepted by the courts as an appropriate common issue in many cases because the focus of the inquiry is on the conduct of the defendant. Rumley,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submissions regarding the common issue of punitive damages relate to the merits and are premature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appropriateness and amount of punitive damages is a question which is amenable to resolution as a common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Plaintiff - Section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4(1)(e) of the Class Proceedings Act mandates that the representative plaintiff must be able to fairly and adequately represent the class, has developed a plan for proceeding and does not have a conflict with the interests of the class on common issues. The representative plaintiff must be prepared to vigorously represent the interests of the class. Campbell v. Flexwatt Corp. </w:t>
      </w:r>
      <w:hyperlink r:id="rId23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[paragraph]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inquiry about whether the representative plaintiff adequately and appropriately represents class members and potential conflicts of interest is focused on the proposed common issues. If differences between the representative plaintiff and the proposed class do not impact on the common issues then they do not affect the representative plaintiff's ability to adequately and fairly represent the class, nor do they create a conflict of interest. Hoy v. Medtronic, [paragraphs] 83-85; Endean v. Canadian Red Cross Society </w:t>
      </w:r>
      <w:hyperlink r:id="rId239"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at [paragraph]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indication that Mr. Aylon has any interest in conflict with the class members on the proposed common issues. If such a conflict were to arise, sub-classes are available to deal with differences. See, for example, Anderson v. Wilson at 24; Endean v. Canadian Red Cross Society (SC) at [paragraph] 66; Hoy v. Medtronic, at [paragraph] 83-85.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 Hoy v. Medtronic, at [paragraphs] 81-82; Scott v. TD Waterhouse Investor Services, [paragraphs] 164-167.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the proposed litigation plan sufficiently addresses the requisite issues and demonstrates that the plaintiffs and class counsel have thought through the process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the plaintiffs' theory of the case does permit Mr. Aylon to represent all class members. I do not accept the defendant's submission that Mr. Aylon cannot represent persons who became ill as, in my view, the common issues are the same for both those who became ill and those who did not become ill but received an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Those class members who wish to control their own actions or develop special theories inconsistent with the theory being advanced by the plaintiff in this action remain free to do so after opting-out of the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4(1)(d) -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test for whether the class action is the preferable procedure for the resolution of the common issues is set out in s. 4(2)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list of factors to consider is not exhaustive and no single factor trumps. Elms v. Laurentian Bank of Canada, [paragraph]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extent to which the proposed proceeding will achieve the goals of the Class Proceedings Act, namely, access to justice, judicial efficiency and behaviour modification, should be considered in the preferability assessment along with the considerations mandated by s. 4(2). Hollick, [paragraphs] 32 - 34; Elms v. Laurentian Bank of Canada, [paragraphs] 54-55; Endean v. Canadian Red Cross Society, (S.C.), [paragraphs] 23, 53-64.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4(2)(a) - Common Questions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are usually individual issues of injury and causation that have to be determined in individual proceedings following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Where the common issues are at "the heart of the litigation", as they are here, concerns about the relative weight of individual issues are much less troubling. Scott v. TD Waterhouse, [paragraph] 117. 120-122, 130-137.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Cases have been certified even where the court determined that the individual issues predominated over the common issues. In Endean v. Canadian Red Cross Society, (S.C.) the Court recognized this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intention behind these provisions of the Act is to put more emphasis on the goal of access to justice than on that of judicial economy. That was the approach taken in Harrington, supra, where a class proceeding was certified despite the many unresolved, difficult, individual issues associated with establishing claims arising out of allegedly defective breast implants. Accordingly, the undoubted predominance of individual issues here is not in itself fatal to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agree with the plaintiff that the common issues which have been enunciated, i.e.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and/or the breach of warranties regarding the fitness of the food products and any causal connection with the damages being claimed by the plaintiffs, are at the heart of this litigation. Resolution of the common issues will either conclude the litigation in favour of the defendant or leave very little for individual consideration in the event that the common issues are decided in favour of the class. The key remaining individual issues will be: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member purchased food products from Capers;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member did not purchase but came into contact with either food or persons who had contact with the food products;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has the class member suffered as a result of the food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issues are clearly capable of resolution and the fact that damages require individual assessment is not a bar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Section 7 of the Class Proceedings Act deals with individual issues. The presence of individual issues does not make individual litigation preferable to class litigation. The same issues will be faced in both litigation structures. The Class Proceedings Act is not directed solely to the resolution of the common issues, but also to the simplification and management of any individual issues that remain. These simplification and management tools are incorporated into the plaintiff's case management plan. Class Proceedings Act, section 27; Endean v. Canadian Red Cross Society, (S.C.) [paragraph]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the defendants have argued that "individual" issues predominate, the material adduced in support of their position provides some indication of the commonality of the issues. All the material deals with the HAV outbreak and food safety issues, the same issues the plaintiffs say are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4(2)(b) - Class Members Do Not Have An Interest In Controlling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evidence that any class members wish to control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4(2)(c) - Claims That Are or Have Been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evidence of other B.C. proceedings pertaining to this problem. As such, there is no evidence that class members are able to sustain individual claims, or that the issues will be addressed in some other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4(2)(d) - Other Means of Resolving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evidence of alternative methods for resolving these claims or of other forums where a class member can pursue his or her claim. Accordingly individual litigation is the only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Individual litigation affords no advantage over a class proceeding in this case. A class proceeding provides a number of benefits which enhance its preferability. I find it is likely that a determination of the common issues will permit the individual issues to proceed more efficiently and expeditiously. As well, depending on the outcome, the determination of the common issues may encourage settlement. A class proceeding in the circumstances of this case allows access to justice for those who would not otherwise have the means to prosecute an action. The common issues will be determined and simplified structures and procedures can be implemented for the individual issues if appropriate. To require each individual to separately address the common issues identified rather than have them determined in a class proceeding would, in my view, lead to inefficient use of resources and the potential for inconsistent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4(2)(e) - The Administration of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no indication that this class proceeding will create any undue administrative difficulties. There is only one defendant, no suggestion of any third parties and the individual issues appear to be few and resolvable.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administration of this class proceeding will not present greater difficulties than those likely to be experienced if relief were sought by other means. All of the same issues would need to be considered in any individual litigation, but in a less controlled procedural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this case, the claims of the individual plaintiffs are not economically feasible on their own. The issues are complicated and it is not practical for an individual plaintiff to litigate a case without the assistance of counsel. The costs of retaining experts will easily outstrip any one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gains from a class action are self-evident with respect to judicial economy and efficiency. The duty, standard of care, breach of standard of care, breach of contract and Sale of Goods Act issues will only be heard once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Judicial economy will also be enhanced because the class members do not need to participate in the initial discovery process or the common issues trial. If the defendant is successful at the common issues trial, the court and the class will be saved from having to manage and participate in such individual procedures. If the plaintiffs are successful, any procedures necessary to resolve the individual litigation will be no more complex than they would have been within individual litigation and, given the many management tools available in class proceedings, should be simpler.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respect to behaviour modification, Chief Justice McLachlin noted in Western Canadian Shopping Centres Inc. v. Dutton: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class actions, those who cause widespread but individually minimal harm might not take into account the full costs of their conduct, because for any one plaintiff the expense of bringing suit would far exceed the likely recovery. Cost-sharing decreases the expense of pursuing legal recourse and accordingly deters potential defendants who might otherwise assume that minor wrongs would not result in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Food producers who distribute products which fall below acceptable standards should, if they are negligent, account to their customers for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class as defined and the proposed common issues meet the touchstone of the analysis enunciated in Western Canada Shopping Centres v. Dutton and Hollick, i.e. they will enable the court to avoid duplication in fact finding and legal analysis. In my view the common issues identified are at the heart of this litigation and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well, certification is appropriate in order to achieve access to justice. Given the relative simplicity of the individual issues and the tools available under the Class Proceedings Act, I have concluded that a class proceeding is the preferable proceeding for the fair and efficient resolution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Accordingly, I am granting the following orders: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certified as a class proceeding;</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described as persons who:</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to have been infected with Hepatitis A in the months of February, March or April, 2002 as a result of handling and/or consuming food products produced, manufactured, distributed and/or sold by the defendant that were tainted with the Hepatitis A virus, or having contact with a person who was infected with Hepatitis A as a result of handling and/or consuming the tainted food products (the "Infected Class");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months of March or April, 2002, received anti-Hepatitis A injections after handling and/or consuming food products produced, manufactured, distributed and/or sold by the defendant that were or might have been tainted with the Hepatitis A virus, or having contact with a person who was or might have been infected with Hepatitis A as a result of handling and/or consuming the defendant's food products (the "Immunized Class").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Ady Aylon be appointed representative plaintiff;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questions as modified are certified as common issues of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making no orders regarding notice requirements or opting out provisions as those matters were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FFS HK Ltd. v. P.T. 25 (The), [2010] B.C.J. No. 2349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18-22 and 25-29,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S070952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3227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"P.T. 25" and In Personam Between FFS HK Ltd., Plaintiff, and The Owners and All Other Interested in the Ship "P.T. 25", The "P.T. 25", West Coast Fuel Transport Ltd. and I.C.S. Petroleum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Maritime and admiralty law — Navigation and marine damage — Liability — Pollution — Legislation — Marine Liability Act — Action by the plaintiff for an apportionment of fault allowed — An oil spill occurred as the plaintiff's ship, Andre, received oil from the defendants' barge — The Andre's crew was admittedly negligent in leaving open a fuel tank valve — The plaintiff was fined $80,000 and paid remediation and compensation costs — In pumping oil at a rate in excess of the agreed rate and by failing to monitor the amount pumped, the bargeman's conduct fell below the required standard of care — But for his conduct, the oil spill would not have occurred — Liability was apportioned equally — Marine Liability Act, s. 17(1).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Action by the plaintiff for an apportionment of fault allowed — An oil spill occurred as the plaintiff's ship, Andre, received oil from the defendants' barge — The Andre's crew was admittedly negligent in leaving open a fuel tank valve — The plaintiff was fined $80,000 and paid remediation and compensation costs — In pumping oil at a rate in excess of the agreed rate and by failing to monitor the amount pumped, the bargeman's conduct fell below the required standard of care — But for his conduct, the oil spill would not have occurred — Liability was apportioned equally — Marine Liability Act, s. 17(1).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7"/>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FFS HK, for an apportionment of fault. The plaintiff's ship, MV Andre, was anchored in Vancouver Harbour to receive heavy fuel oil on July 4, 2006. The oil was received from the defendants' tanker barge PT 25. During the bunkering operation, one of the Andre's fuel tanks overflowed, resulting in an oil spill. Between 8000 and 14,000 litres of heavy fuel oil spilled into the water. The plaintiff acknowledged that the crew of the Andre was negligent in inadvertently leaving open the valves to one of the ship's fuel tanks and in failing to monitor the tank after the bunkering operation commenced. Charges were laid against the plaintiff and the plaintiff ultimately paid a fine of $80,000. The plaintiff also paid more than $1 million for remediation and compensation costs. The plaintiff took the position that fault should be apportioned as the cause of the oil spill was the failure of both crews to properly carry out their responsibilities. The plaintiff submitted that the bargeman in charge of the PT 25 was negligent in pumping the oil to the ship at a rate much higher than the agreed rate and by failing to monitor the amount of oil being pumped to the ship. The defendants took the position that the bargeman's conduct was not negligent and that the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Andre's crew was the sole cause of the oil spill.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6"/>
            <w:bookmarkEnd w:id="6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flow rate was a critical component of the bunkering operation and a reasonably competent bargeman would not deviate from the agreed flow rate without explicit instructions from the receiving vessel. The bargeman did not receive any such instructions, nor did he take periodic readings from his flow meter. Therefore, in pumping oil at a rate in excess of the agreed rate and by failing to monitor the amount of oil pumped, the bargeman's conduct fell far below the required standard of care. Furthermore, but for the conduct of the bargeman, the oil spill would not have occurred. The crews of both vessels had an equal duty to ensure that the bunkering operation was carried out safely. While the initial risk of the oil spill was created by the crew of the Andre, that risk was magnified by the barge crew. As a result, liability was apportioned equally.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8"/>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Marine Act, </w:t>
      </w:r>
      <w:hyperlink r:id="rId247" w:history="1">
        <w:r>
          <w:rPr>
            <w:rFonts w:ascii="arial" w:eastAsia="arial" w:hAnsi="arial" w:cs="arial"/>
            <w:i/>
            <w:color w:val="0077CC"/>
            <w:sz w:val="20"/>
            <w:u w:val="single"/>
            <w:shd w:val="clear" w:color="auto" w:fill="FFFFFF"/>
            <w:lang w:val="en-US" w:eastAsia="en-US" w:bidi="ar-SA"/>
          </w:rPr>
          <w:t>S.C. 1998, c. 10, s. 56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Shipping Act, </w:t>
      </w:r>
      <w:hyperlink r:id="rId248"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249" w:history="1">
        <w:r>
          <w:rPr>
            <w:rFonts w:ascii="arial" w:eastAsia="arial" w:hAnsi="arial" w:cs="arial"/>
            <w:i/>
            <w:color w:val="0077CC"/>
            <w:sz w:val="20"/>
            <w:u w:val="single"/>
            <w:shd w:val="clear" w:color="auto" w:fill="FFFFFF"/>
            <w:lang w:val="en-US" w:eastAsia="en-US" w:bidi="ar-SA"/>
          </w:rPr>
          <w:t>S.C. 2001, c. 6, s. 17</w:t>
        </w:r>
      </w:hyperlink>
      <w:r>
        <w:rPr>
          <w:rFonts w:ascii="arial" w:eastAsia="arial" w:hAnsi="arial" w:cs="arial"/>
          <w:color w:val="000000"/>
          <w:sz w:val="20"/>
          <w:lang w:val="en-US" w:eastAsia="en-US" w:bidi="ar-SA"/>
        </w:rPr>
        <w:t>(1), s. 51(3), s. 51(4), s. 51(5)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Migratory Birds Convention Act, </w:t>
      </w:r>
      <w:hyperlink r:id="rId250" w:history="1">
        <w:r>
          <w:rPr>
            <w:rFonts w:ascii="arial" w:eastAsia="arial" w:hAnsi="arial" w:cs="arial"/>
            <w:i/>
            <w:color w:val="0077CC"/>
            <w:sz w:val="20"/>
            <w:u w:val="single"/>
            <w:shd w:val="clear" w:color="auto" w:fill="FFFFFF"/>
            <w:lang w:val="en-US" w:eastAsia="en-US" w:bidi="ar-SA"/>
          </w:rPr>
          <w:t>S.C. 1994, c. 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7" w:history="1">
        <w:r>
          <w:rPr>
            <w:rFonts w:ascii="arial" w:eastAsia="arial" w:hAnsi="arial" w:cs="arial"/>
            <w:i/>
            <w:color w:val="0077CC"/>
            <w:sz w:val="20"/>
            <w:u w:val="single"/>
            <w:shd w:val="clear" w:color="auto" w:fill="FFFFFF"/>
            <w:lang w:val="en-US" w:eastAsia="en-US" w:bidi="ar-SA"/>
          </w:rPr>
          <w:t>RSBC 1996, CHAPTER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Oil Pollution Prevention Regulations, SOR/93-3, s. 42(b), s. 42(d), s. 42(i)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10"/>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Sachs, S.J.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P.G. Bernard, Q.C., D.S. Jarrett.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10"/>
      <w:bookmarkEnd w:id="72"/>
      <w:r>
        <w:pict>
          <v:line id="_x0000_s1080"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Circumstances surrounding the spill</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bargeman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Procedures governing barge crew</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 of the investigation by Transport Canada</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Opinion Evidence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 evidence of the expert Marine Engineers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 evidence of the expert Bargeman</w:t>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meet the standard of care?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care required of a barge crew in bunkering operations?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barge crew meet the required standard of care?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breach of the standard of care a cause of the spill?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on causation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apportionment of fault?</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parameters</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present case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Conclusions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C.A. 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4, 2006, the bulk cargo ship MV Andre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was anchored in Vancouver Harbour to receive heavy fuel oil (from the tanker barge P.T. 25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During the bunkering operation, one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's fuel oil tanks overflowed and approximately 8,000 to 14,000 litres of heavy fuel oil spilled into the harbour. The plaintiff, owner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incurred over $1 million in damages in responding to the spill and cleaning the oil from the water, the affected shore line and pleasure craft moored at nearby marinas.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acknowledged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in two respects. First, a member of the crew inadvertently left open the valves to one of the ship's fuel oil tanks. Second, the crew failed to monitor that tank after bunkering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However, the plaintiff argued that the cause of the oil spill was the failure of the crews of both the ship and the barge to properly carry out their shared and individual responsibilities in the bunkering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alleged that the bargeman in charge of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was negligent in his conduct of the bunkering operation, first, by pumping the oil to the ship at a rate much higher than the transfer rate agreed between the vessels and, second, by failing to monitor the amount of oil going across to the ship. Because the bargeman was pumping significantly more oil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than had been agreed,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was not alerted to the fact that it had left the valve to one of the tanks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accordingly seeks an apportionment of fault between the two vessels for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owners of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denied that the bargeman's conduct was negligent. They argued that, in any event, the sole cause of the spill was the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crew of the </w:t>
      </w:r>
      <w:r>
        <w:rPr>
          <w:rFonts w:ascii="arial" w:eastAsia="arial" w:hAnsi="arial" w:cs="arial"/>
          <w:i/>
          <w:color w:val="000000"/>
          <w:sz w:val="20"/>
          <w:lang w:val="en-US" w:eastAsia="en-US" w:bidi="ar-SA"/>
        </w:rPr>
        <w:t>Andre.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are the following:</w:t>
      </w:r>
      <w:r>
        <w:rPr>
          <w:rFonts w:ascii="arial" w:eastAsia="arial" w:hAnsi="arial" w:cs="arial"/>
          <w:sz w:val="20"/>
          <w:lang w:val="en-US" w:eastAsia="en-US" w:bidi="ar-SA"/>
        </w:rPr>
        <w:cr/>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meet the standard of care required of the tanker barge crew in a vessel to vessel bunkering operation?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defendants' failure to meet the standard of care a cause of the oil spill?</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conduct was a cause of the oil spill, what is the proper apportionment of fault as between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that the answer to questions 1. and 2 above is "yes", and that fault ought to be apportioned equally between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is a Hong Kong flag bulk carrier of 27,800 tonnes. It is approximately 176 metres long, 26 metres wide and 13.3 metres in depth. The ship is typical of many that one may observe anchored in Vancouver Harbour. Its bridge, engine room and accommodation are located at the stern. The ship has five cargo holds and four cranes (masthouses) for loading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has six fuel oil tanks for holding bunker oil taken on board as fuel for the ship's engines. They are double bottom tanks located below the cargo holds. The tanks are in pairs, with the No. 1 port and starboard tanks in the forward part of the ship, the No. 2 port and starboard tanks in the middle, and the No. 3 port and starboard tanks further aft but located in front of the engine room block at the 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tank arrangement on board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consists of intake and outlet pipes running along the centre of the ship between the tanks. These pipes carry the fuel oil between the tanks and the engine room where the pumps and valves are situated. The tanks also have sounding and ventilation pipes running from the interior of the tanks to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had bunkered three times between March and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tanker barge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is an oil tanker of 2,560 tonnes, containing eight bunker tanks and two diesel tanks. It is moved from one place to another by an assigned tug. The barge is based at the Port Metro Vancouver, and is used exclusively to supply fuel oil to vessels calling at the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crew of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is engaged in bunkering operations on a daily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Circumstances surrounding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was calling at Vancouver Harbour to load grain. On the morning of July 4, 2006, the ship was anchored in the centre portion of Vancouver Harbour, facing west toward the Lions Gate (First Narrows) Bridge. It was scheduled to load 700 metric tonnes of heavy fuel oil from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transfer of fuel between vessels at the Port Metro Vancouver is governed by the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S.O.R./93-3</w:t>
        </w:r>
      </w:hyperlink>
      <w:r>
        <w:rPr>
          <w:rFonts w:ascii="arial" w:eastAsia="arial" w:hAnsi="arial" w:cs="arial"/>
          <w:color w:val="000000"/>
          <w:sz w:val="20"/>
          <w:lang w:val="en-US" w:eastAsia="en-US" w:bidi="ar-SA"/>
        </w:rPr>
        <w:t xml:space="preserve"> made under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 xml:space="preserve">, as well as regulations of the Port Metro Vancouver made under the </w:t>
      </w:r>
      <w:r>
        <w:rPr>
          <w:rFonts w:ascii="arial" w:eastAsia="arial" w:hAnsi="arial" w:cs="arial"/>
          <w:i/>
          <w:color w:val="000000"/>
          <w:sz w:val="20"/>
          <w:lang w:val="en-US" w:eastAsia="en-US" w:bidi="ar-SA"/>
        </w:rPr>
        <w:t>Canada Marine Act,</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S.C. 1998, c. 10</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Port Operations Manual</w:t>
      </w:r>
      <w:r>
        <w:rPr>
          <w:rFonts w:ascii="arial" w:eastAsia="arial" w:hAnsi="arial" w:cs="arial"/>
          <w:color w:val="000000"/>
          <w:sz w:val="20"/>
          <w:lang w:val="en-US" w:eastAsia="en-US" w:bidi="ar-SA"/>
        </w:rPr>
        <w:t xml:space="preserve"> of the Port Metro Vancouver requires that vessels involved in a bunkering operation (that is, the receiving vessel and the supplying vessel) jointly complete a mandatory checklist known as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constitutes a written operation plan between the vessels. The Port has also issued guidelines known as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which are to be referenced when completing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principal witness called by the plaintiff concerning the circumstances surrounding the spill was the Second Assistant Engineer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Wang Fujin. Mr. Wang was assigned primary responsibility for the bunkering operation by the Chief Engineer, Ye Mouhai.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Mouhai, who currently resides in China and is no longer employed by the plaintiff, refused to return to Canada to testify at trial despite every effort by the plaintiff to persuade him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Wang testified that he prepared a written fuel oil receiving plan under the direction of the Chief Engineer, who determined which tanks would be filled and the sequence in which they would be filled. The Chief Engineer told Mr. Wang the first tanks to be loaded would be the No. 1 port and starboard tanks, which would be filled in tandem. Thereafter, the No. 3 port and starboard tanks would be filled in tandem. Finally, the No. 2 starboard tank would be filled with the remaining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pre-bunkering meeting had been held on board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on July 3, 2006 to discuss each crew member's duties as described in the plaintiff's bunkering procedures checklist. Mr. Wang, as the person in charge of the bunkering operation, was responsible for checking and calculating the transfer rate (or flow rate) for the oil based on information he received from the engineers performing the soundings of the tanks. He was also responsible for the setting of all tank valves before and during bunkering.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had its own bunkering procedures checklist, generated by personnel responsible for management systems. That checklist required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to perform soundings of all of the ship's tanks at the commencement of bunkering and again during bunkering. These soundings were designed to ensure there was no change in the level of the tanks which, according to the bunkering plan, were not to receive oil either initially or at all. The bunkering procedures checklist also stipulated that all tank valves must be checked to ensure they were in the correct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Brad Randell was the appointed bargeman for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on July 4, 2006. He arrived at the barge at approximately 6:45 a.m. to prepare the barge system for delivery of fuel oil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The product to be delivered was heavy fuel oil. Mr. Randell started the bunker oil heater on board the barge to heat the oil in order to ensure that it would flow with relative ease from the barge to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At approximately 7:40 a.m.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was placed by the tug </w:t>
      </w:r>
      <w:r>
        <w:rPr>
          <w:rFonts w:ascii="arial" w:eastAsia="arial" w:hAnsi="arial" w:cs="arial"/>
          <w:i/>
          <w:color w:val="000000"/>
          <w:sz w:val="20"/>
          <w:lang w:val="en-US" w:eastAsia="en-US" w:bidi="ar-SA"/>
        </w:rPr>
        <w:t>Cates IV</w:t>
      </w:r>
      <w:r>
        <w:rPr>
          <w:rFonts w:ascii="arial" w:eastAsia="arial" w:hAnsi="arial" w:cs="arial"/>
          <w:color w:val="000000"/>
          <w:sz w:val="20"/>
          <w:lang w:val="en-US" w:eastAsia="en-US" w:bidi="ar-SA"/>
        </w:rPr>
        <w:t xml:space="preserve"> alongside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The barge was secured to the port side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at the aft end using lines passed to the main deck of the ship, which was approximately 15 feet above the deck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Mr. Wang was the designated officer in charge of the bunkering, the Chief Engineer retained supervision of the operation. The Chief Engineer met with the bargeman to complete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and discuss the operation generally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Randell boarded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and met with the Chief Engineer.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was completed by the two men during the meeting. The document specified the sequence of loading the tanks, the capacities of the tanks receiving the fuel oil, the transfer rates for the loading of the respective tanks (that is, the number of metric tonnes of oil to be pumped per hour) and the maximum pressure for loading. Both the Chief Engineer and Mr. Randell signed the </w:t>
      </w:r>
      <w:r>
        <w:rPr>
          <w:rFonts w:ascii="arial" w:eastAsia="arial" w:hAnsi="arial" w:cs="arial"/>
          <w:i/>
          <w:color w:val="000000"/>
          <w:sz w:val="20"/>
          <w:lang w:val="en-US" w:eastAsia="en-US" w:bidi="ar-SA"/>
        </w:rPr>
        <w:t>Oil Transfer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specified that the No. 1 port and starboard tanks were to be filled at a rate of 150 metric tonnes per hour, with an increase in the rate to 250 metric tonnes per hour for the filling of the No. 3 tanks and the No. 2 starboard tank. The document also specified the capacity of the tanks to be filled. The No. 1 port and starboard tanks had a stated capacity of 194.11 and 191.38 cubic metres respectively, for a total of 385.49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Wang testified that the crew planned to fill the tanks to 85% of their capacity, which would result in the No. 1 port tank receiving 159 metric tonnes and the No. 1 starboard tank receiving 156 metric tonnes. At the agreed rate of 150 metric tonnes per hour for the No. 1 tanks, the ship was to receive approximately 315 metric tonnes of oil before the crew initiated the changeover to the No. 3 tanks. Mr. Wang calculated that the filling of the No. 1 tanks would take slightly more than two hours if loaded at the planned rate of 150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Following his meeting with the Chief Engineer, Mr. Randell observed that the ship's emergency tow lines, which were required to be placed over the side of the ship during bunkering, had not yet been deployed by the crew. He also noted that some of the scuppers (drainage holes in the ship's deck designed to draw water from the ship's decks) had not yet been plugged. Mr. Randell advised the Chief Engineer that the emergency tow lines must be put in place. He then returned to the barge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he returned to the ship, Mr. Randell observed that the scuppers had been plugged but the emergency tow lines had not yet been deployed. At the suggestion of a Port Metro Vancouver Harbour Patrol Officer who was on board at the time, Mr. Randell spoke with the ship's Chief Officer about the emergency tow lines. Mr. Randell did so, and the tow lines were subsequently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the practice of the bargeman to check the receiving ship's manifold (or "riser", which is part of the ship's piping system) and to supply the ship with bolts and a new gasket for the manifold. Mark Cannon, a senior bargeman employed by the defendants, testified that the most common deficiencies he encountered on ships scheduled to be bunkered was a worn gasket and a shortage of bolts on the manifold. The bolts secure the loading hose to the manifold.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Randell noticed, when checking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's manifold, that only four of eight bolts were in place to secure the loading hose. He gave the crew some additional bolts for the manifold, which were then put in place. The loading hose was secured, and Mr. Randell returned to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to commence pumping.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tanker barge, which pumps the fuel oil to the receiving ship, controls the transfer rate. The barges owned by the defendants, like most tanker barges in the Port Metro Vancouver, are fitted with flow meters which give an immediate and accurate reading of the transfer rate as the fuel passes from the barge to the ship. The flow meter, which is calibrated, is located in close proximity to the pumping controls. The flow meter is used by the bargeman to ascertain the rate of flow within seconds. It is also used to render accounts to the receiving vessel for the amount of oil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like most bulk carriers, does not have a flow meter. The ship's crew can only establish the transfer rate through a process of tank soundings. Each tank is dipped with a steel tape through the sounding pipe located on the main deck, inside the crane masthouses, to measure the distance from the top of the oil in the tank to the top of the sounding pipe. The measurement is then adjusted to take into account the trim of the vessel, using a trim correction table. The adjusted measurement is compared to the sounding table, which gives a corresponding volume of oil in cubic metres. The sounding process is then repeated after a certain interval, and the increase in volume is converted to a transfer rate in litres or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noted earlier, Mr. Wang was responsible for setting the tank valves for the bunkering operation. He testified that he checked the tank valves prior to bunkering, and thought that he had set the valves to transfer oil only into the ship's No. 1 tanks. However, he inadvertently either set, or left, the valves to the No. 2 starboard tank in the open position. Mr. Wang did not realize his mistake until after the spill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the commencement of the bunkering, Mr. Wang sounded all of the fuel tanks and recorded the measurements in his notebook. Mr. Wang also recorded in his notebook the sounding measurements, which at the vessel's trim, corresponded with 80%, 85% and 90% of the tanks' capacity. He intended to implement a changeover to the No. 3 tanks when the No. 1 tanks were filled to approximately 85% of their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bargeman and the Chief Engineer, or the ship's officer retaining overall supervision of the operation, must agree on a method of communication between the two vessels before bunkering commences. The ship and the barge must be able to communicate during bunkering about matters such as the rate of transfer. Mr. Randell testified that the initial agreement reached between him and the Chief Engineer during their meeting on board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was to communicate verbally.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bunkering operation began at 8:50 a.m., when the Chief Engineer signalled to Mr. Randell to start pumping. It is customary to start the pumping at a slow speed to allow the crew to ensure that the connecting hose is secure and all other aspects of the operation are properly in place. The speed is also affected by the temperature and density of the oil. The colder the oil, the more viscous it is. As the bunkering operation proceeds, the temperature of the oil rises and the oil flows more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Randell started the first of two pumps at slow speed; after five minutes, he started the second pump at slow speed. He estimated that the pumping rate was approximately 57 metric tonnes per hour in the initial 15 to 20 minutes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actual pumping rate set by Mr. Randell after the start up phase was a central fact in dispute at trial. I will return to the issue of the pumping rate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Once pumping commenced, the crew took soundings of the No. 1 tanks under Mr. Wang's supervision. Twenty soundings of the No. 1 tanks were taken between 9:00 a.m. and 11:05 a.m. (when the spill occurred). However, the time that each sounding was taken was not recorded by the crew with the exception of the sounding taken before bunkering commenced, the sounding taken at 9:00 a.m., and the sounding taken after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had reviewed the bunkering procedures checklist on July 3, the day prior to the bunkering. Mr. Wang signed off his areas of responsibility on that day. His responsibilities included the checking of all tank valves and the sounding of all of the ship's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did not take soundings of the tanks, other than the No. 1 tanks, after bunkering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soundings of the No. 1 tanks were taken by the engineers stationed at the sounding pipes inside the No. 3 crane masthouse. Mr. Wang collected the data from the engineers and entered it in his sounding notebook. He testified that after about a half hour, accounting for the initial slow pumping rate, he calculated the incoming flow rate against the agreed rate of 150 metric tonnes per hour. On the basis of the soundings, Mr. Wang concluded that the actual rate was quite close to the agreed rate. He was satisfied that the bunkering operation was proceeding according to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Wang testified that while he was not present at the meeting between the Chief Engineer and Mr. Randell, he was aware the agreed rate for the No. 1 tanks was 150 metric tonnes per hour. Mr. Wang was the person in charge of sounding the No. 1 tanks, and that was the rate he was given by the Chief Engineer. Mr. Randell confirmed that the agreed rate for those tanks was 150 metric tonnes per hour.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signed off by Mr. Randell and the Chief Engineer also confirmed an agreed rate of 150 metric tonnes per hour for the No.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Mr. Wang, the Chief Engineer at no time informed him of any change in the rate for the loading of the No.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Had the bunkering proceeded in accordance with the plan contained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 No. 1 tanks would have been filled to 85% capacity shortly after 11:00 a.m. At that point, Mr. Wang anticipated changing over to the No. 3 tanks. However, just before the expected changeover time, oil began spilling from the ship's No. 2 starboard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crew did not realize that the No. 2 starboard tank was open and had been filling since the bunkering began. When the No. 2 starboard tank reached its full capacity of 192 metric tonnes, oil overflowed from the tank's two ventilation pipes. The quantity of oil could not be contained within the save-alls around the ventilation pipes. The oil flowed out of the save-alls and across the starboard deck of the ship. The deck had a camber (that is, a slope to the sides of the ship) which caused the oil to flow to the outer edge of the vessel. At the outer edge, or sheer strake, there was a lip of a few inches in height. The quantity of oil was too great to be contained within the sheer strake and the oil flowed over the lip in two wide patches adjacent to the location of the air vents and down the ship's side into the water. Although the scuppers were plugged, there was a slight leak around two of the scupper plugs.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Oil also leaked from the sounding pipe of the No. 2 starboard tank located inside the masthouse of the No. 4 crane. However, the doorway of the masthouse had a sill which contained the oil in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was estimated that between 8,000 and 14,000 litres (or between 7.5 to 14 metric tonnes) of oil spilled from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into the waters of Vancouver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According to the plan reflected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approximately 315 metric tonnes of oil should have been pumped from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by the time of the spill at 11:05 a.m. However, examination of the barge's records revealed that by the time of the shut down, the barge had pumped 473.9 metric tonnes of oil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That was more than 50% above the amount expected by the crew, had the pumping rate been maintained at 150 metric tonnes per hour. It was also more than 100,000 litres beyond the capacity of the No.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Wang acknowledged that he might have been reminded to re-check the valves on the No. 2 starboard tank had he reviewed his responsibilities described in the plaintiff's bunkering procedures checklist on July 4 rather than on July 3. He also acknowledged that had the crew sounded the No. 2 starboard tank after bunkering began, they would have noticed that it was receiving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Immediately following the spill, Transport Canada (Marine) sent a Pollution Prevention Officer, Khushru Irani, to investigate the spill. Mr. Irani spoke briefly with Mr. Randell, and interviewed several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's crew. He determined that Mr. Wang had left the hydraulic and manual valves to the No. 2 starboard tank open during bunkering of the No. 1 tanks. He also determined that the crew did not check the soundings of the other tanks once bunkering had commenced to ensure that oil was going only into the No. 1 tanks. Finally, Mr. Irani concluded that the crew had completed the plaintiff's bunkering procedures checklist in rote fashion the day before the bunkering operation instead of on July 4 when many of the checklist items ought to have been checked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The actions of the bargeman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Irani subsequently contacted Mr. Randell, who agreed to attend the Transport Canada offices for an interview. The interview occurred on July 12, 2006. Mr. Randell brought with him the relevant barge records as requested by Mr. Irani.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Irani asked Mr. Randell a series of questions, and wrote down the questions and Mr. Randell's answers as the questions were asked and the answers were given. At the conclusion of the interview, Mr. Irani asked Mr. Randell to review the handwritten record of the interview and to acknowledge its accuracy with his signature. Mr. Randell reviewed the notes and provided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trial, Mr. Randell acknowledged that Mr. Irani had accurately recorded the answers given during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Randell told Mr. Irani that he and the Chief Engineer agreed at their meeting before the bunkering operation began that they would communicate verbally. The Chief Engineer was to shout to get Mr. Randell's attention, and give directions verbally. Mr. Irani asked whether that was a normal means of communication in bunkering operations, and Mr. Randell replied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Irani asked Mr. Randell about the initial pumping rate. Mr. Randell replied that he started his port pump at slow speed for about five minutes, and after the Chief Engineer gave him the "O.K." he began the starboard pump, also at slow speed, for another five minutes. Mr. Randell told Mr. Irani that "slow speed" could be around 48 to 58 metric tonnes per hour with both pumps engaged at slow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Irani asked Mr. Randell how long he pumped at slow speed before increasing the rate. Mr. Randell replied, "For about 15 minutes". He confirmed that he started bunkering at 8:50 a.m. and increased the rate at about 9:05. When asked what the rate increase was at 9:05, Mr. Randell replied that he brought both pumps up to 1,000 RPM (from the initial rate of about 700 RPM). He said he could "guestimate" that 1,000 RPM would yield a rate of about 125 metric tonnes per hour with both pumps engaged. Mr. Randell, in response to a further question, said that he ran both pumps at 1,000 RPM for another ten minutes, or until about 9:15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Irani then asked Mr. Randell whether he increased the rate again after 9:15 a.m. He replied, "Yes, I brought it up to about 1250 RPM on both the pumps," which would yield a rate of approximately 150 metric tonnes per hour. When asked how long he pumped at 150 metric tonnes per hour, Mr. Randell replied that he maintained that rate until he was told by the Chief Engineer to shut down the bunkering at about 11:05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Irani returned to the question of rates, asking Mr. Randell the following question: "Did you at any time on this bunkering increase the rate of pumping to more than 1250 RPM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150 metric tonnes per hour] on both the pumps?" Mr. Randell answered,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On the issue of the sequence of filling the tanks in accordance with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Mr. Irani asked Mr. Randell whether he was aware which of the tanks were being filled between 8:50 and 11:05 a.m., and whether there was any change from the plan as indicated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Mr. Randell replied that he believed the ship's crew was filling the No. 1 port and starboard tanks "as per the checklist" and that the ship had not told him of any change in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the conclusion of the interview, Mr. Irani asked Mr. Randell whether he wished to add any further information. According to Mr. Irani, Mr. Randell replied that he would like to submit his typed statement in addition to the interview. Mr. Randell explained that the statement was not yet finished, and that he would give it to Mr. Irani when it was completed. Mr. Irani testified that after a few days, when the statement was not forthcoming, he called Mr. Randell and asked him for it. Mr. Randell said that he had submitted the statement to his employer, and that he thought his employer would provide it to Mr. Irani.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did not provide Transport Canada with Mr. Randell's typed statement. The statement did not emerge until May 18, 2010, in the course of Mr. Randell's examination for discovery by counsel for the plaintiff. Counsel for the defendants produced the statement when plaintiff's counsel began examining Mr. Randell on his statement to Transport Canada that he had maintained a pumping rate of 150 metric tonnes per hour throughout the bunkering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did not produce Mr. Randell's statement before that time on the basis that it had been prepared for their legal counsel and was therefore privileged. That assertion was not accurate. Mr. Randell testified at trial that he prepared the statement on his own initiative shortly after the spill with a view to sorting out in his mind what had happened during the bunkering operation. He said he prepared the statement with the assistance of his spouse, who helped him with the structure and grammar of the statement. He said he also sought advice about the wording of the statement from his brother-in-law, who, while not a lawyer, had "dabbled in legal matters". Mr. Randell said that he initially left the statement on his computer. He eventually printed it off and gave it to his employer, who advised him a week or so after the spill that he should record in writing his recollection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Randell's typed statement is dated July 4, 2006. He asserted at trial that he began preparing the statement on the evening of the spill, and completed it the following day. He did not say when he provided it to his employer. As no one from the management of the defendants testified at trial, there is no evidence as to the date on which Mr. Randell provided the statement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Randell did not explain why, if he had completed the statement a week earlier, he omitted to bring it with him to the interview with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Randell's written statement tells a much different story about his role in the bunkering operation than the one he told Transport Canada. In his written statement, Mr. Randell asserted that he maintained a rate of 150 metric tonnes per hour until 9:50 or 10:00 a.m., at which time he increased the rate to 225 metric tonnes per hour at the request of the Chief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Randell's typed statement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08:50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Began port pump 1,000 rpm (</w:t>
      </w:r>
      <w:r>
        <w:rPr>
          <w:rFonts w:ascii="arial" w:eastAsia="arial" w:hAnsi="arial" w:cs="arial"/>
          <w:color w:val="000000"/>
          <w:sz w:val="20"/>
          <w:u w:val="single"/>
          <w:lang w:val="en-US" w:eastAsia="en-US" w:bidi="ar-SA"/>
        </w:rPr>
        <w:t>slow</w:t>
      </w:r>
      <w:r>
        <w:rPr>
          <w:rFonts w:ascii="arial" w:eastAsia="arial" w:hAnsi="arial" w:cs="arial"/>
          <w:color w:val="000000"/>
          <w:sz w:val="20"/>
          <w:lang w:val="en-US" w:eastAsia="en-US" w:bidi="ar-SA"/>
        </w:rPr>
        <w:t xml:space="preserve">); everything okay. </w:t>
      </w:r>
      <w:r>
        <w:rPr>
          <w:rFonts w:ascii="arial" w:eastAsia="arial" w:hAnsi="arial" w:cs="arial"/>
          <w:color w:val="000000"/>
          <w:sz w:val="20"/>
          <w:u w:val="single"/>
          <w:lang w:val="en-US" w:eastAsia="en-US" w:bidi="ar-SA"/>
        </w:rPr>
        <w:t>5-10 minutes</w:t>
      </w:r>
      <w:r>
        <w:rPr>
          <w:rFonts w:ascii="arial" w:eastAsia="arial" w:hAnsi="arial" w:cs="arial"/>
          <w:color w:val="000000"/>
          <w:sz w:val="20"/>
          <w:lang w:val="en-US" w:eastAsia="en-US" w:bidi="ar-SA"/>
        </w:rPr>
        <w:t xml:space="preserve"> later- C/E asks to increase pump rate. Stbd [starboard] pump on, 1,000 rmp (slow) 5 minutes, pump rate was increased to </w:t>
      </w:r>
      <w:r>
        <w:rPr>
          <w:rFonts w:ascii="arial" w:eastAsia="arial" w:hAnsi="arial" w:cs="arial"/>
          <w:color w:val="000000"/>
          <w:sz w:val="20"/>
          <w:u w:val="single"/>
          <w:lang w:val="en-US" w:eastAsia="en-US" w:bidi="ar-SA"/>
        </w:rPr>
        <w:t>1,200 rmp in both pumps</w:t>
      </w:r>
      <w:r>
        <w:rPr>
          <w:rFonts w:ascii="arial" w:eastAsia="arial" w:hAnsi="arial" w:cs="arial"/>
          <w:color w:val="000000"/>
          <w:sz w:val="20"/>
          <w:lang w:val="en-US" w:eastAsia="en-US" w:bidi="ar-SA"/>
        </w:rPr>
        <w:t xml:space="preserve">. Checked pressure, checked temperature- all okay. Maintained rate for </w:t>
      </w:r>
      <w:r>
        <w:rPr>
          <w:rFonts w:ascii="arial" w:eastAsia="arial" w:hAnsi="arial" w:cs="arial"/>
          <w:color w:val="000000"/>
          <w:sz w:val="20"/>
          <w:u w:val="single"/>
          <w:lang w:val="en-US" w:eastAsia="en-US" w:bidi="ar-SA"/>
        </w:rPr>
        <w:t>10 minutes</w:t>
      </w:r>
      <w:r>
        <w:rPr>
          <w:rFonts w:ascii="arial" w:eastAsia="arial" w:hAnsi="arial" w:cs="arial"/>
          <w:color w:val="000000"/>
          <w:sz w:val="20"/>
          <w:lang w:val="en-US" w:eastAsia="en-US" w:bidi="ar-SA"/>
        </w:rPr>
        <w:t xml:space="preserve">. Checked P.T. 25 engine room. All okay. After this time, the C/E asked me to increase pump rate. I told him since the product was only (46 Celsius) that I could only pump at this rate about </w:t>
      </w:r>
      <w:r>
        <w:rPr>
          <w:rFonts w:ascii="arial" w:eastAsia="arial" w:hAnsi="arial" w:cs="arial"/>
          <w:color w:val="000000"/>
          <w:sz w:val="20"/>
          <w:u w:val="single"/>
          <w:lang w:val="en-US" w:eastAsia="en-US" w:bidi="ar-SA"/>
        </w:rPr>
        <w:t>150 metric tonnes</w:t>
      </w:r>
      <w:r>
        <w:rPr>
          <w:rFonts w:ascii="arial" w:eastAsia="arial" w:hAnsi="arial" w:cs="arial"/>
          <w:color w:val="000000"/>
          <w:sz w:val="20"/>
          <w:lang w:val="en-US" w:eastAsia="en-US" w:bidi="ar-SA"/>
        </w:rPr>
        <w:t xml:space="preserve"> (estimated) per hour.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09:50-10:00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 asked me to again increase the pump rate. Checked pressure and temperature and increased both port stbd engines to approximately 1,400 rpm (</w:t>
      </w:r>
      <w:r>
        <w:rPr>
          <w:rFonts w:ascii="arial" w:eastAsia="arial" w:hAnsi="arial" w:cs="arial"/>
          <w:color w:val="000000"/>
          <w:sz w:val="20"/>
          <w:u w:val="single"/>
          <w:lang w:val="en-US" w:eastAsia="en-US" w:bidi="ar-SA"/>
        </w:rPr>
        <w:t>about 225 metric tonnes</w:t>
      </w:r>
      <w:r>
        <w:rPr>
          <w:rFonts w:ascii="arial" w:eastAsia="arial" w:hAnsi="arial" w:cs="arial"/>
          <w:color w:val="000000"/>
          <w:sz w:val="20"/>
          <w:lang w:val="en-US" w:eastAsia="en-US" w:bidi="ar-SA"/>
        </w:rPr>
        <w:t xml:space="preserve"> per hour); maintained pump rate and checked the engine room. All okay.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Began paperwork in the P.T. 25 office.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Tidied up office, changed engine room light bulbs.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 told me to stop pumping. I INITIATED AN EMERGENCY SHUTDOWN PROCEDURE.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Randell did not have any records from the barge at the time he prepared the above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Randell acknowledged in cross-examination at trial that at the time he prepared his statement, he knew that he had pumped over 473 metric tonnes of oil to the ship in approximately two hours and that his pumping rates could be questioned in the investigation into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Mr. Randell was asked in his examination for discovery about the discrepancies in the two statements. He responded that he believed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permitted him to pump more than 150 metric tonnes per hour, and did not know why he gave the statement he did to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I don't know why I said "150" because of -- you know, I went, and this paperwork said I was allowed to go over 150, and I don't know why I stuck to 150.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Mr. Randell was asked why, if he believed he was entitled to pump at a higher rate because the Chief Engineer had signalled him to do so, he did not simply say that in the interview with Mr. Irani. Mr. Randell's response was that he did not know why he was untruthful in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gist of Mr. Randell's evidence on discovery was that despite the agreement to communicate verbally, the Chief Engineer gave hand signals on more than one occasion to increase the rate. Mr. Randell said the Chief Engineer did not ask to have the rate increased to 250 metric tonnes per hour or any other specific rate. He just motioned with his hand in a manner that indicated to Mr. Randell to "go faster". When asked whether the Chief Engineer was simply indicating that Mr. Randell should increase the rate to 150 metric tonnes per hour, given the early stages of the bunkering, Mr. Randell said 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Randell said that in his mind, so long as he was within the maximum rate of 250 metric tonnes per hour (which was the maximum rate for the loading of the No. 3 tanks and the No. 2 starboard tank), the specific pumping rate at any given time was not a matter of concern to them. In his words, the rate of 250 metric tonnes stipulated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meant "anything up to 250" for any of the tanks. He denied that the rate of 150 metric tonnes per hour specified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for the No. 1 tanks was of any significance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Taking into account the slower pumping rates in the initial 15 to 20 minute start-up period, an average pumping speed of 227 metric tonnes per hour would be required to transfer 473.9 metric tonnes to the ship by 11:05 a.m. That calculation was put to Mr. Randell. When asked by plaintiff's counsel how he could have transferred 473.9 metric tonnes of oil to the ship between 8:50 and 11:05 a.m. at the rates he was asserting, Mr. Randell replied "Maybe I wasn't doing 150, maybe I was doing 185 metric tonnes per hour at 40 minutes; it doesn't matter what I was pumping, or when.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was put to Mr. Randell on discovery that given the amount of oil that was pumped from the barge in the two-hour period, he must have increased the rate beyond 150 metric tonnes per hour "quite a bit earlier than 9:50". His response was, "It could have been,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Randell was asked on discovery about his knowledge of the capacity of the tanks to receive the oil. Although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requires the parties to agree on the capacity of the tanks to be loaded, Mr. Randell said he did not know the capacity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's tanks that were scheduled to be loaded. He said the capacity of the tanks was not a matter of significant to him because it was his understanding that the ship's crew could decide to change the loading plan without consulting the bargeman.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examination for discovery, Mr. Randell also resiled from his statement to Mr. Irani that to his knowledge, he was pumping oil to the No. 1 tanks between 8:50 and 11:05 a.m. Instead, he asserted that he did not know which tanks were being loaded at the time: "I don't know. He could have started with the - with the 2s. He could have started with the 3s and finished in the 1. I don't know". According to Mr. Randell, it was not for him to tell the Chief Engineer how to load his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trial, Mr. Randell was asked in cross-examination why he told Mr. Irani that he understood he was loading the No. 1 tanks between 8:50 and 11:05 a.m. Mr. Randell replied that he did not know why he gave that answer to Mr. Irani. He acknowledged that he could not have been pumping oil to the No. 1 tanks the entire time of the bunkering, given the amount of oil transferred and the capacity of the No.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capacity of the No. 1 tanks was, in total, 385.49 metric tonnes. Mr. Randell agreed that he had sent over 473 metric tonnes of fuel oil to the ship by 11.05 a.m. Telling Mr. Irani that he thought he was still loading the No. 1 tanks at the time of the spill was, in Mr. Randell's words, "just the wrong thing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no point did Mr. Randell refer to any specific flow meter readings he may have taken during the bunkering operation. Although he said he had taken flow meter readings during the bunkering operation, he described the pumping rates at any given time as "guestimates".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Procedures governing barge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Randell was, at the time of the spill, employed by one of the defendants, West Coast Fuel Transportation Ltd. ("West Coast Fuel"). West Coast Fuel maintained a procedures manual for bargemen. A copy of the procedures manual was placed on each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procedures manual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LOADING AND UNLOADING OPERATING PROCEDURES FOR TANKERMEN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Tankermen are to be familiar with the provisions of the Oil Pollution Prevention Regulations under the Canada Shipping Act, with relevant portions of the Canada Shipping Act, with the relevant sections of the National Harbours Board Operating Bylaw, and with the bylaws of other harbours or jurisdictions in which they operate. Copies of the necessary documents will be provided by the company for reference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PROCEDURES PRIOR TO LOADING OR DISCHARGE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agree with the dockmen or the officer in charge of the vessel into which you are discharging as to the quantities and sequence of products to be loaded or discharged.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agree on flow rates and safe working pressures.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agreed quantities, rates or sequences are changed during either loading or discharging, stop loading or pumping as the case may be and re-establish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procedures manual also contained a copy of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which is the reference guide for the completion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are issued by the Port Metro Vancouver and are contained in its </w:t>
      </w:r>
      <w:r>
        <w:rPr>
          <w:rFonts w:ascii="arial" w:eastAsia="arial" w:hAnsi="arial" w:cs="arial"/>
          <w:i/>
          <w:color w:val="000000"/>
          <w:sz w:val="20"/>
          <w:lang w:val="en-US" w:eastAsia="en-US" w:bidi="ar-SA"/>
        </w:rPr>
        <w:t>Harbour Operations Manual</w:t>
      </w:r>
      <w:r>
        <w:rPr>
          <w:rFonts w:ascii="arial" w:eastAsia="arial" w:hAnsi="arial" w:cs="arial"/>
          <w:color w:val="000000"/>
          <w:sz w:val="20"/>
          <w:lang w:val="en-US" w:eastAsia="en-US" w:bidi="ar-SA"/>
        </w:rPr>
        <w:t xml:space="preserve">. The practices and procedures contained in the </w:t>
      </w:r>
      <w:r>
        <w:rPr>
          <w:rFonts w:ascii="arial" w:eastAsia="arial" w:hAnsi="arial" w:cs="arial"/>
          <w:i/>
          <w:color w:val="000000"/>
          <w:sz w:val="20"/>
          <w:lang w:val="en-US" w:eastAsia="en-US" w:bidi="ar-SA"/>
        </w:rPr>
        <w:t>Harbour Operations Manual</w:t>
      </w:r>
      <w:r>
        <w:rPr>
          <w:rFonts w:ascii="arial" w:eastAsia="arial" w:hAnsi="arial" w:cs="arial"/>
          <w:color w:val="000000"/>
          <w:sz w:val="20"/>
          <w:lang w:val="en-US" w:eastAsia="en-US" w:bidi="ar-SA"/>
        </w:rPr>
        <w:t xml:space="preserve"> were established pursuant to s. 56 of the </w:t>
      </w:r>
      <w:r>
        <w:rPr>
          <w:rFonts w:ascii="arial" w:eastAsia="arial" w:hAnsi="arial" w:cs="arial"/>
          <w:i/>
          <w:color w:val="000000"/>
          <w:sz w:val="20"/>
          <w:lang w:val="en-US" w:eastAsia="en-US" w:bidi="ar-SA"/>
        </w:rPr>
        <w:t>Canada Marine Act</w:t>
      </w:r>
      <w:r>
        <w:rPr>
          <w:rFonts w:ascii="arial" w:eastAsia="arial" w:hAnsi="arial" w:cs="arial"/>
          <w:color w:val="000000"/>
          <w:sz w:val="20"/>
          <w:lang w:val="en-US" w:eastAsia="en-US" w:bidi="ar-SA"/>
        </w:rPr>
        <w:t xml:space="preserve">. It is an offence under the </w:t>
      </w:r>
      <w:r>
        <w:rPr>
          <w:rFonts w:ascii="arial" w:eastAsia="arial" w:hAnsi="arial" w:cs="arial"/>
          <w:i/>
          <w:color w:val="000000"/>
          <w:sz w:val="20"/>
          <w:lang w:val="en-US" w:eastAsia="en-US" w:bidi="ar-SA"/>
        </w:rPr>
        <w:t>Canada Marine Act</w:t>
      </w:r>
      <w:r>
        <w:rPr>
          <w:rFonts w:ascii="arial" w:eastAsia="arial" w:hAnsi="arial" w:cs="arial"/>
          <w:color w:val="000000"/>
          <w:sz w:val="20"/>
          <w:lang w:val="en-US" w:eastAsia="en-US" w:bidi="ar-SA"/>
        </w:rPr>
        <w:t xml:space="preserve"> to breach the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oil receiver and the oil supplier should before transferring:</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on the appointment of a competent person to supervise the transfer operation.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on the handling procedures including the maximum loading or unloading rates.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and sign the "Oil Transfer List".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on the actions to be taken in the event of an emergency during handling operations.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assist oil suppliers and receivers in their joint use of the "Oil Transfer Check List", these guidelines have been drawn up. They are based on IMO recommendations on the safe transport, handling and storage of dangerous substances in port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 MUTUAL SAFETY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oil receiver needs to check his preparations prior to transferring oil. Additionally, he has a responsibility to assure himself that the oil supplier has likewise made proper preparations.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Equally, the oil supplier needs to check his own preparations and to be assured that the oil receiver has carried out his checks and has made appropriate arrangements.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carrying out their full responsibilities, both the oil receiver and the oil supplier, by questioning each other and by joint visual inspection should assure themselves that the standards of safety on both sides of the operation are fully acceptable.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 CHANGE OF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conditions under which oil transfers take place may change during the process. The changes may be such that the integrity of the operation can no longer be guaranteed. The party noticing or causing the change of condition is under an obligation to take all necessary actions, which may include stopping the operation, to re-establish safe conditions. The change of conditions should be reported to the other party, and where necessary, co-operation with the other party should be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 NOTIFICATION OF TRANSFER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"Instructions for Completion" section of the "Oil Transfer Check List" form, state that </w:t>
      </w:r>
      <w:r>
        <w:rPr>
          <w:rFonts w:ascii="arial" w:eastAsia="arial" w:hAnsi="arial" w:cs="arial"/>
          <w:b/>
          <w:color w:val="000000"/>
          <w:sz w:val="20"/>
          <w:lang w:val="en-US" w:eastAsia="en-US" w:bidi="ar-SA"/>
        </w:rPr>
        <w:t>no oil is to be transferred until this form is completed in its entirety.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possible, a representative of the Harbour Master's Office will attend all transfer operations on deep sea vessels, at which time the Harbour Master's copy of the form may be handed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will be the responsibility of the oil supplier to inform the Harbour Master's office in advance that the transfer operation is to take place, and to forward a copy of the completed form within 48 hours of the completion of the operation if no representative of the Harbour Master is able to attend.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representative of the Harbour Master attends a transfer operation whilst it is underway and finds that a copy of the form has not been completed nor its requirements adhered to, he will order the operation to be stopped until all requirements of the form have been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comply with these requirements may result in prosecution or the imposition of a penalty.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contains four sections. The first section, "Instructions for Completion" states that "No oil is to be transferred until this form is completed in its entirety." The second section consists of a series of safety-related questions that the designated crew member of both the receiving and supplying vessel must be able to answer in the affirmative by ticking the appropriate spaces on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third section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contains spaces to complete the following essential information: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of product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Quantity of product to be loaded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loading tanks (in the order of loading)</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Capacity of the loading tanks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pumping rate for each of the tanks loaded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pressure (at the riser of the receiving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fourth section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contains a declaration, signed by the designated crew member of both the receiving and supplying vessel, that the document has been properly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noted above, the procedures manual of West Coast Fuel stated that tankermen must be familiar with the provisions of the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xml:space="preserve"> made pursuant to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Section 42(b) of the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xml:space="preserve"> deals with bunkering procedures, and requires, among other things, that the receiving and supplying vessel agree on the rates of flow for the product being transferred. Subsection (b) of s. 42 (now repealed) stated as follows: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supervisor of a transfer operation for a ship shall ensure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procedures are established with the concurrence of the supervisor of the transfer operation at the loading facility, unloading facility or other ship, as the case may be, with respect to</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rates of flow and pressures for the transferred liquid,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of rates of flow and pressures where required to avoid any overflow of the tanks,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required to stop the transfer operation under normal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 signals for the transfer operation.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Results of the investigation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Irani explained in his evidence at trial that because the oil had spilled from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and not from the barge, the focus of his investigation was the discharge of oil from the ship. In order to recommend the laying of charges under the relevant legislation, he was required to establish only the discharge of a pollutant from the ship for reasons that did not fall within any of the exceptions under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Mr. Irani concluded that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was negligent in failing to ensure that the valves for the No. 2 starboard tank were closed, and in failing to check the soundings of the other fuel tanks to ensure they were not receiving oil in the initial stages of the bunkering operation. Mr. Irani noted that both procedures are standard practices to be followed during an oil transfer and required under the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xml:space="preserve"> (ss. 42(d) and (i)). He recommended that charges be laid under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Migratory Birds Convention Act</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S.C. 1994, c. 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Charges were laid against the plaintiff under those Acts. Ultimately, in a plea bargain with the Crown, the plaintiff paid a fine of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Irani's jurisdiction to investigate the spill was based on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xml:space="preserve"> rather than the </w:t>
      </w:r>
      <w:r>
        <w:rPr>
          <w:rFonts w:ascii="arial" w:eastAsia="arial" w:hAnsi="arial" w:cs="arial"/>
          <w:i/>
          <w:color w:val="000000"/>
          <w:sz w:val="20"/>
          <w:lang w:val="en-US" w:eastAsia="en-US" w:bidi="ar-SA"/>
        </w:rPr>
        <w:t>Canada Marine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It appears that he did not turn his mind to the responsibilities of the barge under the </w:t>
      </w:r>
      <w:r>
        <w:rPr>
          <w:rFonts w:ascii="arial" w:eastAsia="arial" w:hAnsi="arial" w:cs="arial"/>
          <w:i/>
          <w:color w:val="000000"/>
          <w:sz w:val="20"/>
          <w:lang w:val="en-US" w:eastAsia="en-US" w:bidi="ar-SA"/>
        </w:rPr>
        <w:t>Oil Transfer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Mr. Irani concluded that the </w:t>
      </w:r>
      <w:r>
        <w:rPr>
          <w:rFonts w:ascii="arial" w:eastAsia="arial" w:hAnsi="arial" w:cs="arial"/>
          <w:i/>
          <w:color w:val="000000"/>
          <w:sz w:val="20"/>
          <w:lang w:val="en-US" w:eastAsia="en-US" w:bidi="ar-SA"/>
        </w:rPr>
        <w:t>P.T. 25</w:t>
      </w:r>
      <w:r>
        <w:rPr>
          <w:rFonts w:ascii="arial" w:eastAsia="arial" w:hAnsi="arial" w:cs="arial"/>
          <w:color w:val="000000"/>
          <w:sz w:val="20"/>
          <w:lang w:val="en-US" w:eastAsia="en-US" w:bidi="ar-SA"/>
        </w:rPr>
        <w:t xml:space="preserve"> had not contravened any statute or regulations. He based his conclusion on his understanding that although there was initially an agreed pumping rate in writing, changes in the rate were made "verbally and or by hand signals between the Chief Engineer and the bunker barge operator" (letter from Mr. Irani to Regional Crown Counsel, dated January 25, 2007). Mr. Irani did not indicate in his evidence at trial how he came to that understanding, or how he reconciled it with the information he was initially given by Mr. Randell in his interview on July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Nor, it appears, did Mr. Irani appreciate that the barge could not have pumped 473.9 metric tonnes of oil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between 8:50 a.m. and 11:05 a.m. in either of the scenarios described by Mr. Randell.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addition to the fine, the plaintiff paid an amount slightly in excess of $1 million for remediation and compensation costs. It did so in accordance with the strict liability imposed by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S.C. 2001, c. 6, s. 51</w:t>
        </w:r>
      </w:hyperlink>
      <w:r>
        <w:rPr>
          <w:rFonts w:ascii="arial" w:eastAsia="arial" w:hAnsi="arial" w:cs="arial"/>
          <w:color w:val="000000"/>
          <w:sz w:val="20"/>
          <w:lang w:val="en-US" w:eastAsia="en-US" w:bidi="ar-SA"/>
        </w:rPr>
        <w:t>(3) (now repealed). However, the plaintiff was entitled, pursuant to s-ss. (4) and (5) of s. 51, to bring a recourse action against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brought this recourse action against the defendants seeking apportionment of damages for the oil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Several experts testified at trial with respect to industry standards in bunkering operations and the standard of care expected of the crews working on the supplying and receiving vessels. The plaintiff and defendants tendered expert evidence from marine engineers who have worked as chief engineers on deep sea vessels similar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and who are familiar with the international standards governing ship-to-ship bunkering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called opinion evidence from a bargeman who has extensive experience in bunkering operations in Washington State and who is familiar with the protocols and regulations governing bargemen in Puget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marine engineers were qualified to express opinions concerning the conduct expected of reasonably competent crew members of a bulk carrier such as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in a bunkering operation, and the reasonable expectations of the crew as to the conduct of the bargeman in that operation. The bargeman was qualified to express opinions concerning the conduct expected of a reasonably competent bargeman in bunkering operations in Washington State and, where those standards would apply universally, to bunkering in the Port Metro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Opinion evidence of the expert Marine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Ken Shortall filed reports on behalf of the plaintiff, and gave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Sam Behramfram filed reports on behalf of the defendants. He also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Both experts agreed that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ought to have checked the hydraulic and manual valves of the No. 2 and 3 tanks to ensure they were in the closed position. Further, they agreed that the crew ought to have monitored the level of all of the ship's tanks during the bunkering operation in order to confirm that the oil was being transferred only to the intended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Shortall testified that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signed off by the Chief Engineer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and Mr. Randell on July 4, 2006 would indicate several facts of significance to a reasonably competent bargeman. First, it would indicate that the ship intended to fill its tanks in the sequence or order shown on the document. In the present case, the plan disclosed by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was that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would fill the No. 1 tanks first, the No. 3 tanks next, and the No. 2 starboard tank last. Second,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would confirm that the available capacity of the ship's tanks was sufficient to hold the amount of oil being pumped. Finally,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would indicate the loading rate for each phase of the bunkering operation. In this case, the No. 1 tanks were to be loaded at a rate of 150 metric tonnes per hour, and the remaining tanks at 250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Behramfram agreed with Mr. Shortall concerning the significance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to the bargeman.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Shortall's evidence was that the bargeman would (or, at least, should) be aware that the pumping rate at each phase of the bunkering operation was of great importance to the ship's crew, and that any change in the rate which deviated from the plan disclosed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must be the subject of express agreement. Mr. Behramfram agreed with Mr. Shortall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Behramfram also agreed with Mr. Shortall that the barge, and not the receiving ship, has physical control over the pumping rate and the equipment to closely monitor, and quickly and accurately determine, the flow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On the issue of the importance of the flow rate to the bunkering process, Mr. Shortall referred to the </w:t>
      </w:r>
      <w:r>
        <w:rPr>
          <w:rFonts w:ascii="arial" w:eastAsia="arial" w:hAnsi="arial" w:cs="arial"/>
          <w:i/>
          <w:color w:val="000000"/>
          <w:sz w:val="20"/>
          <w:lang w:val="en-US" w:eastAsia="en-US" w:bidi="ar-SA"/>
        </w:rPr>
        <w:t>International Safety Guide for Oil Tankers and Terminals</w:t>
      </w:r>
      <w:r>
        <w:rPr>
          <w:rFonts w:ascii="arial" w:eastAsia="arial" w:hAnsi="arial" w:cs="arial"/>
          <w:color w:val="000000"/>
          <w:sz w:val="20"/>
          <w:lang w:val="en-US" w:eastAsia="en-US" w:bidi="ar-SA"/>
        </w:rPr>
        <w:t xml:space="preserve"> ("ISGOTT"), which is used in major ports such as Rotterdam and Shanghai. The </w:t>
      </w:r>
      <w:r>
        <w:rPr>
          <w:rFonts w:ascii="arial" w:eastAsia="arial" w:hAnsi="arial" w:cs="arial"/>
          <w:i/>
          <w:color w:val="000000"/>
          <w:sz w:val="20"/>
          <w:lang w:val="en-US" w:eastAsia="en-US" w:bidi="ar-SA"/>
        </w:rPr>
        <w:t>Bunkering Safety Checklist</w:t>
      </w:r>
      <w:r>
        <w:rPr>
          <w:rFonts w:ascii="arial" w:eastAsia="arial" w:hAnsi="arial" w:cs="arial"/>
          <w:color w:val="000000"/>
          <w:sz w:val="20"/>
          <w:lang w:val="en-US" w:eastAsia="en-US" w:bidi="ar-SA"/>
        </w:rPr>
        <w:t xml:space="preserve"> contained in ISGOTT is similar in many respects to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Section 25.4 of ISGOTT describes the guidelines for the use of its </w:t>
      </w:r>
      <w:r>
        <w:rPr>
          <w:rFonts w:ascii="arial" w:eastAsia="arial" w:hAnsi="arial" w:cs="arial"/>
          <w:i/>
          <w:color w:val="000000"/>
          <w:sz w:val="20"/>
          <w:lang w:val="en-US" w:eastAsia="en-US" w:bidi="ar-SA"/>
        </w:rPr>
        <w:t>Bunkering Safety Checklist</w:t>
      </w:r>
      <w:r>
        <w:rPr>
          <w:rFonts w:ascii="arial" w:eastAsia="arial" w:hAnsi="arial" w:cs="arial"/>
          <w:color w:val="000000"/>
          <w:sz w:val="20"/>
          <w:lang w:val="en-US" w:eastAsia="en-US" w:bidi="ar-SA"/>
        </w:rPr>
        <w:t>. Section 25.4.1, entitled "General",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Responsibility and accountability for the safe conduct of operations while a ship is receiving bunkers by barge is shared jointly between the Masters of the tanker and of the barge. .... Before the bunkering operation commences, the Responsible Officers should: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in writing the handling procedures, including the maximum transfer rates.</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in writing the action to be taken in the event of an emergency during transfer operations.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and sign the Bunkering Safety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Section 25.4.2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Bunkering Safety Check-List contains the following sections: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Bunkers to be Transferred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joint agreement on the quantity and grades of bunkers to be transferred, together with agreed transfer rates and the maximum line back pressures.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Bunker Tanks to be Loaded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identification of the tanks to be loaded with the aim of ensuring that there is sufficient space to safely accommodate the bunkers to be transferred. Space is provided to record each tank's maximum filling capacity and the available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Shortall testified that the more modern method of bunkering would be to follow the protocols described in the ISGOTT guidelines. It was his opinion that a reasonably competent bargeman would be aware that he must check the flow rates at regular intervals and maintain the rates as agreed. After all, he said, it is mandatory that the rates are a matter of agreement, and for good reason: the safety of the bunkering operation depends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Behramfram agreed that the flow rates are a critical part of the operation and that the bargeman controls the flow rate. He said that the flow meter on the barge records the exact volume of the oil going past it, and the bargeman has the means to determine the exact volume being discharged to the ship at any given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It was Mr. Shortall's opinion that the capacity of the tanks was an important piece of information for both crews. The inclusion of tank capacities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is designed to give the crews of each vessel the opportunity to perform a check on the other crew during bunkering so as to prevent a spill. The available capacity in each tank would allow the bargeman to anticipate the timing of the changeover from one tank to the next to the next, and to slow the pumping to accommodate the topping up of one tank and the changeover to the next. Knowledge of the tanks' capacities assists the bargeman to ensure that no tank overflows. Further, the receiving and supplying vessels agree to the rate of flow in order to allow the crew of the receiving vessel to ensure that the oil is flowing to the designated tank(s) as planned and that there is no leakage into any other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Behramfram agreed with Mr. Shortall's evidence concerning the significance of tank capacity to both 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Shortall testified that had Mr. Randell checked the flow meter, he would have known when the No. 1 tanks were approaching capacity and due to be changed over. Far more oil than could be contained by the No. 1 tanks had been transferred to the ship before 11:00 a.m., which should have alerted Mr. Randell to the possibility of an overflow in those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Both experts agreed that no reasonably competent bargeman would increase the agreed transfer rate unless specifically requested to do so by the Chief Engineer. Both experts agreed that there were two maximum rates indicated by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for the bunkering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a maximum rate of 150 metric tonnes per hour for the No. 1 tanks, and a maximum rate of 250 metric tonnes per hour for the remaining tanks to be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Behramfram attempted to reconstruct the events of July 4, 2006 leading to the spill based on his understanding of the facts. He acknowledged in cross-examination that he first attempted to reconcile the known fact that 473.9 metric tonnes were pumped to the ship from the barge between 8:50 and 11:05 a.m. with the facts as stated by Mr. Randell in his typed statement. In other words, Mr. Behramfram assumed that Mr. Randell pumped at a rate of 40 metric tonnes per hour from 8:50 to 8:55 a.m., at 60 metric tonnes per hour from 8:55 to 9:00 a.m., at 150 metric tonnes per hour from 9:00 to 9:50 a.m., and 225 metric tonnes per hour from 9:50 to 11:05 a.m. However, he could not reconcile the pumping rates with the amount of oil actually pumped in the known timeframe. At those rates and times, Mr. Randell would have pumped approximately 415 metric tonnes of oil to the ship, not 473.9 metric tonnes.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Behramfram then constructed several scenarios based on a number of assumptions. First, and most importantly, he assumed that Mr. Randell significantly increased the pumping rate at 9:50 a.m. in response to a request from the Chief Engineer. Secondly, he assumed that 18 of the 20 soundings taken of the No. 1 tanks during the bunkering operation occurred at specific times, although only three of the actual times were recorded by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Thirdly, he assumed certain rates before and after 9:50 a.m. Two of the scenarios yielded erratic pumping rates throughout the operation and, accordingly, Mr. Behramfram rejected them as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Behramfram constructed two final scenarios and chose the second of the two as the more plausible. In that scenario, the pumping rate was assumed to be 46 metric tonnes per hour from 8:50 to 9:05 a.m., 160 metric tonnes per hour from 9:05 to 9:50 a.m., and 263 metric tonnes per hour thereafter until the spill was detected at 11:05. Based on those assumptions, the known amount of oil - 473.9 metric tonnes - could have been pumped to the ship within the known timeframe. Mr. Behramfram emphasized that the rate of 263 metric tonnes per hour after 9:50 a.m. was derived solely from the assumption of the rate of 160 metric tonnes per hour from 9:05 to 9:50 a.m. He also emphasized that essential to this scenario, as with the others, was the assumption that the pumping rate was increased significantly at 9:50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Behramfram did not construct any scenarios based on a timeline other than that which included a significant increase in rate at 9:50 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Opinion evidence of the expert Bargeman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Keith Barnes, whose evidence was tendered by the defendants, has extensive experience as a bargeman in Puget Sound and Alaska, and, more recently, as manager for a Seattle, Washington marine services company overseeing their bunkering operations. He served as chair of a committee in Washington State formed to develop safe bunkering rules and policies for deep sea vessels in Washington State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Mr. Barnes was not familiar with any of the protocol, practices or regulations governing the Port of Vancouver. He had reviewed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but did not review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governing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 the barges owned and operated by the company employing Mr. Barnes are not fitted with flow meters. That fact appears to have influenced his opinion as to the responsibilities of the bargeman in this case. The bargemen employed by his company are in no better position than the ship's crew to quickly and accurately gauge the flow rate of the oil being pumped to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gist of Mr. Barnes' evidence was that bunkering of a deep sea vessel such as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consists of two separate operations, a receiving operation and a delivering operation. According to Mr. Barnes, the receiving vessel is ultimately responsible for the entire operation. He said the bargeman has no means of ascertaining the bunkering plan of the ship and has no responsibility other than to pump the fuel to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do not accept Mr. Barnes' evidence on that point. I make no comment on whether his evidence may apply to bunkering operations in Puget Sound, but I am satisfied that it does not apply to the Port Metro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Barnes agreed that where the ship's crew has set a specified flow rate, the bargeman must load the oil at that rate. He was asked in cross-examination to assume that the barge in the present case had a flow meter, and that the bargeman did not receive an instruction to increase the flow rate from the agreed rate. Mr. Barnes agreed that the bargeman would be charged with the responsibility of maintaining the agreed rate as closely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Did the defendants fail to meet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What is the standard of care required of a barge crew in bunkering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is the touchstone for bunkering operations in the Port Metro Vancouver, and it is of central importance in this case. The receiving and supplying vessels are required to complete and sign the document before bunkering can occur in the Port Metro Vancouver. I accept the opinion evidence of the marine engineers as to the significance a reasonably competent bargeman would take from the checklist. The flow rate is one of the critical components of the bunkering operation and requires specific agreement between the parties to the bunkering operation. I conclude that a reasonably competent bargeman would not deviate from the agreed flow rate without clear and explicit instructions from the receiving vessel to go to a different, and specified, transfer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central importance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is underscored by its mandatory nature. No bunkering operation is permitted to proceed in the Port Metro Vancouver without a completed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 parties must agree that certain safety precautions have been undertaken. They must also agree on certain critical aspects of the oil transfer. Among those critical aspects are the order of the tanks to be filled, the capacity of the tanks to be filled, and the rate at which the tanks are to be filled. Any departure from the agreed plan must be the subject of express agreement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All of the experts offered their views as to whether bunkering is a joint operation with shared responsibilities. However, I required no assistance from experts on that issue. The facts speak for themselves. Bunkering is a joint operation involving the transfer of fuel oil between two vessels which are connected by a fuel hose. There are individual responsibilities, but it is a matter of common sense and legislative imperative that the crew of one vessel relies on the crew of the other to properly perform their respective and joint responsibilities in order to ensure that the transfer of oil from one vessel to the other is performed properly and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and the accompanying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reflect the joint nature of the bunkering operation and underscore the necessity for clear and unwavering agreement on the key aspects of the fuel oil transfer in order to avoid a pollution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ISGOTT guidelines, while not mandatory in Canadian waters, are substantially similar to many of the protocols that are mandatory. I accept Mr. Shortall's evidence that ISGOTT reflects the standards now required in bunkering operations. ISGOTT clearly states that the safe conduct of bunkering operations is a shared responsibility between the crews of the two vessels. The transfer rate, tank capacity and sequence of loading are all matters that must be taken into account by both crews and not just the crew of the vessel receiving the bunkers.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conduct of the crew of a bunkering barge is set, in part, by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Harbour Operations Manual.</w:t>
      </w:r>
      <w:r>
        <w:rPr>
          <w:rFonts w:ascii="arial" w:eastAsia="arial" w:hAnsi="arial" w:cs="arial"/>
          <w:color w:val="000000"/>
          <w:sz w:val="20"/>
          <w:lang w:val="en-US" w:eastAsia="en-US" w:bidi="ar-SA"/>
        </w:rPr>
        <w:t xml:space="preserve"> As noted earlier, they are part of the practices and procedures of the Port made pursuant to s. 56 of the </w:t>
      </w:r>
      <w:r>
        <w:rPr>
          <w:rFonts w:ascii="arial" w:eastAsia="arial" w:hAnsi="arial" w:cs="arial"/>
          <w:i/>
          <w:color w:val="000000"/>
          <w:sz w:val="20"/>
          <w:lang w:val="en-US" w:eastAsia="en-US" w:bidi="ar-SA"/>
        </w:rPr>
        <w:t>Canada Marine Act</w:t>
      </w:r>
      <w:r>
        <w:rPr>
          <w:rFonts w:ascii="arial" w:eastAsia="arial" w:hAnsi="arial" w:cs="arial"/>
          <w:color w:val="000000"/>
          <w:sz w:val="20"/>
          <w:lang w:val="en-US" w:eastAsia="en-US" w:bidi="ar-SA"/>
        </w:rPr>
        <w:t xml:space="preserve">. These provisions must be read together with the </w:t>
      </w:r>
      <w:r>
        <w:rPr>
          <w:rFonts w:ascii="arial" w:eastAsia="arial" w:hAnsi="arial" w:cs="arial"/>
          <w:i/>
          <w:color w:val="000000"/>
          <w:sz w:val="20"/>
          <w:lang w:val="en-US" w:eastAsia="en-US" w:bidi="ar-SA"/>
        </w:rPr>
        <w:t>Oil Pollution Prevention Regulations</w:t>
      </w:r>
      <w:r>
        <w:rPr>
          <w:rFonts w:ascii="arial" w:eastAsia="arial" w:hAnsi="arial" w:cs="arial"/>
          <w:color w:val="000000"/>
          <w:sz w:val="20"/>
          <w:lang w:val="en-US" w:eastAsia="en-US" w:bidi="ar-SA"/>
        </w:rPr>
        <w:t>, which also deal with bunkering practices. Section 42(b) requires that the parties agree to a transfer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Oil Transfer Guidelines</w:t>
      </w:r>
      <w:r>
        <w:rPr>
          <w:rFonts w:ascii="arial" w:eastAsia="arial" w:hAnsi="arial" w:cs="arial"/>
          <w:color w:val="000000"/>
          <w:sz w:val="20"/>
          <w:lang w:val="en-US" w:eastAsia="en-US" w:bidi="ar-SA"/>
        </w:rPr>
        <w:t xml:space="preserve"> explicitly require cooperation between the barge and the receiving vessel. Further, it is implicit in the critical information exchanged between the parties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(that is, type of product, tank capacities, flow rate and pressure) that both the supplying and receiving vessel use the information properly to avoid the kind of pollution incident that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procedures manual reflects the same standards, and is evidence of the standard of care required by the bargeman during a bunkering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marine engineers who offered expert opinions to the court were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these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Did the barge crew meet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was common ground among the parties' experts that no reasonably competent bargeman would deviate from the agreed transfer rate unless told to do so by the receiving vessel. The first issue is whether Mr. Randell received hand signals from the Chief Engineer to increase the rate beyond the agreed rate of 150 metric tonnes per hour soon after bunkering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his evidence on discovery and at trial, Mr. Randell suggested that he had received a hand signal from the Chief Engineer to raise the pumping rate at 9:50 a.m. (or, in Mr. Randell's words, to "go faster"), and that he responded by raising the rate from 150 to approximately 225 metric tonnes per hour. There was no agreement on the specific rate of 225 metric tonnes per hour, said Mr. Randell, but he was entitled to pump at any rate so long as he did not exceed 250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will deal first with the question of whether Mr. Randell received a direction from the Chief Engineer at 9:50 a.m., or at any time, to raise the rate beyond 150 metric tonnes per hour for the loading of the No.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Despite the absence of evidence from the Chief Engineer, I am satisfied that Mr. Randell did not receive signals to increase the pumping rate. His evidence is implausible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First, Mr. Randell's account simply does not work mathematically.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Second, Mr. Randell accepted on discovery (when confronted with the math) that he could have begun pumping at a rate beyond 150 metric tonnes per hour much earlier than 9:50 a.m., when he asserts he was told by the Chief Engineer to increase the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Randell was not concerned about the rate at which he was pumping the oil to the ship, and did not monitor the rate despite his access to the flow meter. He said on discovery that he "could have been at 150, or could have been at 185". He said that the rate really did not matter so long as he did not exceed 250 metric tonnes per hour. It appears Mr. Randell did not take periodic readings from his flow meter despite the ease with which he could have determined the precise rate of flow at any given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Third, Mr. Randell testified at trial that he had intended to tell Mr. Irani the truth in his interview on July 12, 2006, but that he did not tell the truth when he said that he had maintained the rate of 150 metric tonnes per hour throughout the bunkering. He had no explanation for his statement to Mr. Irani. The question arising is this: If the Chief Engineer told Mr. Randell to increase the rate beyond 150, why did Mr. Randell not advise Mr. Irani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my view, the reason Mr. Randell repeatedly insisted to Mr. Irani that he did not exceed a rate of 150 metric tonnes per hour throughout the bunkering is inescapable: Mr. Randell understood the significance of the agreed rate of 150 for the bunkering of the No. 1 tanks stipulated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and understood equally the significance of his cavalier departure from that rate without any instruction from the Chief Engineer to do so. He appreciated (although perhaps not until after the fact), that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was monitoring the No. 1 tanks based on an agreed rate of 150 metric tonnes per hour and not some rate significantly in excess of that. He also appreciated that having exceeded the pumping rate by a significant margin, he likely bore some responsibility for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also my view that Mr. Randell, for the same reason, resiled from his statement to Mr. Irani about his understanding that the No. 1 tanks were still being loaded at 11:05 a.m. when the spill occurred. By later asserting that he did not know which tanks were being filled, he could provide yet further justification for his departure from the rate of 150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accept that Mr. Randell prepared his typewritten statement on July 4, 2006, shortly after the spill. Common sense and human experience would suggest that had the statement been prepared at that time, Mr. Randell would have taken it with him to the interview with Mr. Irani. It apparently contained Mr. Randell's account of the events when they were fresh in his mind. Yet he told Mr. Irani a very different story. In my view, he did so because he knew he should not have increased the pumping rate above the agreed rate of 150 metric tonnes per hour while the No. 1 tanks were being loaded. He failed to realize at the time that he could not have pumped 473 metric tonnes to the ship at a rate of 150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Moreover, Mr. Randell told Mr. Irani that he was in the process of preparing a statement, and that he would provide it when it was completed. When Mr. Irani followed up with a request for the statement, Mr. Randell said he had given it to his employer. I do not doubt that at some point after his interview on July 12, Mr. Randell did complete his revised version of events and provided it to the defendant West Coast Fuel. Despite the obvious questions raised by the timing of the preparation of the statement, and the stark inconsistencies between it and the statement Mr. Randell gave to Transport Canada, no one from the management ranks at West Coast Fuel testified at trial as to when Mr. Randell provided his statement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reject, for other reasons, Mr. Randell's assertion that the Chief Engineer requested an increase in the pumping rate beyond 150 metric tonnes per hour. It is not apparent why the Chief Engineer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would have requested an increase in the pumping rate above 150 metric tonnes per hour while the vessel was still filling the No. 1 tanks. The Chief Engineer had just determined the appropriate rate for the No. 1 tanks. The physical parameters remained the same. The No. 1 tanks were located forward in the vessel, a considerably greater distance from the barge, and they were the first tanks to be filled. Why would the Chief Engineer, with these fixed parameters, change the written plan within moments of the bunkering having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Secondly, why would the Chief Engineer change the written plan without advising his own engineers, who were monitoring the filling of the No. 1 tanks with frequent soundings? Mr. Wang testified that he was not told by the Chief Engineer of an increased pumping rate. Mr. Wang said he was certain that he would have been told of any increase in rate, given his responsibility for the sounding of the tanks. I am satisfied that Mr. Wang was truthful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argued that any early signals given by the Chief Engineer could have been interpreted by Mr. Randell as signals to raise the pumping rate. However, Mr. Randell testified that during the start-up period - for 10 to 15 minutes, or even longer - even he could not establish a reliable rate despite the assistance of his flow meter. He must have known that the ship could not possibly establish a rate that early in the bunkering. Further, the first soundings of the No. 1 tanks taken at 9:00 a.m. showed a zero level in the No. 1 port tank due to the trim of the vessel. The only reasonable interpretation of any early hand signals from the Chief Engineer was that he was satisfied with the progress of the transfer so far and wished to have the rate brought to the agreed rate of 150 metric tonnes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there were two rates at which Mr. Randell was permitted to pump - 150 metric tonnes per hour for the No. 1 tanks and 250 metric tonnes per hour for the remaining tanks. Any variation in either of those rates required agreement of the two vessels, and specific agreement as to the new flow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 am satisfied that Mr. Randell raised the pumping rate above the stipulated rate of 150 metric tonnes per hour shortly after the initial start up phase of the bunkering operation. He did so either in careless disregard for the agreed flow rate or on the basis of a fundamental misunderstanding of the importance of the agreed rates stipulated in the </w:t>
      </w:r>
      <w:r>
        <w:rPr>
          <w:rFonts w:ascii="arial" w:eastAsia="arial" w:hAnsi="arial" w:cs="arial"/>
          <w:i/>
          <w:color w:val="000000"/>
          <w:sz w:val="20"/>
          <w:lang w:val="en-US" w:eastAsia="en-US" w:bidi="ar-SA"/>
        </w:rPr>
        <w:t>Oil Transfer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order to pump 473.9 metric tonnes of oil in the timeline established on the facts, Mr. Randell would have had to transfer an average of 227 metric tonnes per hour between 9:05 and 11:05 a.m. (assuming a rate of 56.5 metric tonnes per hour in the first ten minutes of the operation (8:50 to 9:00 a.m.), and a rate of 125 in the next 5 minutes (9:00 to 9:05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impossible to know precisely when Mr. Randell raised the pumping rate or to what level. His evidence was unreliable in all respects. For that reason, the calculations of Mr. Behramfram, based as they are on unproved assumptions and unreliable evidence, are of no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conclude that Mr. Randell pumped at a rate far in excess of the flow rate agreed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in the absence of any direction to do so. I conclude further that he neglected to monitor the quantity of oil he was pumping to the No. 1 tanks. Mr. Randell's conduct fell significantly below the standard of care required of a reasonably competent bargeman.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Was the defendants' breach of the standard of care a cause of the spill?</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law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the Supreme Court of Canada confirmed at para. 21 that the basic test for determining causation remains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At para. 23 of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w:t>
      </w:r>
      <w:hyperlink r:id="rId25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Chambers</w:t>
      </w:r>
      <w:r>
        <w:rPr>
          <w:rFonts w:ascii="arial" w:eastAsia="arial" w:hAnsi="arial" w:cs="arial"/>
          <w:color w:val="000000"/>
          <w:sz w:val="20"/>
          <w:lang w:val="en-US" w:eastAsia="en-US" w:bidi="ar-SA"/>
        </w:rPr>
        <w:t xml:space="preserve">], our Court of Appeal discussed the concept of "contributing cause" or "material contribution" as that term is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Smith J.A., at para 18, cited the following comment of Major J.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16-18: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this Court recently confirmed that the plaintiff must prove that the defendant's tortious conduct caused or contributed to the plaintiff's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proposition has long been established in the jurisprudence. Lord Reid stated in </w:t>
      </w:r>
      <w:r>
        <w:rPr>
          <w:rFonts w:ascii="arial" w:eastAsia="arial" w:hAnsi="arial" w:cs="arial"/>
          <w:i/>
          <w:color w:val="000000"/>
          <w:sz w:val="20"/>
          <w:lang w:val="en-US" w:eastAsia="en-US" w:bidi="ar-SA"/>
        </w:rPr>
        <w:t>McGhee v. National Coal Board, [1972] 3 All E.R. 1008, supra</w:t>
      </w:r>
      <w:r>
        <w:rPr>
          <w:rFonts w:ascii="arial" w:eastAsia="arial" w:hAnsi="arial" w:cs="arial"/>
          <w:color w:val="000000"/>
          <w:sz w:val="20"/>
          <w:lang w:val="en-US" w:eastAsia="en-US" w:bidi="ar-SA"/>
        </w:rPr>
        <w:t>,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Smith J.A. went on to say in </w:t>
      </w:r>
      <w:r>
        <w:rPr>
          <w:rFonts w:ascii="arial" w:eastAsia="arial" w:hAnsi="arial" w:cs="arial"/>
          <w:i/>
          <w:color w:val="000000"/>
          <w:sz w:val="20"/>
          <w:lang w:val="en-US" w:eastAsia="en-US" w:bidi="ar-SA"/>
        </w:rPr>
        <w:t>Chambers</w:t>
      </w:r>
      <w:r>
        <w:rPr>
          <w:rFonts w:ascii="arial" w:eastAsia="arial" w:hAnsi="arial" w:cs="arial"/>
          <w:color w:val="000000"/>
          <w:sz w:val="20"/>
          <w:lang w:val="en-US" w:eastAsia="en-US" w:bidi="ar-SA"/>
        </w:rPr>
        <w:t xml:space="preserve"> at para. 19 that every injury has multiple necessary or "but for" factual causes, and "The function of tort law is to identify those for which the defendant should be held responsible." The Court also noted that a material contribution is one that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Court clarified at para. 22 that the "material contribution" test can have a more general application than that discussed by the Court in the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it was not impossible for the plaintiffs to prove causation. Rather, whether the breaches of duty of the parties played legally significant causal roles in the outcome was in each case a question of fact to be answered by rational inference drawn in the usual way from the evidence. Causation is essentially "a practical question of fact which can best be answered by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328, citing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490 (per Lord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Chambers</w:t>
      </w:r>
      <w:r>
        <w:rPr>
          <w:rFonts w:ascii="arial" w:eastAsia="arial" w:hAnsi="arial" w:cs="arial"/>
          <w:color w:val="000000"/>
          <w:sz w:val="20"/>
          <w:lang w:val="en-US" w:eastAsia="en-US" w:bidi="ar-SA"/>
        </w:rPr>
        <w:t xml:space="preserve"> upheld the decision of the trial judge, who held that the defendant's breach of duty was a "contributing cause" of the accident. Smith J.A. observed that the use by the trial judge of the phrase "contributing cause" indicated that she found as fact that the defendant's conduct played an important enough role in the combination of events necessary for the accident to fix him with liability for the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concluded that the conduct of the bargeman in the bunkering operation played a significant role in the combination of events that led to the fuel oil spill. Causation in this case has been established on two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First, had Mr. Randell not breached the standard of care expected of a reasonably competent bargeman, he would have observed that he had pumped in the order of 473 metric tonnes of oil to the No. 1 tanks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when, according to the written bunkering plan reflected in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the capacity of those tanks was much less than that. The oil pumped to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far exceeded the capacity of the No. 1 tanks, and Mr. Randell had ample time to realize there was a problem and act on it. But for his conduct, the oil spill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Second, by pumping oil at an unacceptably high rate, Mr. Randell deprived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of a critical piece of information which is used to determine whether the bunkering operation is proceeding according to plan. Had Mr. Randell been pumping at the agreed rate, it would have become obvious to the crew that the No. 1 tanks were not filling according to plan. I accept the evidence of Mr. Wang that had the No. 1 tanks filled much more slowly than expected, he would have contacted the Chief Engineer to ask why the tanks were not filling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Further, had the bargeman been pumping at the agreed rate of 150 metric tonnes per hour, the anticipated changeover time from the No. 1 tanks to the No. 3 tanks would have been delayed by the significant margin of approximately one hour. That delay, too, would likely have alerted the crew to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For these reasons, I am satisfied that Mr. Randell's conduct was a cause of the spill.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What is the proper apportionment of fault?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Once a plaintiff and a defendant are both found to have been the legal cause of an accident, the court must then apportion fault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As this is a maritime action, the </w:t>
      </w:r>
      <w:r>
        <w:rPr>
          <w:rFonts w:ascii="arial" w:eastAsia="arial" w:hAnsi="arial" w:cs="arial"/>
          <w:i/>
          <w:color w:val="000000"/>
          <w:sz w:val="20"/>
          <w:lang w:val="en-US" w:eastAsia="en-US" w:bidi="ar-SA"/>
        </w:rPr>
        <w:t>Maritime Liability Act</w:t>
      </w:r>
      <w:r>
        <w:rPr>
          <w:rFonts w:ascii="arial" w:eastAsia="arial" w:hAnsi="arial" w:cs="arial"/>
          <w:color w:val="000000"/>
          <w:sz w:val="20"/>
          <w:lang w:val="en-US" w:eastAsia="en-US" w:bidi="ar-SA"/>
        </w:rPr>
        <w:t xml:space="preserve"> applies. The apportionment section of that Act has yet to be judicially considered, but its language is substantively the same as that of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Section 17.(1) of the </w:t>
      </w:r>
      <w:r>
        <w:rPr>
          <w:rFonts w:ascii="arial" w:eastAsia="arial" w:hAnsi="arial" w:cs="arial"/>
          <w:i/>
          <w:color w:val="000000"/>
          <w:sz w:val="20"/>
          <w:lang w:val="en-US" w:eastAsia="en-US" w:bidi="ar-SA"/>
        </w:rPr>
        <w:t>Maritime Liability Act</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loss is caused by the fault or neglect of two or more persons or ships, their liability is proportionate to the degree to which they are respectively at fault or negligent and, if it is not possible to determine different degrees of fault or neglect, their liability is equal.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 in part, the following:</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apportionment of liability is based on the respective blameworthiness of the parties and the extent or degree to which the conduct could be said to depart from the standard of care, rather than the extent to which the loss was caused by the conduct of each: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I conclude, given the similarity in the language between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that the test for apportionment of liability is the same under both statutes. Apportionment must be based on the degree to which each party is at fault, and not the degree to which the party's fault caused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Lambert J.A. said the following at para. 24 about assessing the relative blameworthiness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Finch J.A. (as he then was) made the following observations at para. 46 about the concept of relative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As the case law suggests, the main inquiry in assessing comparative blameworthiness involves the relative degree by which each of the parties departed from the standard of care to be expected in the circumstances. The inquiry is potentially informed by several factors, including the nature of the departure from the standard of care, its magnitude, and the gravity of the risk thereby created: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per Groves J.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the plaintiff's dockside grain terminal in the Port of Vancouver was destroyed by a fire caused by molten slag from the defendant's workmen performing welding on the dock.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the failure of the workmen to thoroughly wet their welding area on the dock and maintain constant fire watch during the welding.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its failure to have an adequate fire prevention system on the dock. The Court, in apportioning liability equally, said the following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do not see how the fault of one party can be said to be greater than the fault of the other party. Both were aware, or must be taken to have been aware, of the circumstances giving rise to the risk of fire, and to its rapid propagation. The defendant failed, for no good reason, to guard against fire by dousing the area with water and keeping a constant fire watch before, during and after the oxyacetylene torch cutting operation took place. The plaintiff failed, for no good reason, to install an adequate fire protection system which it could have done at a reasonable cost either in 1977, or at the time of renovations in 1994. While the fault of the two is different in kind, I do not see how one can justify a conclusion that their faults differ in degree. Applying the provisions of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liability in these circumstances must be apportioned equally.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Application of the law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Because the responsibility for the safety of bunkering operations is shared, the crews of both vessels owed an equal duty to ensure that the operation was conducted safely. As noted earlier, the legislation governing the Port Metro Vancouver and guidelines such as ISGOTT governing other international ports imposes on both the receiving and supplying vessel shared responsibility and accountability for the safe performance of bunkering operations. Matters such as transfer rates, tank capacities and the sequence of loading the tanks must be agreed in writing by the respective crews. Implicit in the requirement for agreement on these matters is the requirement of strict adherence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the Court of Appeal observed that the first question when apportioning liability is the degree of risk created by each party and the effect of an occurrence within the risk created. In the present case, I am satisfied that the gravity of the risk created by the failures of each of the crews was of the same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created a significant risk when it failed to ensure that the valves of the No. 2 starboard tank were closed. The risk was compounded by the crew's failure to sound the No. 2 and 3 tanks once bunkering had begun. It is not disputed that had the crew sounded the No. 2 tanks, it would have discovered that the starboard tank was open and receiving fuel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initial risk of an oil spill was created by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but the risk was then magnified by the failure of the barge crew to adhere to the agreed transfer rate and monitor the amount of oil being pumped into the No. 1 tanks. Had Mr. Randell adhered to the agreed pumping rate,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would have realised that not all of the oil being pumped from the barge was going to the No. 1 tanks. Had he monitored the amount of oil being pumped to those tanks, he would have realized that the amount far exceeded the tanks'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must then consider the extent or degree of the departure from the reasonable standards of care expected of each of the crews in the circumstances of a bunkering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crew of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failed to fulfill the most fundamental and central obligations imposed on a receiving ship before and during a bunkering operation. There could be nothing more basic than the obligation to ensure that all of the tank valves were properly positioned and to sound the tanks other than those receiving product to ensure they were not receiving oil inadvertently. Further, had the crew completed the company's own checklist appropriately and in a timely way, the engineers may have been reminded to recheck the valves and to take soundings of the other tanks after bunkering began. The conduct of the crew in those respects was careless, and constituted a marked departure from the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Equally, the crew of the barge failed to fulfill its most fundamental obligations. Mr. Randell paid no regard to several of the mandatory requirements set by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As reflected by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he and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's Chief Engineer agreed to distinct pumping rates for the No. 1 tanks and the remaining tanks. Mr. Randell did not confirm with the Chief Engineer that the </w:t>
      </w:r>
      <w:r>
        <w:rPr>
          <w:rFonts w:ascii="arial" w:eastAsia="arial" w:hAnsi="arial" w:cs="arial"/>
          <w:i/>
          <w:color w:val="000000"/>
          <w:sz w:val="20"/>
          <w:lang w:val="en-US" w:eastAsia="en-US" w:bidi="ar-SA"/>
        </w:rPr>
        <w:t>Andre</w:t>
      </w:r>
      <w:r>
        <w:rPr>
          <w:rFonts w:ascii="arial" w:eastAsia="arial" w:hAnsi="arial" w:cs="arial"/>
          <w:color w:val="000000"/>
          <w:sz w:val="20"/>
          <w:lang w:val="en-US" w:eastAsia="en-US" w:bidi="ar-SA"/>
        </w:rPr>
        <w:t xml:space="preserve"> wished to depart from the agreed rate, nor did he advise the Chief Engineer of the rate at which the oil was being pumped. Mr. Randell simply took it upon himself to increase the rate significantly beyond the agreed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am satisfied that, despite having the flow meter within feet of his pumping controls, Mr. Randell did not bother to take readings from the meter at appropriate intervals. Mr. Randell disregarded the capacity of the No. 1 tanks and the fact that those tanks could not possibly receive the amount of oil he pumped to the ship between 8:50 and 11:05 a.m. Finally, Mr. Randell either ignored, or did not understand, the significance of the sequence by which the tanks were to be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On the basis of the failures of the two crews, I have concluded that one party cannot be said to be at greater fault than the other. Both were aware of the risk of an oil spill. Both were, or should have been, aware of the significance of the </w:t>
      </w:r>
      <w:r>
        <w:rPr>
          <w:rFonts w:ascii="arial" w:eastAsia="arial" w:hAnsi="arial" w:cs="arial"/>
          <w:i/>
          <w:color w:val="000000"/>
          <w:sz w:val="20"/>
          <w:lang w:val="en-US" w:eastAsia="en-US" w:bidi="ar-SA"/>
        </w:rPr>
        <w:t>Oil Transfer Checklist</w:t>
      </w:r>
      <w:r>
        <w:rPr>
          <w:rFonts w:ascii="arial" w:eastAsia="arial" w:hAnsi="arial" w:cs="arial"/>
          <w:color w:val="000000"/>
          <w:sz w:val="20"/>
          <w:lang w:val="en-US" w:eastAsia="en-US" w:bidi="ar-SA"/>
        </w:rPr>
        <w:t xml:space="preserve"> and the protocols established by their employers. Both failed, for no reason, to fulfill their respective obligations. To borrow the words of the majority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while the faults of the parties are different in kind, they are not different in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Applying the provisions of s. 17.(1) of the </w:t>
      </w:r>
      <w:r>
        <w:rPr>
          <w:rFonts w:ascii="arial" w:eastAsia="arial" w:hAnsi="arial" w:cs="arial"/>
          <w:i/>
          <w:color w:val="000000"/>
          <w:sz w:val="20"/>
          <w:lang w:val="en-US" w:eastAsia="en-US" w:bidi="ar-SA"/>
        </w:rPr>
        <w:t>Maritime Liability Act</w:t>
      </w:r>
      <w:r>
        <w:rPr>
          <w:rFonts w:ascii="arial" w:eastAsia="arial" w:hAnsi="arial" w:cs="arial"/>
          <w:color w:val="000000"/>
          <w:sz w:val="20"/>
          <w:lang w:val="en-US" w:eastAsia="en-US" w:bidi="ar-SA"/>
        </w:rPr>
        <w:t>, I conclude that liability in these circumstances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My conclusions are as follows: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meet the reasonable standard of care required of a tanker barge crew in a vessel-to-vessel bunkering operation.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meet the standard of care was a cause of the oil spill.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defendants are equally at fault for the oil spill, and, accordingly, are equally liable for the damage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Subject to submissions by the parties, the plaintiff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Harris v. Johnston, [2001] B.C.J. No. 2721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18 - 22, 25 - 29 and September 17 - 21,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98 2163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C.L.R. (3d) 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466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Kim Harris and Larry Dorward, plaintiffs, and Brian Johnston and C.N. Ryzuk &amp; Associates Ltd., defendants, and C.N. Ryzuk &amp; Associates Ltd., Graeme &amp; Murray Consultants Ltd and Brian Johnston,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 xml:space="preserve">Contracts — Performance or breach — Breach — What constitutes a breach — Damage awards — Injury to land and buildings — Damage to residence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8"/>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an action by the plaintiffs, Harris and Dorward, against the defendants, Brian Johnston, C.N. Ryzuk &amp; Associates Ltd., and Graeme &amp; Murray Consultants Ltd.,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Graeme &amp; Murray, the structural engineers, had settled with the plaintiffs. The plaintiffs owned a steeply sloping, waterfront lot on an island. The entered into a contract with Brian as the project manager to co-ordinate all aspects of the building of their home on the lot. The contract specified that Brian would keep the plaintiffs informed by fax reports twice monthly. The plaintiffs received a geotechnical report from C.N. prior to their land purchase. Brian obtained a second report from C.N. after the purchase. This report surmised that there was bedrock at the proposed location for the home, which would support the home's foundations. Brian also contacted Graeme &amp; Murray for a review of the plans from a structural engineering perspective. Graeme &amp; Murray reviewed the foundations on the basis that they were going to bedrock. Construction began on May 23, 1996. The contractor could not locate bedrock in the area of the front footings. A plan was devised to work around the problem of the missing bedrock. Brian requested that C.N. give a revised geotechnical report. C.N. finally spoke to Brian on May 29th. C.N. reviewed drawings from Brian that indicated that the front footings were to take a vertical load, but it did not notice this new fact when it approved the revised plans. C.N. did not contact Graeme &amp; Murray, the structural engineer, to see if the latest solution was different from its proposal a few days earlier. On May 29th, Brian reported by fax to the plaintiffs that they had had difficulties ascertaining foundation stability, but that he was confident that everything necessary had been done to ensure stability. In November 1996, the house was completed to lock- up stage. The plaintiffs then discovered fissures below the front footings. They scheduled repairs to be done in January and dug a trench to prevent water from coming down the driveway. Before January, there were heavy rains and a large part of the slope below the southernmost foundation slid away. The plaintiffs spent about $105,580 in a remediation program to reinforce the footings, rebuild the slope, and provide foreshore protection. The plaintiffs introduced evidence that the remediation was cost-efficient.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7"/>
            <w:bookmarkEnd w:id="7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awarded judgment in the amount of $105,580 as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C.N. and Graeme &amp; Murray, who were equally at fault. Had C.N. been acting as a reasonable geotechnical engineering firm, it would have spoken to Graeme &amp; Murray, the structural engineers, before approving the revised plan for the foundation. C.N. knew that Brian, the project manager, was not an engineer. The action against Brian was dismissed. His obligation was to coordinate the work on the house and, in the case of the foundation, to take reasonable steps to involve both engineers in its approval. His obligation did not extend to ensuring that the engineers' advice was sound. Brian was not required to immediately notify and involve the plaintiffs regarding the problem with the foundation. He was only required to report to them every two weeks. The parties' contract with Brian contemplated that Brian needed flexibility to handle on-site problems. The burden was on the defendant engineers to show that the plaintiffs had not acted reasonably in mitigating their damages. The defendants had not met that burden.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9"/>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7"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1"/>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C. Adams, for the plaintiffs. John A. Coates, Q.C., for the defendant, Brian Johnston. Elizabeth H. Allard, for the defendant, C.N. Ryzuk &amp; Associates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1"/>
      <w:bookmarkEnd w:id="78"/>
      <w:r>
        <w:pict>
          <v:line id="_x0000_s1085"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SIGURDSON J."/>
            <w:bookmarkEnd w:id="79"/>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January 1997, following extremely heavy rains and melting snow, a slide partially undermined the front footings of the plaintiffs' new waterfront home on Mayne Island. The plaintiffs, Kim Harris and Larry Dorward, spent about $105,000 in a remediation program to reinforce the footings, rebuild the slope and provide foreshore protection. They claim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their project manager, Brian Johnston, and geotechnical engineer, C.N. Ryzuk and Associates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bought the steeply sloping lot in 1995. The geotechnical report indicated that the footings had to be placed on bedrock. Early on during construction, the project manager ran into difficulties because bedrock could not be located near the surface for the front footings. The project manager/designer consulted with the structural engineer, Graeme &amp; Murray Consultants Ltd, and developed a foundation plan. The project manager also consulted with the geotechnical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the revised plan, front footings were on sand and gravel. During the slide, soil under the front footings partially washed away requiring the front footings to be temporarily and immediately shored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say that if the project manager had advised them of the difficulties when the revised foundation plan was conceived, they might have built at a more stable location on the property. The revised foundation plan was admittedly faulty. It provided for vertical load on footings on soil that had the capacity to move, as it did. The plaintiffs say that the faulty design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miscommunication of the structural and geotechnical engineers and the project manager, and the failure of the project manager to properly co-ordinate those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structural engineer has settled with the plaintiffs. The defendant project manager and the defendant geotechnical engineer, in large part, blame each other or the structural engineer for the defective redesign. They also claim that the plaintiffs were contributorily negligent in not providing for proper drainage for the property, which they say contributed to the erosion under the front footings. They say that the plaintiffs have failed to mitigate their damages by failing to consider or implement a less expensive remediation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that the project manager, by contract with them, was required to report in a more timely way about the difficulty finding bedrock and the proposed foundation redesign. They also claim that he failed in his obligation to co-ordinate the work, particularly the engineers who gave advice on the revised foundation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project manager says that he reported as required and properly co-ordinated the work. He says that he relied on the professional engineers' advice about the foundation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geotechnical engineer says that he was not negligent in approving what he understood from the project manager and from the written material to be a solution proposed by the project manager and the structural engineer that supported the foundation on bedrock, in accordance with his geotechnical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either remaining defendant is negligent, or in breach of contract, there remains the issue of the apportionment of any fault between the structural engineer, who has settled, and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Kim Harris, a university employee and Larry Dorward, a retired teacher, live in Edmonton, Alberta. In 1995, they purchased a vacant lot on Gallagher Bay, Mayne Island to build a retirement home. That waterfront property at 520 Bay Turnabout is steeply sloped, particularly at the westside.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purchase, the plaintiffs met the defendant Brian Johnston, who had designed and built homes on Mayne Island. Mr. Johnston is trained as an architect but not registered. He designs homes and works in construction as a project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considering the purchase, the plaintiffs received a geotechnical engineering report prepared in 1994 by C.N. Ryzuk &amp; Associates,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purchase completed on October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Johnston produced drawings for the proposed retirement home. His sketches indicated two possible sites for a house, Site A to the west and Site B to the east. Site A was the plaintiffs' preferred site, but it was outside the footprint allowed by the 1994 geotechnical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Mr. Johnston's advice, another geotechnical report was obtained from C.N. Ryzuk. In December 1995, Robert Forsyth, a geotechnical engineer with C.N. Ryzuk, visited the site. His new report stated that he believed that there was bedrock within a few feet of the surface and that construction was geotechnically possible "provided all of the foundations were supported directly on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decided to go ahead and build a house on Site A to what is called the lock up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had decided that Mr. Johnston would design the house and be the project manager. In January 1996, Mr. Johnston began to prepare drawings. Mr. Johnston sent the plaintiffs a draft client-project manager agreement and by May 1996 it was signed. Under that agreement Mr. Johnston was to "co-ordinate all aspects of the work to be undertaken". The project was to build a single family dwelling to a pre-determined extended lock-up stage of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contract also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plans and specifications constitute the Contract Documents which determine all work to be undertaken, in a general sense. The Project Manager is at liberty, and is authorized by the Client, to interpret these as may be required to accommodate the steeply sloped site and its Geotechnical Engineering criteria, and to satisfy on-site inspection requirements of the Regional Building Inspector for compliance with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contract also provided that the project manager would keep the clients informed by fax reports at least twice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Johnston, on behalf of the owners, retained Graeme &amp; Murray Consultants Ltd., a firm of structural engineers. Graeme &amp; Murray reviewed the plans from a structural engineering perspective and reviewed the 1995 C.N. Ryzuk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7, 1996, the Capital Regional District issued to the plaintiffs a building permit for a single-family dwelling. Graeme &amp; Murray confirmed in writing that they had been to the site and that the plans and supporting documents complied with the structural requirements of the B.C. Building Code. The drawings refer to all footings being on exposed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Construction began in the latter part of May 1996. Almost immediately, on May 23, 1996, a difficulty arose. The contractor could not locate bedrock in the area of the front footings. At one point, Mr. Johnston and the contractor put a bar down nine feet but were still unable to find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Two particular issues arise in this time period: May 23, 1996 - May 29, 1996. First,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by either of the defendants in determining and approving the revised foundation plans. Second, whether Mr. Johnston complied with his contract with the plaintiffs in co-ordinating the work and in reporting on the foundation difficulties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Graeme &amp; Murray approved the revised foundation plan. The foundation plan, however, proved to be unsound. It was unsound because it allowed for vertical load on several front footings that were placed on gravel and sand, material that had the potential to move laterally.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geotechnical engineer gave his approval to the project manager of the revised foundation plan, there is a serious issue about the basis upon which that advice was given. The geotechnical engineer says that he approved the plan on the basis of information that it was consistent with his 1995 geotechnical report - that the foundations would go to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shortly review the communications between Mr. Johnston and Graeme &amp; Murray and C.N. Ryzuk between May 23 and 29, 1996 that ultimately resulted in an approved, revised, but faulty foundation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29, a couple of days before the foundations under the new foundation plan were actually poured, Mr. Johnston sent a report by fax to his clients. They received it and say that in early June they spoke to Mr. Johnston and expressed their concerns. They say that if they had known about the problem before the foundations were poured, they would have considered relocating the house to the original site, a course of action that likely would have avoided the problems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Did Mr. Johnston have a contractual obligation, apart from his specified reporting obligation, to promptly bring to the plaintiffs' attention the difficulties in not finding bedrock for the front footings? If so, might the plaintiffs have changed the location of the house? I will discuss those issues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house was largely completed by the fall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latter part of 1996, after construction, one of the plaintiffs noticed a fissure under one of the front foundations. Some remedial steps were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those remedial steps could be undertaken, a storm in late 1996 brought heavy rains and snow that resulted in a slide on the plaintiffs' property in January 1997. A large volume of soil slid from the bank below the plaintiffs' house. Some of the front footings were no longer fully supported by the subgrade.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Johnston took steps to support two of the front footings by inserting wood beams or timbers under them. The Capital Regional District imposed a restrictive covenant and directed that there not be an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Subsequently, at the design of Graeme &amp; Murray, angle braces were installed to provide structural support for the structure directly to bedrock. After that was done there was some question whether the front footings (now supported by timbers) any longer supported vertical load. Graeme &amp; Murray, however, recommended that the supporting beams or timbers under the front footings, be encased in concrete and maintained because they provided lateral, or seismic, support for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1997, the plaintiffs, after receiving advice from the engineering firm of Levelton and Associates and from C.N. Ryzuk, did certain remedial work, including putting concrete around the supporting timbers under the footings, repairing the slope and providing foreshore or shoreline protection. There is an issue whether all of this work was reasonable or necessary and whether the plaintiffs, in doing it, have failed to mitigate their damages. The defendants say that the plaintiffs' expenses are exorbitant and more cost-effective approaches ought reasonably to have been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issues generally arise in three distinct time periods: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23-29, 1996, when difficulties were encountered looking for bedrock for the front footings and the revised foundation plan was devised;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1996 - January 1997 (before the slide) when the owners, allegedly, were contributorily negligent in not taking protective measures to protect the slope and the footings from water;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 July 1997, when remedial work was undertaken after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specific issues are: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project manager or the geotechnical engineer negligent in approving the revised foundation plan?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project manager in breach of contract in failing to report to the plaintiffs on the foundation difficulties, in May 1996, that required consultation with the structural and geotechnical engineers and revisions to the plans? Was the project manager in breach of contract in approving the change to the foundation design without the specific approval of the owners?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of the defendants is liable, what damages are the plaintiffs entitled to?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plaintiffs failed to mitigate their damages?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contributorily negligent in the fall of 1996 in failing to divert the flow of water from their front slope or otherwise deal with the drainage of the property, and if so, should their damages be reduced?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defendant is at fault, what is the apportionment of blame between any of them and the structural engineer, who settled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common ground that the structural engineer, Graeme &amp; Murray, who settled with the plaintiffs, was negligent. In the face of the 1995 geotechnical report of C.N. Ryzuk requiring the foundations to be supported directly on bedrock, they approved a design that provided for vertical load on the front footings on sand and gravel and failed to clearly and directly communicate with the geotechnical engineer to ascertain if it was appropriate to have vertical load on the front footings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Mr. Johnston and C.N. Ryzuk were also involved in the process that resulted in the revised foundation plan. Were Mr. Johnston and C.N. Ryzuk also negligent? To answer that question I must review what occurred in May 23-29,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May 23-29,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23, 1996, when the contractor and the project manager had difficulty finding bedrock on the site at the front footings, Mr. Johnston thought that he had to find a different solution. Mr. Johnston prepared a revised drawing and sent it to Rachel Sansom and Tony Horlor at Graeme &amp; Murray. Mr. Horlor is a senior professional structural engineer. Ms. Sansom is also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Graeme &amp; Murray reviewed the proposed drawing from a structural engineering perspective. They suggested that Mr. Johnston forward it to the geotechnical engineer. According to Ms. Sansom's evidence, she thought that the proposed plan with vertical bearing on sandy gravel deviated from the report of the geotechnical engineer. Although she thought that it was a common bearing condition for residences, she also thought it should be checked out with the geotechnical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May 23, by fax, Mr. Johnston wrote to Mr. Chris Ryzuk of C.N. Ryzuk &amp; Associates.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 - please see attached drawings sent to Graeme &amp; Murray and their Rachel Sansom's reply, hence: this fax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 our builder (Dave Koster) is on site and forming footings now. Two footings are situated near (very near) the "top of the bank" (or on-site steep slope). These two in particular exhibit good clean sandy gravel, but no rock, at a depth of about [two feet] below existing grade. The structural folk are suggesting we get your input as to what to do here. - We cannot slide the building further back due to required set-back dimensions - What would you like us to do? - Please reply absolutely A.S.A.P.!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his May 23 fax to C.N. Ryzuk, Mr. Johnston enclosed several documents, including Graeme &amp; Murray's reply of the same day,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should probably consult C.N.Ryzuk re: line 3 footings [the three front footings] as far as slope stability &amp; differential settlement are concerned. (The report says go to bedrock.)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May 23 fax to C.N. Ryzuk also included the earlier fax of the same day from Mr. Johnston to Graeme &amp; Murray and some preliminary drawings done by Mr. Johnston. With respect to two front footings the drawing note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Soils under these 2 pads are clean sandy gravel, with no rock in vicinity. These are both just a few feet back from the top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Mr. Johnston had received a reply from C.N. Ryzuk, he sent a second fax on May 23 to C.N. Ryzuk.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 ... I think we have a workable answer for the footing problem; as below:</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We are confident the existing bearing strength of the soils are acceptable for the vertical loads designed, but to avoid any lateral movement, we will extend a footing back into the site and drill into found sandstone bedrock to set in some [one inch] steel pins (epoxied).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We intend to deeply drill these pins into the rock to avoid slippage.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See attached sketches 1 and 2. Please advise if this is acceptable.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to Graeme &amp;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attached drawing showed a footing attached to a concrete footing/beam that was sitting on gravel, a short distance from the top of the slope. It also showed another drawing with beams going back from the front footing with pins epoxied into sandstone.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Later that day, on May 23, Mr. Johnston sent a further fax to Graeme &amp; Murray. It indicated that her fax had been received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see attached copy of footing concept sent to Chris Ryzuk, P.Eng (Geotech) for his review [and] comment.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Formwork [and] rebar are being constructed, now along these lines, and drilling is scheduled for tomorrow for pinning.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on the morning ferry (first boat) you will be on the same boat as Tim Grohs, our CRD Building inspector. - You might find him to chat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the early part of May 29, Mr. Johnston had still not spoken to anyone at C.N. Ryzuk in connection with his two faxes of May 23, 1996 to C.N. Ryzuk. Mr. Ryzuk asked Mr Forsyth to deal with the correspondence from Mr. Johnston and he apparently left a message for Mr. Johnston. Mr. Forsyth had prepared the 1995 geotechnical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May 29, Mr. Johnston sent a further fax to Mr. Forsyth of C.N. Ryzuk, with copies to Graeme &amp; Murray and the owners. That fax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Bob - Further to my recent faxes on this job, please find attached my as-built layout. We are scheduled to line-pump about [thirty] cubic yards of concrete on Friday morning this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promised Graeme &amp; Murrary's Rachel Sansom P.Eng. that I would send you this drawing for your review and records. - With a copy to her too. Our solution for footing stability is likely a bit of "overkill" but we feel confident that everything logical has been done to ensure structural integrity.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comments or suggestions please reply ASAP!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Attached to the May 29 fax to Mr. Forsyth at C.N. Ryzuk was a drawing. It showed three of the four front posts on gravel. It also showed 8" x 8" grade beams wired into the foundations and a sheer wall over beam. The drawing noted that the lower grade beam connected the bottom of the piers. A notation on the drawing read "As-Built Footings and Foundations inspected by Graeme &amp; Murray and CRD Bldg Inspector May 28/96."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Sansom testified that, before the inspection by the building inspector, Mr. Johnston told her that Mr. Forsyth had approved the revised design. I have concluded that Ms. Sansom is mistaken in that recollection because Mr. Johnston did not speak to Mr. Forsyth until the morning of May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the morning of May 29, 1996, Mr. Forsyth and Mr. Johnston spoke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Forsyth had read the three faxes that were sent to his firm, as well as the drawing with the May 29 fax. The drawing indicated that three of the front four footings were on gravel, that there was a sheer wall over beam, that there was an 8" by 8" grade beam following the slope to the footings, plus horizontal beams tied in with bracing.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indicated earlier, the defect with the proposed design, as it turned out, was that it provided for vertical load on footings that were on sand and gravel. In that particular location sand and gravel had the propensity to move laterally (and later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May 29, there was only one conversation between Mr. Forysth and Mr. Johnston. It was relatively brief. The total time that Mr. Forsyth recorded to deal with the revised foundation plan including reviewing the correspondence and speaking to Mr. Johnston was one half-hour.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Following their discussion on May 29, Mr. Forsyth prepared a memorandum, which I quote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spoke to Brian Johnson of Ventanna Projects. Brian had a job on Mayne Island on Bay Turnabout. We looked at the slope there and wrote him a letter.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building the house, digging out their footing sub-grade by hand, and have found that they're on very dense sand and gravel with some of the footings closest to the crest of the slope.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They've put in some additional piers on the rock where the rock is exposed and put in dowels where they are on rock. The rest of the building is cantilevered so that if there is some movement in the sand and gravel over time, the building will stay where it is. The foundations pinned into rock will support the building.</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told him that that was the right idea and we had no problem with it. Evidently, the structural engineer is Rachel Sansom of Graeme &amp; Murray, and she has gone to the site, looked at the foundation and is happy that the spans can be supported on the additional foundations into rock.</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told Brian that everything sounds good.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Evidently Tim Grohs has been out to the site and is quite pleased with what they're doing.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Everything looks like it's going well. They're going to pour their concrete on Friday.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Johnston and Mr. Forsyth during their conversation believed that there would be no vertical load on the front footings or that the building would be properly supported or anchored back to bedrock if the soil beneath those footings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Johnston understood that the foundations were tied back to bedrock and if there were movement of soil the building would not move. Mr. Forsyth believed there was no vertical load on the front footings. (Graeme &amp; Murray according to the evidence of Mr. Horlor and Ms. Sansom believed that there would be some vertical load on the front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May 29, Mr. Johnston reported by fax to his clients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quite a bit more work involved in ascertaining foundation stability than what I had earlier hoped for, but none of us are taking any chances and are confident that everything done was essential necessary to comply with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site and rock conditions;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Code and C.R.D. inspector,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engineer's directions;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geotechnical engineering criteria (phewww ... this had been a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Graeme &amp;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say that Graeme &amp; Murray was negligent in not questioning Mr. Johnston about his statement "we are confident that the bearing strength of the soils could take the vertical load designed" and by failing to communicate directly with the geotechnical engineer, given that the revised design was inconsistent with the 1995 geotechnical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think that in the circumstances Graeme &amp; Murray were clearly negligent in approving a design for footings placed on soil knowing that the soil had a propensity to move and doing so without directly contacting the geotechnical engineer to confirm that the soil could bear that vertical load. The structural engineer designed and approved the footings, which I conclude it must have known did not comply with the report of the geotechnical engineer, but the structural engineer made no direct contact with the geotechnical engineer to see if the redesign was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Graeme &amp; Murray never consulted directly with C.N. Ryzuk. C.N. Ryzuk never consulted directly with Graeme &amp; Murray. If such a discussion had taken place, the geotechnical engineer would have learned that the foundation plan called for the footings to be other than on bedrock, and a different plan would have been devised.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C.N. Ryzuk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revised foundation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will deal first with the claim against C.N. Ryzuk. There is no dispute that they owed a duty of care to the owners. They were retained by the owners' representative to advise on the revised foundation plan. There is also no dispute that they gave advice to the owners' representative as to the reasonableness of the proposed solution to the foundation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say that C.N. Ryzuk was negligent in these ways: in concluding that the footings were in essence cantilevered (not supported on the soil) without seeking confirmation of this from the structural engineer; in not concluding as an engineer that the drawings could not show a cantilevered foundation, or at least having some doubt and contacting the structural engineer; in concluding that the foundations could be interpreted as a cantilever when, in light of apparent uncertainty, a final determination should have been obtained from the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Forsyth was of the opinion, after looking at the drawings and speaking with Mr. Johnston, that as Mr Johnston had expressed that the building would not move if the earth below the footings moved, that the project manager "had the right idea and that he had no problem with it". He apparently held that view because he believed that the revised foundation plan was consistent with the 1995 geotechnical report - that the foundation went to bedrock. That was the basis for Mr. Forsyth's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circumstances did the geotechnical engineer fail to use reasonable care by not directly contacting the structural engineer to ensure that his approval was being given on a sound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Mr. Forsyth reviewed all of the drawings and memoranda that he was sent in three batches over a six-day period at one time, shortly before he spoke to Mr. Johnston on May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Mr. Forsyth likely reached the conclusion that the proposed solution was essentially, or in practical terms, a cantilever in the sense that all of the foundations were supported by bedrock, even though the structure extended horizontally beyond the bedrock. I think that he formed that opinion, in part, because Mr. Johnston expressed the view to him that if the soil moved under the front footings that the building would not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Forsyth essentially was of the opinion that there would be no vertical load on the front footings. I think that several things contributed to this belief. First, his 1995 geotechnical report required the foundations to be to bedrock. Second, by the time he spoke to Mr. Johnston on May 29, he was aware that the forms for the footings had been inspected by the structural engineer and the building inspector, both of whom were aware of his 1995 report. Third, although some of the footings were not to bedrock and would have to be redundant if the 1995 geotechnical report was being followed, Mr. Forsyth had been involved in an earlier project where footings were redundant and there was no vertical load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Was Mr. Forsyth's belief reasonable in the circumstances such that it was not necessary that he make further inquiries of the structural engineer before approving the revised plan from a geotechnical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Forsyth had only one conversation with Mr. Johnston. During that conversation he effectively gave advice approving the revised plan from a geotechnical perspective. In the May 23-29 period he had received a number of faxes. At least the initial communications from the project manager indicated that the structural engineer was requiring his input because the situation was different from the situation anticipated by the 1995 geotechnical report. The memorandum from Graeme &amp; Murray, although perhaps ambiguous, indicates that C.N. Ryzuk should be consulted because "the report says go to bedrock". This would more than likely suggest to a reader that a solution other than "going to bedrock" is being proposed by the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Moreover, one memorandum from Mr. Johnston indicated that, "We are confident the existing bearing strength of the soils are acceptable for the vertical loads designed ...." That suggests quite strongly that the front footings would not be on rock and would take some vertical load. These references suggest that something different from the recommendation in the 1995 geotechnical report was being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counsel for C.N. Ryzuk argues that, by May 29, the items in the faxes a few days earlier that suggested a revision that was not consistent with the 1995 geotechnical report were, by then, outdated. The current circumstances - Mr. Johnston's advice and the fact that Graeme &amp; Murray and the building inspector had inspected the footings, (given that they were aware of the report) - counsel argues, made it reasonable for C.N. Ryzuk to conclude that its original report was being followed. Mr. Johnston's expressed belief, that the building would not move if the soil did, suggested that the building was structurally sound and that the foundation was in accordance with the geotechnical report. Ms. Allard argues that, in those circumstances, he could give his approval to the plan and there was no need to consult the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Forsyth, as I understood his evidence, explained that earlier faxes, the May 23 faxes from Mr. Johnston, did not alert him to the possibility that there would be vertical load other than on bedrock because they were only a "work in progress" and the later design, that accompanied the last fax, was the one that he thought was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find that to be a reasonable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Forsyth spent less than one hour on this issue, and reviewed all of the relevant information in the three faxes effectively at one time. He would have seen the references to the bearing strengths of the soils and the reference to the geotechnical report which suggested that the structural engineer was proposing a solution that did not coincide with the 1995 geotechnical engineering report and that further analysis by the geotechnical engineer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think that Mr. Forsyth should have been alerted by the drawings that came to him a few days before the final drawings that indicated that the front footings were to take vertical load. In those circumstances, it would have been reasonable and prudent for the geotechnical engineer to consult with the structural engineer to see if, in fact, the last solution was significantly different from the proposal a few days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Richard Brimmell, a geotechnical engineer with Levelton Engineering, gave opinion evidence whether Mr. Forsyth discharged the standard of care expected of a geotechnical engineer on May 29. Although he concluded, for the purpose of his opinion, that Mr. Johnston must have told Mr. Forsyth that the footings not founded atop bedrock must be cantilevered and were redundant, a sketch with the second memo shows "an alarming lack of understanding of geotechnical concern, since subsidence of the "gravels" supporting the downslope footing would certainly have resulted in structural damage, despite the tieback system." Amongst other things Mr. Brimmel says that Mr. Forsyth ought to have sought confirmation from the structural engineer as to the accuracy of Mr. Johnston's assertions. I found Mr. Brimmel to be a reasonable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C.N. Ryzuk called James O'Brien as an expert witness. Mr. O'Brien has been a geotechnical engineer since 1976. Mr. O'Brien gave opinion evidence whether Mr. Forsyth's conduct met the required standard of care. He indicated that the structural engineer was aware of the 1995 report that all footings be on bedrock, and that the proposed foundation system contained structural components, such as steel vertical anchor pins and steel reinforcement, which could contribute to the ability of the concrete tieback beams to function as a cantilever. He thought that the Mr. Forsyth acted reasonably in accepting the information from Mr. Johnston given that the sketches (attached to the faxes) contained elements that may be able to act as a cantilever. He said that Mr. Forsyth knew that the others were aware of his 1995 report, he did not sign letters of assurance and, in Mr. O'Brien's consideration, he was not part of the design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O'Brien indicated, on cross-examination, that the person on the project with the final say as to whether the foundation acted as a cantilever was the structural engineer. He agreed that the sketches exchanged in May indicated that it may not act as a cantilever and that if there was doubt, contact should be made with the structural engineer. Mr. O'Brien also indicated on cross-examination that the drawing and letter of May 23 might show vertical load going into the grade beam as well as the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found that Mr. O'Brien presented the arguments why a reasonable engineer, in the circumstances, might be able to justify not making further inquiries, but I did not find his evidence persuasive that a reasonable engineer ought not to have made further inquiries of the structural engineer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think that it was not reasonable, given the entirety of communications between Mr. Johnston and Mr. Forsyth, for Mr. Forsyth to conclude that the foundation design essentially operated as a cantilever or to conclude, in the circumstances, that it was not necessary to consult the structural engineer, Graeme &amp;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Forsyth said, based on his discussion with Mr. Johnston, that he was of the view that the front footings were redundant in that they would take no vertical load. Although Mr. Forsyth had in the past worked on a project where that happened, there he worked with a structural engineer who presumably provided or confirmed that information. The possibility of apparently redundant footings ought to have alerted Mr. Forsyth as to whether that was the structural engineer's intention. If Mr. Forsyth's assumption was correct, then the tie back to the bedrock was providing support for the building but also supporting the wooden footings, which were not insubstantial.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Why would the foundations for the front footings be constructed if they supported no weight? Counsel for C.N. Ryzuk says, and witnesses agreed, that lots of structural redundancies appear in single family wood frame residences. While it is certainly possible for footings to be redundant, I think it raised a question, together with all of the circumstances, that suggested that further inquiries ought reasonably to have been made when the geotechnical engineer was being asked to approve the redesign.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Mr. Johnston was of the view, in the conversation with Mr. Forsyth on May 29, that the footings were supported or tied back to rock, I think that the situation was clearly uncertain and it was not reasonable for Mr. Forsyth, in light of all of the information that he had, to simply rely on his interpretation of what Mr. Johnston said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Even though Mr. Johnston thought the solution was over-kill, I do not think it is reasonable for Mr. Forsyth to have relied on that from a structural engineering perspective. Mr. Forsyth knew that Mr. Johnston was not a structural engineer. Even if, in a practical sense, the building might not have moved if the soil went out from under the front footings, as Mr. Johnston believed, it was not reasonable in the circumstances to rely on that. I say that because there were indications during the revision process, in the material Mr. Forsyth saw, that the structural engineer thought that there would be vertical load on the front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C.N Ryzuk points to the fact that both Graeme &amp; Murray and the regional district had inspected the foundations on May 28, 1996 and that the district's representative was knowledgeable and experienced. Mr. Forsyth's counsel points out that the building inspector, a person who Mr. Forsyth knew, typically sought input from geotechnical engineers when dealing with soil on steep terrain, did not in these circumstances. This, counsel for C.N. Ryzuk points out, supports Mr. Forsyth's view that the initial geotechnical report was still operative and being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taken that into account, but, in the circumstances, a reasonable geotechnical engineer would have made further inquiries, including speaking to the structural engineer before approving the plan. In the circumstances why would a structural engineer want the input from the geotechnical engineer if the revised plan was simply that the foundation goes to bedrock? If that were the case there was no apparent need for input from the geotechnical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recognize that Mr. Forsyth did not tell anyone that footings could be placed on soil, but it is not alleged that he was negligent in that respect. I think that there were a number of factors, that I have described, indicating that he ought to have made inquiries of the structural engineer and that it was not reasonable to fully rely on Mr. Johnston's interpretation of the proposed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do not think it was reasonable for Mr. Forsyth to conclude that, under the proposed revision he was asked to approve, the footings were effectively cantilevered or that the foundations went to bedrock. At least he ought to have had a question whether that was the case. From his perspective the design had elements of a cantilever but he ought to have called the structural engineer and discussed the matter before approving the revised foundation plan from a geotechnical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these reasons, I have concluded that C.N. Ryzuk, in failing to consult with the structural engineer before approving the revised foundation plan,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Brian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participating in the determination of the revised foundation, was Mr. Johnston negligent? Did he breach his contractual obligation to co-ordinate all aspects of the work to be undertaken including, in particular, the communications between the engineers? Did he commit a breach of contract in not specifically notifying the owners during the period May 23-29?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revised foundation plan and the obligation to co-ordinate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in argument, say that Mr. Johnston was negligent in these ways: in misleadingly expressing, in his May 23 fax to C.N. Ryzuk, that "We are confident that the existing bearing strength of the soils are acceptable for the vertical loads designed"; in not trying to get hold of the geotechnical engineer between May 23 and May 29; and, in failing to advise Mr. Forsyth about the extent of the difficulty finding bedrock - that rebar had been pounded down nine feet and not struck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Let me turn to the facts concerning Mr. Johnston's participation in the foundation redesign. Mr. Johnston, the evidence indicates, was of the view that the tie in of the foundations as shown on the revised foundation drawings provided ample support for the structure. He believed that if the soil under the footings failed that the building would not move. It is unclear in the evidence exactly why he held this view. It may have been the impression from the structural engineer that the vertical load on the front footing was minimal. It may have largely been his assessment of the effect of the drawings. However, Mr. Johnston, who is trained as an architect, is neither a geotechnical nor a structural engineer. As I indicated, he was of the view, by the time he spoke to Mr. Forsyth, on May 29, that the building would not move if the earth failed below the front footings and he indicated as much to Mr.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Was he negligent if he expressed that view? In a sense he was not incorrect. While the footings were at risk because of the slope failure, the building, the evidence on a balance of probabilities indicates, did not shift. The evidence shows that although Mr. Johnston did express his opinion to Mr. Forsyth, he did not make any direct misstatements to Mr. Forsyth. He did not miscommunicate the advice or the opinion of the structural engineer. He gave, or implicitly gave, his opinion that the structure could be supported by the extent to which the foundations were tied back to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Simply because his view was not correct was it negligent? I do not think so. Mr. Johnston, because of the difficult nature of the site, specifically engaged, on behalf of the owners, two professional engineers, who had the specific expertise to opine on the stability of the proposed foundations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Should Mr. Johnston have done more to get the two engineers together to discuss the revised foundation plan directly to ensure that was a common understanding of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think that he was negligent or in breach of contract in failing to do so. I think that it should have been apparent to both of the engineers, from the perspective of their professional expertise that, in the circumstances, they should speak directly. I do not think that Mr. Johnston was negligent in not getting them to speak directly to each other. Although Mr. Johnston might have contacted Mr. Forsyth directly before May 29, I am not persuaded by the plaintiffs that Mr. Johnston breached his contractual obligation to coordinate the work in that respect, or at all. Nor do I find that he was negligent in the manner in which he dealt with the redesign of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obligation to coordinate the work, in this case the revision of the design of the foundation, required him, in the circumstances, to take reasonable steps to involve both engineers. He did that and I find that he did it in a sufficiently timely way. I do not think that Mr. Johnston's obligation extended to ensuring that the result of the engineers' advice was itself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contract in at least two places calls for Mr. Johnston to co-ordinate all aspects of the work. Although Mr. Johnston might have had a different view of the effect of the revised foundation drawings than perhaps the structural engineer had, (although that is not clear), can it be said that he failed to coordinate all aspects of the work, including the foundation? I find that he acted promptly to get their advice on the revised plans, which in the circumstances I think was his main obligation in terms of the foundation redesign.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Moreover, I do not find that Mr. Johnston was negligent or in breach of contract by his participation in the communication resulting in the defective design. I think that it was not unreasonable or negligent, absent misrepresentation, to express his opinion. He did not purport to usurp the role of either engineer. His view may not have been correct but I am unable to find, given that a structural and a geotechnical engineer were retained, that his opinion displayed a lack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Failing to report or receive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other allegations against Mr. Johnston are that he breached his contract with the owners by authorizing the foundation revision without their permission and by failing to report in a timely way during the period May 23-29,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are two aspects to the questions I have to determine: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Mr. Johnston's authority?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his reporting obligations under the contract with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contend that Mr. Johnston had an obligation to report promptly and consult them on all major decisions or changes. It was alleged that prior to signing of the contract Mr. Harris made it clear that he wanted to be consulted on all "major" matters. Mr. Johnston denies there was a request or a discussion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Did Mr. Johnston have the authority to consult with the engineers and determine the solution to the foundation problem without specific directions from the plaintiffs? Was the defendant required, in any event, to forthwith report on the situation because it was a "major" change or decision or a "major"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first question is a matter of interpretation of the contract. Was the project manager entitled to construct the foundation without the owners' specific permission or was that beyond his authority? That depends on the interpretation of the provision that is set out earlier and I repeat. The contract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plans and specifications constitute the Contract Documents which determine all works to be undertaken, in a general sense. The Project Manager is at liberty, and is authorized by the Client, to interpret these as may be required to accommodate the steeply sloped site and its Geotechnical Engineering criteria, and to satisfy on-site inspection requirements of the Regional Building Inspector for compliance with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contract should be interpreted by applying the plain, ordinary and literal meaning of the words. As G.H.L. Fridman said in The Law of Contract in Canada, 4th ed. (Toronto: Carswell, 1999) at p. 478: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Words of ordinary use in a contract must be construed in their ordinary and natural sense. The paramount test of the meaning of words in a contract is the intention of the parties. That is to be determined in the operative sense by reference to the surrounding circumstances at the time of signing the contract. But evidence of the commercial context surrounding the making of an agreement may be admitted only to show the purpose for which the various contractual provisions were included, not to vary the meaning of the words of a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contract documents - the plans and specifications - determined all the work to be undertaken but not precisely or specifically. The contract said that they did so in a general sense. Mr. Johnston, as project manager, had some flexibility. The project manager's authority was to interpret the plans and specifications as may be required to accommodate the steeply sloped site and the engineering criteria. The parties made the contract knowing that Mr. Johnston would be on site dealing with the work and would be able to consult with engineers as required. I think that the purpose of that provision was clear, given that the project manager required some flexibility during construction because the plaintiffs would be in Alberta and that the project manager would need some flexibilty to deal with and solve on site problems particularly those pertaining to the steep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Given the slide that occurred in 1997, it is perhaps easy in hindsight to be critical. In determining whether there was a breach of contract in May 1996, I have to look at the circumstances objectively as they presented themselves at the time. I am unable to conclude that the project manager in revising the foundation design with the approval of a structural and geotechnical engineer acted outside the scope of his contractual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Even if the defendant had the authority to build the foundation as he did, the question remains whether he breached the contract in not reporting as required. There is no specific written reporting term that the defendant breached. The contract provides for twice-monthly reporting. The plaintiffs' argument is that prior to the contract, Mr. Harris made it clear that the owners wanted immediate reports, or to be immediately consulted on all major developments, major decisions or major changes. In this case, they say that finding no bedrock within reasonable distance of the surface for the front footings was a major development that required immediate reporting and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say that when they received the information about the foundation difficulty, after the foundations were poured, Mr. Harris spoke to Mr. Johnston in early June, at length. They contend that they were very upset and if they had been notified, as required, about the foundation issue, they may have relocated the building site and avoided the difficulties. Moreover, they say that if they had been notified, they would have asked many questions and the problem arising from the failure of the engineers to communicate would likely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in essence, assert an oral term that the project manager was to advise on major things or that the contract that allows the project manager to interpret the plans and specifications should be interpreted in light of Mr. Harris' evidence that he made it clear that he wanted to be consulted about major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First, I prefer the evidence of Mr. Johnston that there was no specific discussion where Mr. Johnston agreed to contact the owners about major matters. If Mr. Johnston was acting outside his authority he would have had to contact the owners before proceeding, but I have concluded that, in attempting to resolve the foundation issue, he was within his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evidence of a contractual reporting requirement different from that in the written contract is disputed evidence, that in my view, is not admissible because it purports to vary the terms of a written contract. Moreover, I do not think that the this oral evidence of "major matters" can form part of the factual matrix because it is not evidence of surrounding circumstances at the time the contract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Therefore, I find that Mr. Johnston reported to the owners as he was required to do under the contract. He did so by sending them a fax on May 29, which I have referred to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was a dispute in the evidence whether there was a discussion between Mr. Harris and Mr. Johnston by phone in early June. Mr. Johnston says that there was no discussion. I prefer Mr. Johnston's evidence in that respect. I think that Mr. Harris is likely confusing that call with a later call when the owners faced serious and real problems with the stability of the foundations. No telephone records were produced to establish that a lengthy call took place in early June. I accept Mr. Coates' submission that the call that Mr. Harris recalls likely took place after the slide in January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Therefore, in connection with the alleged breaches by Mr. Johnston, I conclude as follows. Mr. Johnston was not negligent or in breach of contract in his dealing with the revision to the foundations. Mr. Johnston, in dealing with the foundation difficulty, was acting within the scope of his contractual authority and was not in breach of his obligation to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If I am wrong and Mr. Johnston was acting beyond his authority in approving the revised foundation plan, I find that he was entitled to rely on the advice of the two engineers and, if liable, is able to claim over against them in the third party proceedings. If I am wrong, and Mr. Johnston ought to have reported as contended by the plaintiffs, I conclude that the owners would not have changed the location of the house. If I am wrong on this point and Mr. Johnston is liable for not properly reporting or coordinating the work, he is nevertheless entitled to claim over against the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AND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November 1996, after the house was completed to lock-up stage, the plaintiffs, on a visit from Edmonton, discovered fissures below the front footings. The project manager, apparently after consulting with Graeme &amp; Murray, recommended underpinning two of the front footings by installing two concrete piers going to bedrock. The work was scheduled for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the work could be done, in early January, 1997, following heavy rains and snow, a large part of the slope below the southernmost foundation (about 250-450 cubic metres) slid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question then was what the plaintiffs should reasonably do to ensure that the foundation for their home was secure, given the potential instability of the front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Mr. Horlor's direction, a plan was devised with the assistance of Mr Johnston and Mr. Forsyth to immediately install wood beams from the bottom of the undermined footings to bedrock.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Moreover, diagonal beams were later installed from the intersection where the foundation footings met the house to the original concrete up slope tie in beams.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Graeme &amp; Murray recommended that the wooden support beams supporting the footings be retained and encased in concrete. Later, in July 1997, Mr. Horlor wrote to the engineering firm advising the plaintiffs on remediation: "the vertical load on the three footings was substantially reduced or eliminated when the diagonal braces to bedrock were placed under the house but we do generally agree that underpinning them is prudent so that they do not rely on the wood columns to suspend them in the long term". After the wood beams supporting the footings were encased in concrete, the structural engineer recommended retaining them as they provide lateral restraint under design seismic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Both engineers remained involved, although relations between C.N. Ryzuk and the plaintiffs became 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retained the firm of Levelton Engineering for advice as to how to protect the foundations and provided foreshore protection. The plaintiffs also sought advice from C.N. Ryzuk on the same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Levelton Engineering recommended that the three undermined pad footings be immediately underpinned with concrete and that was done. Bruce Macleod, an engineer with that firm, recommended that after that work the shoreline bank be stabilized. It was suggested that the most economical way was to construct a shoreline retaining wall, backfilling with free draining material such as shotrock. This was suggested to be preferable in terms of cost, access constraints and aesthetics.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costs incurred in the plaintiffs' remediation work were set out in exhibit 33 and total $105,580.44. This covers the wood beams that were installed to protect the footings in January/February 1997, and the work that was recommended by Levelton Engineering and done in the summer and fall of 1997 and some miscellaneous expenses. The owners are also claiming an amount for miscellaneous work that they did around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say that the damages that the plaintiffs claim are unreasonable. They say that they would have been required anyhow because the slide would have occurred in any event. More importantly they say that the solution proposed by Levelton Engineering is not reasonable because, in early 1997, after the timber underpinning under the three posts was installed, permanent diagonal bracing was put in upslope to bedrock. In those circumstances, the timber underpinning the front footings became redundant, and as such, the concrete underpinning recommended by Levelton Engineering was unnecessary. Moreover, if it was unnecessary the replacement of the entire slope to confine those concrete columns was also not required. C.N. Ryzuk says that, even if it was necessary to have the soil replaced around the concrete underpinning, there were more cost-effective solutions and the plaintiffs, in following the Levelton report, have acted unreasonably and damages ought to be assessed on a lower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Were the costs that the plaintiffs incurred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engineers? Have the plaintiffs acted reasonably to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think that the evidence shows that the costs that were incurred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engineers in recommending a faulty revised foundation plan. The costs in my judgment are all related to that. The central issue is whether the defendants have established that the plaintiffs acted unreasonably in mitigating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summer of 1997, the owners were attempting to determine the solution that was needed to ensure that they had a stable foundation for their home. They sought expert advice. They retained Levelton Engineering, a firm of geotechnical engineers, to recommend an appropriate solution. They also consulted with Mr. Forsyth. The recommendation of the structural engineer, Graeme &amp; Murray, was to retain the timbers that were placed under the footings, even though they were not providing any vertical support but, according to Mr. Horlor, were hanging from the footings. Mr. Horlor was of the opinion that "those footings be retained to contribute to the overall integrity of the concrete foundations behind them". The timbers, as I have indicated, placed under the footings, were necessary in the first place to protect the foundation when it was seriously undermined by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for C.N. Ryzuk criticizes the owners for not obtaining a second opinion on a structural solution that would not involve placing concrete around these timbers. I do not think that it was unreasonable for the owners to proceed upon the recommendation contained in the July 30, 1997 memorandum of Mr. Horlor of Graeme &amp; Murray to Mr. Mcleod of Levelton Engineering. He recommended the retention of the supports under the front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issue comes down to whether the proposed solution suggested by Levelton Engineering concerning the manner of having soil, at the foundations replaced, and foreshore protection, was an expense that was reasonably incurred in the circumstances. The Levelton Engineering solution is to provide foreshore protection, rebuild the slope and to encase, in concrete, the underpinning.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say that a mid-slope retaining wall could have been put in place that would have replaced soil at the foundations at significantly lesser expense. As I understand the evidence, C.N. Ryzuk says that a midslope wall, as opposed to the solution recommended by Levelton Engineering would have cost in the range of $31,550 inclusive of taxes for the mid-slope retaining wall and $15, 971 for the shoreline protection wall. Counsel for C.N. Ryzuk conceded that, on the state of the evidence, it was shown that shoreline protection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burden is on the defendants to show that the plaintiffs have not acted reasonably in mitigating their damages. The debate in these circumstances really comes down to whether the owners acted reasonably in following Levelton Engineering's recommendation. There was reasonable evidence that it was economical and cost efficient. The owners obtained a number of quotes and negotiated with the contractor that did the work and, in doing so, obtained a better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Was it unreasonable for the plaintiffs not to have given greater consideration to Mr. Forsyth's suggestions about a midslope wall, of one of a number of kinds, that would provide the support that the structure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argue that the plaintiffs were simply going through the motions in discussing alternate solutions with Mr. Forsyth and paid no serious attention to his advice. I reject the argument that the plaintiffs had made up their minds to follow the Levelton Engineering recommendations in all respects prior to meeting Mr. Forsyth on July 17. I accept that they had decided to encase the timber supports in concrete, as Mr. Horlor recommended, but the manner of supporting that soil by that structure and shoreline protection was still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Although some of the reasons they advanced for not following Mr. Forsyth's suggestions of a midslope wall, such as the drawings he did not being to scale and the need for actual dimensions to get quotes, were probably after the fact rationalizations, it has not been proven that the solution that they undertook was not a reasonable, cost-effective solution. It was a solution they followed after receiving professional advice that it was an economical way of solving the problem. It was not extravagant. The plaintiffs pursued the "Levelton solution" after getting a number of quotes.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think that, given the apparent steepness of the slope, it was not reasonably apparent to the plaintiffs precisely how the mid-slope wall Mr. Forsyth recommended would be installed on their property. I think that a midslope wall reasonably appeared to them to be impractical or unworkable. Given that the plaintiffs' solution was apparently cost-effective, clear, more understandable to them than a midslope wall, I am unable to conclude that they have acted unreasonably in taking the steps they did to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Accordingly I am unable to conclude that the plaintiffs acted unreasonably in pursuing the remedial solution they did and I find that they incurred, in that process, costs in the amount of $105,580 as set out in Exhibit 33 and that these damages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must as well consider the claim by the plaintiffs for $4,500 for their own work landscaping their property. I am unable to find that this work was caused by any breach of duty of the defendants. I dismiss that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Having assessed damages, I will now consider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C.N. Ryzuk says that the damages should be reduced because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or their agent in not keeping water away from the slope or the house. C.N. Ryzuk argues that the plaintiffs failed to deal with directions to prevent or limit flooding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C.N. Ryzuk says that the failure of the plaintiffs or their agent to keep surface water away from house was a factor contributing to the slope failure and is relevant to the assessment of damages. They contend that if the original C.N. Ryzuk recommendations had been instituted, it would not have been necessary, for either structural or aesthetic reasons, to replace the soil at the slope. C.N. Ryzuk argues that to the extent that the original drainage recommendations had been implemented that the slope would not have had to be replaced. They say the damages ought to be reduced because of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Their particular contentions are as follows. C.N. Ryzuk says that a culvert ought to have been installed and was not. According to this defendant's argument, it "may have prevented the slope failure". Moreover Mr. Forsyth said in his 1995 report that perimeter and roof drainage should be directed away from the slope. He says their absence contributed to the failure of the slope. Ms. Allard argues that although the deficiencies in the foundation could not be avoided, the extent of the loss would be less, if the original recommendations had been implemented by the plaintiffs. The plaintiffs, C.N.Ryzuk says, would not have had to replace the soil at the slope, either for structural or aesthetic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think that this argument must fail for two main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First, it has not been proven, on a balance of probabilities, that that the owners' failure to keep water off the slope was a contributing cause of the slide that required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Second, it has not been shown that the owners or their agents were negligent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By a January 19, 1997 memorandum, Mr. Forsyth speculated that "water has come down the driveway and saturated this material during the recent melting snow and other runoffs". He points to the lack of downspouts. In his June 6, 1997 letter, Mr. Forsyth said that "had the run-off from Bay Turnabout not been directed down the main driveway, the instability may not have been experienced." Mr. O'Brien in the penultimate paragraph of his letter of October 12, 2000 said that "if ... the property owner had taken steps on or about December 18th, 1996 to prevent water from flowing down the driveway and into the foreshore slope area, further erosion of the slope could had been reduced or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the whole of the defendants' evidence on this point far too general and speculative to be given much weight. Moreover, that evidence really comes down to an allegation that the plaintiffs failed to take reasonable steps as homeowners to prevent water coming down the driveway. The plaintiffs, I think, made reasonable efforts in this respect. They dug a trench. Their trench appeared to be working and was deepened by them in the fall of 1996. A culvert could not be installed because the proposed location was comprised of solid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Although the plaintiffs may have been tardy in installing downspouts it has not been proven to be a significant factor that contributed to the damages that they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evidence does not support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have settled with Graeme &amp; Murray under a British Columbia Ferry Corp. v. T &amp; N plc type settlement [</w:t>
      </w:r>
      <w:hyperlink r:id="rId268"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They have waived any right to recover from the remaining defendants any portion of the plaintiffs' damages that the court attributes to the fault of the defendant Graeme &amp;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plaintiffs argue that the proper apportionment of fault would be Graeme &amp; Murray 25%, C.N. Ryzuk 50% and Mr. Johnston 25%. The remaining defendants argue that if there is liability that there should be very small degrees of it attributed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At this trial, I have only found liability on the part of C.N. Ryzuk. I conclude that the fault of Graeme &amp; Murray and C.N. Ryzuk is equal. Each party should have consulted the other, and if they had, the problem would have been avoided. Graeme &amp; Murray as structural engineers approved a foundation design that provided for vertical loading on gravel and sand that had the capacity to move laterally. C.N. Ryzuk ought to have been aware, when it was asked to approve the foundation plan, that there may be vertical loading on the front footing but failed to contact the structural engineer before approving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all of the circumstances I find that C.N. Ryzuk and Graeme &amp; Murray are equally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will have judgment against C.N. Ryzuk in accordance with these reasons for judgment. The plaintiffs' claim against Mr. Johnston is dismissed. The parties will have liberty to make submissions on costs if they are not 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Helen's Grill Ltd. v. Yi Sheng Enterprises Ltd., [2018] B.C.J. No. 3091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S146531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1474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Helen's Grill Ltd., Plaintiff, and Yi Sheng Enterprises Ltd., Weilin Chen and Delin Zhou,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 xml:space="preserve">Landlord and Tenant Law — Commercial tenancies — Landlord's obligations — Risk of loss — Tenant's obligations — Repair of damage — Rent — Security deposit — Suspension or abatement — Destruction of premises — Occupancy costs — Taxes — Claim by plaintiff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to reconstruct restaurant destroyed by fire dismissed — Counterclaim by defendants for return of pre-paid rent, security deposit and excess tax payments allowed — Defendants operated restaurant in premises leased from plaintiff — Premises were destroyed by fire — Expert evidence established that fire was caused by electrical failure — There was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defendants and no basis under lease for payment of repairs — Defendants were entitled to all amounts claimed.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9"/>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plaintiff for damages for the cost to reconstruct a restaurant. Counterclaim by the defendants for the return of pre-paid rent, a security deposit and excess tax payments. On May 16, 2013, a fire destroyed the restaurant owned and operated by the defendants, and located in premises owned by the plaintiff. The plaintiff submitted that the defendants did not take adequate care in maintaining the restaurant and that the chef operating the kitchen on the night of the fire neglected to turn off a stove, thereby leading to a fire which was preventable. The plaintiff also submitted that particular terms of the lease placed the liability for repairs on the defendants in the event of a fire. The defendants submitted that not only was there no conclusive proof that any of their employees were negligent on the night in question, but also that the totality of the evidence established that the fire was caused by an electrical issue, not by any action or inaction of the defendants or their employees. The defendants sought the return of rent payments, tax overages, and a damage deposit that they said was not repaid.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2" w:name="Holdings of Court_8"/>
            <w:bookmarkEnd w:id="82"/>
            <w:r>
              <w:rPr>
                <w:rFonts w:ascii="arial" w:eastAsia="arial" w:hAnsi="arial" w:cs="arial"/>
                <w:color w:val="000000"/>
                <w:sz w:val="20"/>
                <w:lang w:val="en-US" w:eastAsia="en-US" w:bidi="ar-SA"/>
              </w:rPr>
              <w:t>HELD: Claim dismissed and counterclaim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 evidence established on a balance of probabilities that the cause of the fire was electrical failure. There was no basis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because the cause of the electrical failure was unknown. There was no liability arising from the terms of the lease. Under the lease, the lessee had an obligation to repair that which was occasioned in the normal course of business. The various repair terms all excluded liability for natural disasters or events out of the lessee's control such as fire.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were dismissed. The defendants were entitled to a refund of the pro-rated amount of their prepaid rent from the time of the fire until the end of May 2013. The defendants were entitled to the return of their security deposit of $24,060 and a refund of excess taxes paid.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3" w:name="Counsel_12"/>
      <w:bookmarkEnd w:id="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Douvelos.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Segal.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2"/>
      <w:bookmarkEnd w:id="84"/>
      <w:r>
        <w:pict>
          <v:line id="_x0000_s1089"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76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 INTRODUCTION</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4182"/>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 ISSUES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4"/>
        <w:gridCol w:w="2823"/>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 POSITIONS OF THE PARTIES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IV. THE FACTUAL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Parties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The Lease and Modifications, Assignment, and Renewal [12]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The Restaurant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The Fire and its Aftermath</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CAUSE OF THE FIRE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Evidence Regarding the Fire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Vancouver Fire Department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Weilin Chen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The Reed Report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Were the Defendants Negligent?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The Submissions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The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3. Analysis - </w:t>
            </w:r>
            <w:r>
              <w:rPr>
                <w:rFonts w:ascii="arial" w:eastAsia="arial" w:hAnsi="arial" w:cs="arial"/>
                <w:b/>
                <w:i/>
                <w:color w:val="000000"/>
                <w:sz w:val="18"/>
                <w:u w:val="single"/>
                <w:lang w:val="en-US" w:eastAsia="en-US" w:bidi="ar-SA"/>
              </w:rPr>
              <w:t>Negligence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 THE LEASE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The Law</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Analysis - Lease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COUNTERCLAIM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Rent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Security Deposit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Excess Tax Payment Refund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J.E. WATCHUK J."/>
            <w:bookmarkEnd w:id="85"/>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16, 2013, a fire destroyed the restaurant owned and operated by the defendants, and located in premises owned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 in this action is whether the defendant lessee and the defendant guarantors (collectively the defendants) are liable to pay damages in tort or contract to the plaintiff lessor for the cost to reconstruct the restaurant in the premises damaged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counterclaimed for the return of pre-paid rent, a security deposit and excess tax payments. These funds are currently held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four issues to be determined by the court: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fire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does a term of the lease impose contractual liability upon the defendants?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on either basis, what is the measure of damages that should be awarded to the plaintiff?</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return any or all of the pre-paid rent, security deposit and excess taxes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submits that the defendants did not take adequate care in maintaining the restaurant and that the chef operating the kitchen on the night of the fire neglected to turn off a stove, thereby leading to a fire which was preventable. The plaintiff also submits that particular terms of the lease place the liability for repairs on the defendants in the event of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submit that not only there is no conclusive proof that any of their employees were negligent on the night in question, but also that the totality of the evidence establishes that the fire was caused by an electrical issue, not by any action or inaction of the defendants or their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Further, the defendants submit that the plaintiff's reading of liability terms in the Lease is inconsistent with principles of contractual interpretation and should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If the defendants are found liable to the plaintiff, the defendants state that plaintiff's damages ought to be limited to the cost of those items to which it is entitled pursuant to the lease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Finally, the defendants are counterclaiming, pursuant to the terms of the lease, for the return of rent payments, tax overages, and a damage deposit that they say has not been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Helen's Grill Ltd., owns the land and building located at 36 East Broadway in Vancouver, British Columbia. The second floor of this building (the "premises") is where the fire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Yi Sheng Enterprises Ltd. ("Yi Sheng"), is a company which was assigned the lease to the premises for the purposes of operating a restaurant. The defendants, Delin Zhou and Weilin Chen, were the guarantors of Yi Sheng and were involved with the operation of the restaurant on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Lease and Modifications, Assignment, and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filed a Statement of Agreed Facts setting out the history of the lease. A summary of the agreed facts is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premises were originally leased to Ban-Do Enterprises Ltd. for a period of ten years commencing March 1, 1989, pursuant to a commercial lease agreement dated February 27, 1989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all material times, the terms of the Lease included a provision that the premises could only be used for the purpose of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three months of rent payable by the lessee to the plaintiff was abated, in a total of $10,500 CAD, to facilitate installation of the tenant/lessee's improvements, in accordance with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Effective September 30, 1992, Ban-Do Enterprises Ltd. assigned its rights and obligations under the Lease to Kum Kang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Lease was renewed for a term of five years commencing March 1, 1999 and expired on February 28, 2004 by written agreement dated January 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Effective January 30, 2003, the Lease was assigned by Kum Kang Enterprises Ltd. to Keosung Enterprises Ltd., and the Lease term was extended to February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Effective September 30, 2006, the Lease was assigned by Keosung Enterprises Ltd. to Min Ja Choi and Hye Yeon Park with a $19,600.00 security deposit provided to the plaintiff. This Lease was transferred to a partnership doing business as Choon Ha Choo Dong Korean Restaurant (the "Choon Restaurant Partnership") controlled by Dong Ryul Yoo, Min Ja Chi, and Hye Yoon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Lease was subsequently extended three more years, set to expire on February 28,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Lease was renewed by a written agreement dated January 5, 2011 for a term of three years expiring February 28, 2014. Under the terms of the renewal, the lessee was required to pay rent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Year 1 Basic Rent: $7,280.00 per month including HST &amp; Property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Year 2 Basic Rent: $7,350.00 per month including HST &amp; Property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Year 3 Basic Rent: $7,400.00 per month including HST &amp; Property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Throughout the period from the original lease in 1989 to the fire in 2013, the Lease has effectively retained the same substantive terms and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Between February 21, 1989 and May 31, 2011, the previous lessees, at their expense, made improvements to the premises for the purpose of operating their restaurants. Mr. Peter Balomenos, a director of the plaintiff, described the extensive millwork in the restaurant that included ten private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2011, the defendants purchased the restaurant operations located at the premises from the Choon Restaurant Partnership. The purchase was accomplished by entering into:</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for Sale of Goods dated May 31, 2011, between the partners of the Choon Restaurant Partnership and Yi Sheng;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Assignment and Consent to Assignment, between the Choon Restaurant Partnership, Yi Sheng, and Helen's Grill Ltd., dated for reference June 1, 2011 (the "2011 Assignment and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Pursuant to the 2011 Assignment and Consent, the Choon Restaurant Partnership assigned its rights and obligations under the Lease to the Yi Sheng, with the defendants Weilin Chen and Delin Zhou as guarantors.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Yi Sheng continued to operate a restaurant in the premises. It installed a sushi bar and carried out repairs to flooring. Yi Sheng also replaced some equipment as it became worn or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the fire, Yi Sheng operated the restaurant in accordance with the Lease and made all necessary rent payments pursuant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Fire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16, 2013, a fire occurred at the premises. The serious damage from the fire prevented the defendants from being able to continue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undertook repairs to restore the premises to a shell suitable for leasing. The repairs were not completed by February 28, 2014, the date the Lease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fire, the plaintiff and defendants began negotiating terms for a new lease to take effect after the term of the Lease expired. However, no agreement was reached. The plaintiff then leased the premises to a fitness company who now operates a fitness studio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submits that Mr. Chen, who was also a chef at the restaurant at the time of the fire, caused the fire by neglecting to turn off the stove top burner. In essence, it says that Mr. Chen leaving the burner in the "on position" was the proximate cause of the fire. The plaintiff relies on a report from Vancouver Fire and Rescue Services ("VFD") to support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rely on an expert report from a third party professional that identifies an electrical failure as the cause of the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Evidence Regarding the Fire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Vancouver Fire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relies on an internal Incident Report prepared by the VFD regarding their attendance at the scene of the fire at 9:13 a.m. on May 16, 2013. The Incident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Title LAFC 2597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 73 to 36 East Broadway, BC 3 on scene and in command with a 2 storey building, concrete block with wood framed interior walls. Restaurant on the 2nd floor, furniture store on the ground floor. Medic 2 arrived to find black smoke coming from the roof line of the 2nd storey. Restaurant owner stated that he was the last person to leave the previous night, at approximately 2240 hours, and that he shut off the gas to all appliances. The restaurant owner also stated that they did not leave the stove on over night at any time. Investigated and found a stove top burner in the on position, with a large stock pot on top. Inspected the suppression system for the stove, it did not appear to have expelled. Found heavy layers of grease build-up in the vent system above the stove. Inspected the vent from the roof, and found thick layers of grease caked on, on the inside of the vent chimney. Found a broken gas pipe, that was fuelling the fire, suspected to have been broken from the heat after the fire had started. Found many electrical boxes, approximately 10, in an area with heaving charring. Found heavy charring in a few different areas of the ceiling. This fire is undetermined at this time. Evidence suggests a possible cause, in the build up grease, in the stove vent system, due to lack of cleaning, ignited and burned, possibly for a long time, before igniting the structural members. Possible charring around electrical boxes due to short in the wires due to the heat of the fire. Extensive Fire, heat and smoke damage to restaurant and dining area. Moderate water and smoke damage to pallucci furniture on the ground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remarks in the Incident Report state that a stove top control knob was found in the "on" position with a stock pot on top of the burner. The unknown author noted heavy grease build up in the vent system and chimney above the stove. The possible cause of the fire is suggested to be that the build up of grease ignited and burned, possibly for a long time before igniting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comments are repeated in an untitled report which also appears to be from the VFD.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Weilin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Mr. Chen testified that he developed a habit in his years' experience as a chef of checking that everything in the kitchen was turned off before leaving the restaurant. Mr. Chen also testified that he normally made sure his staff put away all kitchen equipment prior to closing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Chen was not able to recall if he did turn off the stove on the night before the fire, May 12. He was unable to recall whether he had dinner at the premises before he went home that night. In cross-examination, he testified that it is possible that he did have dinner the night of the fire and then left the premises around 10:40 p.m. He could not recall if he turned on the alarm before leaving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Chen had the kitchen vent system cleaned regularly. On January 16, 2013, exhaust cleaning, including filters, fan, hood and duct, was carried out by AAA Exhaust System Cleaning Services Inc. Mr. Chen did not know of any electrical problems in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submits that the VFD Incident Report dispels Mr. Chen's evidence as to his normal practice of turning the stove off and putting away the pots and utensils. As that report indicates that the stove top burner was found in the on position with a large stock pot on top, it submits that Mr. Chen's evidence should not be believed.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Reed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report of Christopher Reed (the "Reed Report") on the cause of the fire was filed by the defendants. By agreement of counsel, Mr. Reed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Reed has 23 years experience in the field of fire investigation. He began his career as a fire fighter and continues today as a frequent lecturer and author in fire investigation and analysis. His work includes the determination of the origin and causes of fires. His education includes a Masters of Science in engineering specializing in fire; he is also a registered professional engineer in the province of British Columbia. He has been qualified by this court to give expert opinion on the origin and causes of fires in both criminal and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 issue was raised with regard to the admissibility of the Reed Report nor were Mr. Reed's qualifications challenged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Reed attended the restaurant on May 16, 2013 immediately following the fire, and again on May 17 and 18. Mr. Reed took photographs and collected physical samples from the scene of the fire. The samples when tested for flammable or combustible residue, which may indicate whether a fuel source was used, produced negative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Reed states in his report that, based on his experience, testing, and observations, the probable cause of the fire was an electrical fire originating at the north end of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Reed Report includes photos that were interpreted to determine the transit of the fire within the kitchen. These photos indicate that the fire travelled north to south, rather than originating from the area of the burner as the Incident Report suggests. The Reed Report also uses diagrams to illustrate where the most concentrated fire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Reed Report discounts the VFD Incident Report by noting that if combustible grease had caused the fire, it would have been consumed in the blaze. However, the photos show that grease is still present near the burner. Further, a grease fire would have caused damage to a number of additional pieces of equipment but these pieces of equipment were found relatively undamaged. Most notably, the stock pot on the burner was found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Reed Report further discounts in part the VFD Incident Report by challenging the assertion that fire suppression system did not activate. Mr. Reed states that four of the nozzles located within the eastern wall exhaust hood discharged a chemical extinguishing agent. The Report does however note that other nozzles did not appear to have discharged; no explanation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Reed summarizes his opinions at pages 24 and 25 of the Reed Report. I reproduce the most salient passages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fire origin at the north-most end of the kitchen is based on observations of physical damage, evaluation of received alarm and incident reports, reported activities, and understanding of fire science. The defined origin is not speculative, and would only be challenged by new information not yet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probable cause of the fire was an electrical failure. No other hypothesis could be demonstrated to be equally or more feasible than an electrical fire based on the physical observations and reported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cooking equipment, there are no cooking appliances in the area of concentrated fire damage, the owner reported shutting off the gas before leaving the building the night before, and the stock pot burner identified by the Fire Department did not have fire damage corresponding with a fire developing from under the exhaust hood.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Were the Defendants Negligent?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submissions sought to challenge the weight of the Reed Report on two main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first contends that the Reed Report is not dispositive of the cause of the fire at the restaurant. It says that the Reed Report did not have the benefit of Mr. Chen's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trial where he indicated that the premises had not had previous electrical issues. As such, it is submitted that the Reed Report is opinion evidence which advocates for a "probable" but not conclusive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From this, the plaintiffs invite the court to draw an inference from Mr. Chen's testimony in combination with what they submit is no direct evidence of the cause of the fire to find that there is enough of an evidentiary foundation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fire. The result, they say, is an inference that the unexplained fire was more likely than not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Newfoundland Light and Power Co. Ltd. v. Furlong Estate</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2005 NLCA 25</w:t>
        </w:r>
      </w:hyperlink>
      <w:r>
        <w:rPr>
          <w:rFonts w:ascii="arial" w:eastAsia="arial" w:hAnsi="arial" w:cs="arial"/>
          <w:color w:val="000000"/>
          <w:sz w:val="20"/>
          <w:lang w:val="en-US" w:eastAsia="en-US" w:bidi="ar-SA"/>
        </w:rPr>
        <w:t xml:space="preserve"> at para. 43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Supreme Court of Canada has considered situations where there is no direct evidence as to how the event which resulted in damage to the plaintiff occurred. In these situations, in the absence of another reasonable explanation for the event, the trier of fact may determine whether the evidence would permit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Historically, this option was referred to as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However, in assessing the utility of the doctrine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1998 CanLII 814</w:t>
        </w:r>
      </w:hyperlink>
      <w:r>
        <w:rPr>
          <w:rFonts w:ascii="arial" w:eastAsia="arial" w:hAnsi="arial" w:cs="arial"/>
          <w:color w:val="000000"/>
          <w:sz w:val="20"/>
          <w:lang w:val="en-US" w:eastAsia="en-US" w:bidi="ar-SA"/>
        </w:rPr>
        <w:t xml:space="preserve"> (SCC), </w:t>
      </w:r>
      <w:hyperlink r:id="rId27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speaking for the Court, Major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Whatever value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may have once provided is gone. Various attempts to apply the so-called doctrine have been more confusing than helpful. Its use has been restricted to cases where the facts permitted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was no other reasonable explanation for the accident. Given its limited use it is somewhat meaningless to refer to that use as a doctrine of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w:t>
      </w:r>
      <w:r>
        <w:rPr>
          <w:rFonts w:ascii="arial" w:eastAsia="arial" w:hAnsi="arial" w:cs="arial"/>
          <w:color w:val="000000"/>
          <w:sz w:val="20"/>
          <w:u w:val="single"/>
          <w:lang w:val="en-US" w:eastAsia="en-US" w:bidi="ar-SA"/>
        </w:rPr>
        <w:t xml:space="preserve">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against the defendant. Once the plaintiff has done so, the defendant must present evidence negating that of the plaintiff or necessarily the plaintiff will succeed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submit that there is no evidentiary basis upon which to hold them negligent for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contend that the VFD Incident Report is inadmissible as hearsay as the author of the Incident Report was not identified or before the court, nor were the unknown author's qualifications. Further, the Incident Report indicated that the fire originated near the "on position" burner, something the Reed Report contests on a basis that should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maintain that the Reed Report, in conjunction with the testimony of Mr. Chen speaking to the cleaning and maintenance habits of the restaurant staff, establish that the defendants were not negligent.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set out by Chief Justice McLachlin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necessary for the plaintiff to establish:</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a duty of care;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behaviour breached the standard of care;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sustained damage as a result of the breach;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 was caused, in fact and in law, by the defendant's breach.</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Analysis -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was not in issue that a duty of care was owed to the plaintiff by Yi Sheng as a tenant/lessee.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there are two issues which I find to be fatal to the plaintiff's contention that the defendants did not meet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First, the plaintiff did not provide submissions on what the appropriate standard of care was for the defendants. I have inferred from their submissions that leaving a stove on when no one is present in the restaurant and not regularly cleaning kitchen vents, such that grease builds up, are breaches of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While common sense may dictate that a reasonable person would avoid these behaviours, there was no evidence that these actions by themselves or together are sufficient to breach the defendants' standard of care. Evidence about the standards and practices of restaurants and/or jurisprudence dealing with these matters would be necessary to found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Secondly, the totality of the evidence indicates that the defendants did meet their standard of care for cleaning prior to the fire. Mr. Chen adduced testimony about regular cleaning and maintenance of the vents in the kitchen, including a cleaning four months prior to the fire. The plaintiff did not prove that more cleanings or different cleaning methods were preferable to what the defendants carried out, or that there was any other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Most importantly, I find that the Reed Report is to be preferred over the Incident Report as it pertains to the cause of the fire on the premises. The Reed Report is thorough and many of the observations of the Incident Report support the opinion and conclusions drawn in the Reed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Reed Report states that the probable cause of the fire was an electrical failure. I accept this expert evidence as establishing on a balance of probabilities the cause of the fire. No evidence was adduced to show that the defendants' acts or omissions caused or contributed to the electrical fire that damaged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has invited the court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fact that the cause of the electrical fire is unknown and therefore must have been occasioned by the acts or omissions of the defendants. I find no basis upon which to do so. The plaintiff has not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that any negative inference against the defendants can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Nothing turns on the questionable admissibility of the Incident Report as I would have drawn the same conclusion regarding the cause of the fire without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sum, there is no evidentiary or legal basis on which to find the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fire.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advances a second cause of action in contract relying on the following term of the Lease as determinative of the defendants'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will comply promptly at his own expense with all laws, ordinances, regulations, requirements and recommendations of any and all Dominion, Provincial, Civil, Municipal and other authorities, or Association of Fire Insurance Underwriters or Agents and all notices in pursuance of same whether served upon the Lessor or the Lessee, and will indemnify and save harmless the Lessor from and against all and all manner of actions or causes of action, damages, loss, costs or expenses, which he may sustain, incur or be put to by reason of any neglect of same or noncompliance therewith or by reason of any defect, deficiency, disrepair, depreciation, damage or change in or to the premises, or any injury or damage to any person or to any goods and chattels contained in, upon or about the premises, however caused;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"Compliance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submits that this term in the Lease, particularly the words "however caused", unequivocally imparts liability on the defendants to indemnify it for all damage regardless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contrast, the defendants take issue with this reading of the term, submitting that it acts as a strict liability clause where one is not so intended. The defendants further point to other terms in the contract to indicate that the plaintiff's reading is not sustainable.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Grant v. Lowres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2018 BCCA 311</w:t>
        </w:r>
      </w:hyperlink>
      <w:r>
        <w:rPr>
          <w:rFonts w:ascii="arial" w:eastAsia="arial" w:hAnsi="arial" w:cs="arial"/>
          <w:color w:val="000000"/>
          <w:sz w:val="20"/>
          <w:lang w:val="en-US" w:eastAsia="en-US" w:bidi="ar-SA"/>
        </w:rPr>
        <w:t xml:space="preserve"> recently re-summarized the general principles of contractual interpretation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Contractual interpretation generally involves discerning "the intent of the parties and the scope of their understanding" by "read[ing] the contract as a whole, giving the words used their ordinary and grammatical meaning, consistent with the surrounding circumstances known to the parties at the time of formation of the contract": </w:t>
      </w:r>
      <w:r>
        <w:rPr>
          <w:rFonts w:ascii="arial" w:eastAsia="arial" w:hAnsi="arial" w:cs="arial"/>
          <w:i/>
          <w:color w:val="000000"/>
          <w:sz w:val="20"/>
          <w:lang w:val="en-US" w:eastAsia="en-US" w:bidi="ar-SA"/>
        </w:rPr>
        <w:t>Creston Moly Corp. v. Sattva Capital Corp.</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at para. 47.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the Supreme Court of Canada explained the manner and extent to which surrounding circumstances may inform contractual interpretation: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w:t>
      </w:r>
      <w:r>
        <w:rPr>
          <w:rFonts w:ascii="arial" w:eastAsia="arial" w:hAnsi="arial" w:cs="arial"/>
          <w:color w:val="000000"/>
          <w:sz w:val="20"/>
          <w:u w:val="single"/>
          <w:lang w:val="en-US" w:eastAsia="en-US" w:bidi="ar-SA"/>
        </w:rPr>
        <w:t>While the surrounding circumstances will be considered in interpreting the terms of a contract, they must never be allowed to overwhelm the words of that agreement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Hayes Forest Services Ltd. v. Weyerhaeuser Co. Ltd.</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2008 BCCA 31</w:t>
        </w:r>
      </w:hyperlink>
      <w:r>
        <w:rPr>
          <w:rFonts w:ascii="arial" w:eastAsia="arial" w:hAnsi="arial" w:cs="arial"/>
          <w:color w:val="000000"/>
          <w:sz w:val="20"/>
          <w:lang w:val="en-US" w:eastAsia="en-US" w:bidi="ar-SA"/>
        </w:rPr>
        <w:t xml:space="preserve">, at para. 14; and Hall [Geoff R. Hall, Canadian Contractual Interpretation Law, 2nd ed. (Markham, Ont.: LexisNexis, 2012), at p. 30). The goal of examining such evidence is to deepen a decision-maker's understanding of the mutual and objective intentions of the parties as expressed in the words of the contract. </w:t>
      </w:r>
      <w:r>
        <w:rPr>
          <w:rFonts w:ascii="arial" w:eastAsia="arial" w:hAnsi="arial" w:cs="arial"/>
          <w:color w:val="000000"/>
          <w:sz w:val="20"/>
          <w:u w:val="single"/>
          <w:lang w:val="en-US" w:eastAsia="en-US" w:bidi="ar-SA"/>
        </w:rPr>
        <w:t>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(1997), 101 B.C.A.C. 62</w:t>
        </w:r>
      </w:hyperlink>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Alston Properties Ltd. v. Sitka Surfboard Corp</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2015 BCSC 2374</w:t>
        </w:r>
      </w:hyperlink>
      <w:r>
        <w:rPr>
          <w:rFonts w:ascii="arial" w:eastAsia="arial" w:hAnsi="arial" w:cs="arial"/>
          <w:color w:val="000000"/>
          <w:sz w:val="20"/>
          <w:lang w:val="en-US" w:eastAsia="en-US" w:bidi="ar-SA"/>
        </w:rPr>
        <w:t xml:space="preserve">, Madam Justice Gropper in her evaluation of a lease cited </w:t>
      </w:r>
      <w:r>
        <w:rPr>
          <w:rFonts w:ascii="arial" w:eastAsia="arial" w:hAnsi="arial" w:cs="arial"/>
          <w:i/>
          <w:color w:val="000000"/>
          <w:sz w:val="20"/>
          <w:lang w:val="en-US" w:eastAsia="en-US" w:bidi="ar-SA"/>
        </w:rPr>
        <w:t>Athwal v. Black Top Caps Ltd</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2012 BCCA 107</w:t>
        </w:r>
      </w:hyperlink>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overriding objective in interpreting any contract is set out in para. 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[42] The contractual intent of parties to a written contract is objectively determined by construing the plain and ordinary meaning of the words of the contract in the context of the contract as a whole and the surrounding circumstances (or factual matrix) that existed at the time the contract was made, unless to do so would result in an absurdity. Where the language of a contract is not ambiguous (that is, when viewed objectively it raises only one reasonable interpretation), the words of the written contract are presumed to reflect the parties' intention. An interpretation that renders one or more of the contract's provisions ineffective will be rejected.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Analysis -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noted that the Lease remains largely in the form in which it was first signed in 1989. While the form and language are dated, the lessor has not made a change for almost thirty years. However, I find that nothing turns on a misinterpretation of the Lease due to its age; the language used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Upon consideration of the entirety of the Lease, I find no support for the proposition that the Compliance Covenant serves to make the defendants liable for the damage caused by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its face the Compliance Covenant clearly states that, should the lessee fail to meet its various obligations in relation to laws, regulations, ordinances, or other like legal requirements by means of neglect or failure to comply, they must indemnify the lessor for any form of damages caused. Otherwise stated, a failure by the defendants pursuant to these obligations must precede a finding of liability under the Compliance Covenant. The plaintiff's submissions do not take into account the "preamble" or context of the Compliance Covenant and do not lead to a harmonious reading of the term. On its own, the Compliance Covenant does not impart liability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MacKay v. Scott Packing and Warehousing Co. (Canada) Ltd.</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[1996] 2 F.C. 36</w:t>
        </w:r>
      </w:hyperlink>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60 A.C.W.S. (3d) 71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Borg-Warner Acceptance Canada Ltd., v. Wyonzek</w:t>
      </w:r>
      <w:r>
        <w:rPr>
          <w:rFonts w:ascii="arial" w:eastAsia="arial" w:hAnsi="arial" w:cs="arial"/>
          <w:color w:val="000000"/>
          <w:sz w:val="20"/>
          <w:lang w:val="en-US" w:eastAsia="en-US" w:bidi="ar-SA"/>
        </w:rPr>
        <w:t xml:space="preserve">, 1981 CanLII 2480, </w:t>
      </w:r>
      <w:hyperlink r:id="rId285" w:history="1">
        <w:r>
          <w:rPr>
            <w:rFonts w:ascii="arial" w:eastAsia="arial" w:hAnsi="arial" w:cs="arial"/>
            <w:i/>
            <w:color w:val="0077CC"/>
            <w:sz w:val="20"/>
            <w:u w:val="single"/>
            <w:shd w:val="clear" w:color="auto" w:fill="FFFFFF"/>
            <w:lang w:val="en-US" w:eastAsia="en-US" w:bidi="ar-SA"/>
          </w:rPr>
          <w:t>122 D.L.R. (3d) 737</w:t>
        </w:r>
      </w:hyperlink>
      <w:r>
        <w:rPr>
          <w:rFonts w:ascii="arial" w:eastAsia="arial" w:hAnsi="arial" w:cs="arial"/>
          <w:color w:val="000000"/>
          <w:sz w:val="20"/>
          <w:lang w:val="en-US" w:eastAsia="en-US" w:bidi="ar-SA"/>
        </w:rPr>
        <w:t xml:space="preserve"> (S.K. Q.B.), and </w:t>
      </w:r>
      <w:r>
        <w:rPr>
          <w:rFonts w:ascii="arial" w:eastAsia="arial" w:hAnsi="arial" w:cs="arial"/>
          <w:i/>
          <w:color w:val="000000"/>
          <w:sz w:val="20"/>
          <w:lang w:val="en-US" w:eastAsia="en-US" w:bidi="ar-SA"/>
        </w:rPr>
        <w:t>I.C.B.C. v. Pohl's Bakery &amp; Pastry</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2006 BCCA 51</w:t>
        </w:r>
      </w:hyperlink>
      <w:r>
        <w:rPr>
          <w:rFonts w:ascii="arial" w:eastAsia="arial" w:hAnsi="arial" w:cs="arial"/>
          <w:color w:val="000000"/>
          <w:sz w:val="20"/>
          <w:lang w:val="en-US" w:eastAsia="en-US" w:bidi="ar-SA"/>
        </w:rPr>
        <w:t xml:space="preserve"> to support the proposition that the term "howsoever caused" is clear and unambiguous and makes Yi Sheng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cannot agree that these cases stand for the propositions relied upon by the plaintiff. The jurisprudence repeatedly states that each term of a contract must be read on its own and in relation to the rest of the contract. While the phrase "howsoever caused", or as is the case here "however caused", is often meant to be all encompassing, its mere presence in one term is not sufficient to create liability, especially as here when this Compliance Covenant creates a narrower scope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Finally, as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 evidence of a failure to warn, or any evidence of a failure to comply with any obligations under the Compliance Covenant, there is no factual basis or legal basis upon which to make the defendants liable for the damages caused by the fire pursuant 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interpretation of the Compliance Covenant is consistent with an appropriate interpretation of the Lease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highlight the following terms of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lessee's covenant to repair terms exclude damage caused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fire: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THE SAID LESSEE COVENANTS WITH THE SAID LESSOR: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to repair, reasonable wear and tear and damage by fire, lightning, tempest and earthquake excepted; AND to give to the Lessor or his agent immediate notice of any defect in water, gas or other pipes or fixtures, heating apparatus, elevator, hoist, machinery or telephone, electric or other wires or fixtures;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 the Lessor may enter and view state of repair and that the Lessee will repair according to notice, to repair, reasonable wear and tear and damage by fire, lightning, tempest and earthquake excepted;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 the Lessee will leave the premises in good repair, reasonable wear and tear and damage by fire, lightning, tempest and earthquake excepted;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this they state that the plaintiff's interpretation would render these terms of the Lease meaningless, as the plaintiff's interpretation of the Compliance Covenant would serve to override any of the terms dealing with normal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agree with this interpretation of the Lease terms. It is clear and unambiguous that the lessee has an obligation to repair that which is occasioned in the normal course of business. The various repair terms all exclude liability for natural disasters or events out of the lessee's control such as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comparison, the Compliance Covenant is designed to foist liability on a lessee that fails to meet its listed responsibilities. In the event they do so, the lessor is given a mechanism to recuperate costs incurred by the lessee's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act. The repair terms and the Compliance Covenant are not ambiguous, nor do they contradict one another when read in accordance with their plain meaning and in relation to the Lease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Compliance Covenant cannot be interpreted as the plaintiff submits. On the application of the fundamental principles of contract interpretation, the plaintiff's interpretation of the Compliance Convent is inconsistent when the term is read as a whole and together with the Lease as a whole. The defendants' obligation to repair is governed not by the compliance covenant but rather by the covenant to repair which excludes damage caused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Consequently, the plaintiff's claim in contract fails,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found above that the plaintiff has not proven that the defendants were negligent. Further, the defendants are not liable to the plaintiff on the basis of the Lease or in relation to the Compliance Covenant for the damage caused by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As the defendants are not liable to the plaintiff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contract, the defendants are not liable for damages to the plaintiff in any amount. It is therefore not necessary to deal with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COUNTERCLAIM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May 1, 2013, Yi Sheng paid $7,200 dollars on account of rent to the plaintiff under the terms of the Lease for use of the premises throughout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Lease includes a term regarding what occurs in the event of a fire. This term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case the premises or any part thereof shall at any time during the said term be burned down or damaged by fire so as to render the same unfit for the purpose of the Lessee, the rent hereby reserved or a proportionate part thereof according to the nature and extent of the damage sustained, shall be suspended and abated until the premises shall have been rebuilt or made fit of the purpose of the Lessee, or at the option of the Lessor the said term shall in such case forthwith come to an end, and the Lessee shall cease to be held liable for payment of rent except such rent as shall have already accrued due, and shall be entitled to be repaid any rent paid in advance for the balance of the period so paid for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agrees that it has not refunded to the defendants the pro-rated amount of their prepaid rent from the time of the fire until the end of May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Security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paid a security deposit of $24,060.00 when they acquired the Lease pursuant to the following term in the 2011 Assignment and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6(i), As of the Effective Date of this Assignment, the sum of $5,000.00 is held by the Landlord as a security deposit under the Lease and the Landlord acknowledges that this security deposit has been assigned by the Assignor to the Assignee and the Landlord shall continue to hold the same to the credit of the Assignee. The Assignee shall pay the Landlord an additional $19,060.00 to bring the total security deposit under the Lease to $24,060.00.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agrees that it has not returned the security deposit to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Excess Tax Payment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terms of the Lease required the defendants to pay the plaintiff 12% HST on the rent due each month. HST was paid for the months of April and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April 1, 2013, the Government of British Columbia replaced the HST and reverted to the previous combined Provincial Sales Tax and Goods and Services Tax system. From April 1, 2013 onwards, only PST remained applicable to commercial leasing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has not refunded the 5% difference between the HST and PST tax payments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response to these three claims, the plaintiff made the submission that they ought to be set off against amounts found owing to them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no term in the Lease or the 2011 Assignment and Consent that allows the plaintiff to retain these moneys in the absence of a breach by the defendants. As I have found that the defendants were not negligent and not liable to pay the plaintiffs under the Lease, the plaintiff must now return the pro-rated rent for the month of May 2013, the damage deposit, and the excess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counterclaim is therefore allowed in the total of the amounts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summary, I dismiss the plaintiff's claims in their entirety and allow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Unless there are matters that counsel wish to bring to my attention, the defendants are entitled to costs on Scale B. If either party seeks a different cost result they should file written submissions within 30 days of the release of these reasons. Any response submissions are to be filed within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Hewko (guardian ad litem of) v. British Columbia, [2006] B.C.J. No. 2877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3 - 7, 10 - 13, 18 - 21 and 19 - 21;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11 - 12, 15 - 19 and 30 - 31; June 1 - 2 and 5 -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July 24 - 28; and August 1 and 8 - 11,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September 7 &amp;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L042181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2006 BCSC 1638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148 C.R.R. (2d) 100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153 A.C.W.S. (3d) 367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Darren Hewko, an infant, by his guardian ad litem, Shirley Hewko, and the said Shirley Hewko in her personal capacity, Plaintiffs, and Her Majesty the Queen in Right of the Province of British Columbia as represented by the Attorney General of British Columbia and the Board of School Trustees of School District #34 (Abbotsford),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 xml:space="preserve">Administrative law — Education law — School boards — Action by mother and her nine-year-old autistic son against School District and Province for discrimination on basis of son's autism,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duties under School Act — School District refused to integrate son's successful home-based therapy into classroom — School lost instructional control over son — Action allowed in part — School District breached its statutory duty to meaningfully consult with parents about son's education placement and program — Action against Province dismissed — No legal right to performance of a legal duty imposed by statute upon Province.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Constitutional law — Canadian Charter of Rights and Freedoms — Equality rights — Discrimination, what constitutes —  — Action by mother and her nine-year-old autistic son against School District and Province for discrimination on basis of son's autism,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duties under School Act — School District refused to integrate son's successful home-based therapy into classroom — School lost instructional control over son — Action allowed in part — No breach of s. 15 of Charter established — Facts of this case did not approach threshold of discrimination against son on basis of physical disability or any other criterion — Infrastructure gap in education system no basis for Charter breach.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the Crown — Breach of statutory duty — Action by mother and her nine-year-old autistic son against School District and Province for discrimination on basis of son's autism,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duties under School Act — School District refused to integrate son's successful home-based therapy into classroom — School lost instructional control over son — Action allowed in part — School District breached its statutory duty to meaningfully consult with parents about son's education placement and program — Action against Province dismissed — No legal right to performance of a legal duty imposed by statute upon Province.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0"/>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mother and her nine-year-old autistic son against School District and Province for discrimination on basis of son's autism,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duties under School Act -- Son began school in 2000 and had effective Applied Behaviour Analysis-Intensive Behaviourial Intervention (ABA) therapy home program by March 2002 -- Home-based very effective -- School District provided son with teaching assistant with no knowledge or experience of autism or ABA therapy -- By end of son's Kindergarten year, he was removed from school as he was hopelessly out of instructional control -- Son attended elementary school and placed in resource room with special education teacher with no training in ABA -- School realized that teacher assigned to son could not obtain instructional control of son -- Instructional control was possible if home program and consistent ABA therapy used -- Parents unable to persuade District to allow son's home-based therapist or some one trained in his home-based therapy to act as son's teaching assistant at school -- Parents removed son from public school -- Evidence overwhelming that all effective teaching programs for children with autism were based on some form of ABA methodology -- In 2002-2003 there were too few teachers or teaching assistants with training in ABA -- HELD: Action allowed in part -- School district breached its statutory duty to meaningfully consult with parents about son's education placement and program -- District ordered to carry out procedural and substantive aspects of its consultation obligations -- Action against Province dismissed -- Evolving resistance on the part of school and School Board to listen to parents and accommodate son's home program despite repeated failure of Board's resources to enable son to access an education -- Communication between home and school floundered in that consistency in handling son's behaviours as well as learning was not maintained -- No relief against Province was available -- Minister's Manual respecting special education programmes and funding was of administrative rather than legislative nature -- Manual was a policy -- No legal right to performance of a legal duty imposed by statute upon Province -- No recourse existed for plaintiffs with respect to any injury they may have suffered as a result of the Province not adhering to its own policy or failing to implement its own policy rapidly or effectively enough -- Facts of this case did not approach threshold of discrimination against son on basis of physical disability or any other criterion -- Infrastructure gap in education system no basis for Charter breach -- Parents had right and responsibility to participate in process of determining educational goals, policies and services provided for son -- Given District's knowledge about failure to get or maintain instructional control of son by teaching assistants provided and the demonstrated instructional control by the home-based therapist when in the classroom as well as at home, District should have considered whether accommodation could be made to hire one home-based therapist so that District would have necessary control of the classroom pursuant to School Act -- No questions or concerns by way of feedback were raised about therapists credentials, the home-based program or anything else - District's resistance to any inclusion of home-based program and therapist into classroom was an abdication of its responsibility to provide son reasonable access to an education -- Reasonable accommodation was integral part of duty to consult -- Duty to consult and accommodate was not fulfilled by assigning son to a resource room with untrained teaching staff -- School Board failed to discharge consultation obligation by failing to ensure that parents' representations were seriously considered and, wherever reasonably possible, demonstrably integrated into proposed plan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10"/>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Environment Act, R.S.C., c. 14 (2nd supp), s.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Environmental Assessment and Review Process Guidelines Order, S.O.R./84-467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295" w:history="1">
        <w:r>
          <w:rPr>
            <w:rFonts w:ascii="arial" w:eastAsia="arial" w:hAnsi="arial" w:cs="arial"/>
            <w:i/>
            <w:color w:val="0077CC"/>
            <w:sz w:val="20"/>
            <w:u w:val="single"/>
            <w:shd w:val="clear" w:color="auto" w:fill="FFFFFF"/>
            <w:lang w:val="en-US" w:eastAsia="en-US" w:bidi="ar-SA"/>
          </w:rPr>
          <w:t>R.S.B.C. 1996, c. 238, s. 2</w:t>
        </w:r>
      </w:hyperlink>
      <w:r>
        <w:rPr>
          <w:rFonts w:ascii="arial" w:eastAsia="arial" w:hAnsi="arial" w:cs="arial"/>
          <w:color w:val="000000"/>
          <w:sz w:val="20"/>
          <w:lang w:val="en-US" w:eastAsia="en-US" w:bidi="ar-SA"/>
        </w:rPr>
        <w:t>, s. 2,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Immigration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296" w:history="1">
        <w:r>
          <w:rPr>
            <w:rFonts w:ascii="arial" w:eastAsia="arial" w:hAnsi="arial" w:cs="arial"/>
            <w:i/>
            <w:color w:val="0077CC"/>
            <w:sz w:val="20"/>
            <w:u w:val="single"/>
            <w:shd w:val="clear" w:color="auto" w:fill="FFFFFF"/>
            <w:lang w:val="en-US" w:eastAsia="en-US" w:bidi="ar-SA"/>
          </w:rPr>
          <w:t>R.S.B.C. 1996, c. 412, s. 1</w:t>
        </w:r>
      </w:hyperlink>
      <w:r>
        <w:rPr>
          <w:rFonts w:ascii="arial" w:eastAsia="arial" w:hAnsi="arial" w:cs="arial"/>
          <w:color w:val="000000"/>
          <w:sz w:val="20"/>
          <w:lang w:val="en-US" w:eastAsia="en-US" w:bidi="ar-SA"/>
        </w:rPr>
        <w:t>, s. 1(1), s. 2(1), s. 4, s. 7, s. 7(1), s. 7(2), s. 11, s. 11(2), s. 11(6), s. 17, s. 18, s. 75(1), s. 75(4), s. 75(6), s. 75(7), s. 82, s. 85, s. 88(1), s. 106.2, s. 114, s. 115, s. 168, s. 169, s. 169(1), s. 169(3), s. 175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3"/>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C.E. Hinkson, Q.C., Birgitta von Krosigk and Sarah L. Swan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British Columbia: J.E. Gouge, Q.C. and Tara Callan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School District #34 (Abbotsford): L.N. Bakan, David Bell and Abeer Hasan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3"/>
      <w:bookmarkEnd w:id="90"/>
      <w:r>
        <w:pict>
          <v:line id="_x0000_s1094" style="position:absolute;z-index:2518251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November 9, 2006 and January 22, 2007; the corrections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Page</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63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INTRODUCTION 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BACKGROUND 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The Auton Case 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FACTS 12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Darren Hewko's Early Years 12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Darren's ABA Intervention Program 16</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Required Training on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Darren's Protocol</w:t>
            </w:r>
            <w:r>
              <w:rPr>
                <w:rFonts w:ascii="arial" w:eastAsia="arial" w:hAnsi="arial" w:cs="arial"/>
                <w:b/>
                <w:color w:val="000000"/>
                <w:sz w:val="18"/>
                <w:lang w:val="en-US" w:eastAsia="en-US" w:bidi="ar-SA"/>
              </w:rPr>
              <w:t xml:space="preserve"> 17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Reading &amp; Writing Curriculum</w:t>
            </w:r>
            <w:r>
              <w:rPr>
                <w:rFonts w:ascii="arial" w:eastAsia="arial" w:hAnsi="arial" w:cs="arial"/>
                <w:b/>
                <w:color w:val="000000"/>
                <w:sz w:val="18"/>
                <w:lang w:val="en-US" w:eastAsia="en-US" w:bidi="ar-SA"/>
              </w:rPr>
              <w:t xml:space="preserve"> 19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Need for a Modified Curriculum</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at School</w:t>
            </w:r>
            <w:r>
              <w:rPr>
                <w:rFonts w:ascii="arial" w:eastAsia="arial" w:hAnsi="arial" w:cs="arial"/>
                <w:b/>
                <w:color w:val="000000"/>
                <w:sz w:val="18"/>
                <w:lang w:val="en-US" w:eastAsia="en-US" w:bidi="ar-SA"/>
              </w:rPr>
              <w:t xml:space="preserve"> 20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The Need for Consistency</w:t>
            </w:r>
            <w:r>
              <w:rPr>
                <w:rFonts w:ascii="arial" w:eastAsia="arial" w:hAnsi="arial" w:cs="arial"/>
                <w:b/>
                <w:color w:val="000000"/>
                <w:sz w:val="18"/>
                <w:lang w:val="en-US" w:eastAsia="en-US" w:bidi="ar-SA"/>
              </w:rPr>
              <w:t xml:space="preserve"> 21</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The 2002/2003 School Year 22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Darren's Progress at the Time of Trial 67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LEGAL ANALYSIS 73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Appeal under Section 11 of the </w:t>
            </w:r>
            <w:r>
              <w:rPr>
                <w:rFonts w:ascii="arial" w:eastAsia="arial" w:hAnsi="arial" w:cs="arial"/>
                <w:b/>
                <w:i/>
                <w:color w:val="000000"/>
                <w:sz w:val="18"/>
                <w:lang w:val="en-US" w:eastAsia="en-US" w:bidi="ar-SA"/>
              </w:rPr>
              <w:t>School</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Act</w:t>
            </w:r>
            <w:r>
              <w:rPr>
                <w:rFonts w:ascii="arial" w:eastAsia="arial" w:hAnsi="arial" w:cs="arial"/>
                <w:b/>
                <w:color w:val="000000"/>
                <w:sz w:val="18"/>
                <w:lang w:val="en-US" w:eastAsia="en-US" w:bidi="ar-SA"/>
              </w:rPr>
              <w:t xml:space="preserve"> 73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Statutory Duties of the School Board and</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the Ministry of Education 77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Statutory Framework and Policy</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pertaining to the Provision of</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Education and Special Education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in British Columbia?</w:t>
            </w:r>
            <w:r>
              <w:rPr>
                <w:rFonts w:ascii="arial" w:eastAsia="arial" w:hAnsi="arial" w:cs="arial"/>
                <w:b/>
                <w:color w:val="000000"/>
                <w:sz w:val="18"/>
                <w:lang w:val="en-US" w:eastAsia="en-US" w:bidi="ar-SA"/>
              </w:rPr>
              <w:t xml:space="preserve"> 77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Is ABA-IBA therapy as an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educational tool novel and</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emergent?</w:t>
            </w:r>
            <w:r>
              <w:rPr>
                <w:rFonts w:ascii="arial" w:eastAsia="arial" w:hAnsi="arial" w:cs="arial"/>
                <w:b/>
                <w:color w:val="000000"/>
                <w:sz w:val="18"/>
                <w:lang w:val="en-US" w:eastAsia="en-US" w:bidi="ar-SA"/>
              </w:rPr>
              <w:t xml:space="preserve"> 84</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Breach of Statutory Duty by the Province? 87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Recourse for the Breach of a</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Statutory Duty</w:t>
            </w:r>
            <w:r>
              <w:rPr>
                <w:rFonts w:ascii="arial" w:eastAsia="arial" w:hAnsi="arial" w:cs="arial"/>
                <w:b/>
                <w:color w:val="000000"/>
                <w:sz w:val="18"/>
                <w:lang w:val="en-US" w:eastAsia="en-US" w:bidi="ar-SA"/>
              </w:rPr>
              <w:t xml:space="preserve"> 88</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Duty of Fairness in the</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Application of Policy</w:t>
            </w:r>
            <w:r>
              <w:rPr>
                <w:rFonts w:ascii="arial" w:eastAsia="arial" w:hAnsi="arial" w:cs="arial"/>
                <w:b/>
                <w:color w:val="000000"/>
                <w:sz w:val="18"/>
                <w:lang w:val="en-US" w:eastAsia="en-US" w:bidi="ar-SA"/>
              </w:rPr>
              <w:t xml:space="preserve"> 89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The Distinction between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Acts/Regulations and</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Policies/Programmes</w:t>
            </w:r>
            <w:r>
              <w:rPr>
                <w:rFonts w:ascii="arial" w:eastAsia="arial" w:hAnsi="arial" w:cs="arial"/>
                <w:b/>
                <w:color w:val="000000"/>
                <w:sz w:val="18"/>
                <w:lang w:val="en-US" w:eastAsia="en-US" w:bidi="ar-SA"/>
              </w:rPr>
              <w:t xml:space="preserve"> 89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Section 2 of the Interpretation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Act</w:t>
            </w:r>
            <w:r>
              <w:rPr>
                <w:rFonts w:ascii="arial" w:eastAsia="arial" w:hAnsi="arial" w:cs="arial"/>
                <w:b/>
                <w:color w:val="000000"/>
                <w:sz w:val="18"/>
                <w:lang w:val="en-US" w:eastAsia="en-US" w:bidi="ar-SA"/>
              </w:rPr>
              <w:t xml:space="preserve"> 90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Is the Policy of an</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Administrative or Legislative</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Nature?</w:t>
            </w:r>
            <w:r>
              <w:rPr>
                <w:rFonts w:ascii="arial" w:eastAsia="arial" w:hAnsi="arial" w:cs="arial"/>
                <w:b/>
                <w:color w:val="000000"/>
                <w:sz w:val="18"/>
                <w:lang w:val="en-US" w:eastAsia="en-US" w:bidi="ar-SA"/>
              </w:rPr>
              <w:t xml:space="preserve"> 90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BC Order in Council 1280/89</w:t>
            </w:r>
            <w:r>
              <w:rPr>
                <w:rFonts w:ascii="arial" w:eastAsia="arial" w:hAnsi="arial" w:cs="arial"/>
                <w:b/>
                <w:color w:val="000000"/>
                <w:sz w:val="18"/>
                <w:lang w:val="en-US" w:eastAsia="en-US" w:bidi="ar-SA"/>
              </w:rPr>
              <w:t xml:space="preserve"> 93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Discrimination contrary to s. 15 of the</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Charter of Rights and Freedoms</w:t>
            </w:r>
            <w:r>
              <w:rPr>
                <w:rFonts w:ascii="arial" w:eastAsia="arial" w:hAnsi="arial" w:cs="arial"/>
                <w:b/>
                <w:color w:val="000000"/>
                <w:sz w:val="18"/>
                <w:lang w:val="en-US" w:eastAsia="en-US" w:bidi="ar-SA"/>
              </w:rPr>
              <w:t xml:space="preserve"> 94</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Equality Law - Legal</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Principles</w:t>
            </w:r>
            <w:r>
              <w:rPr>
                <w:rFonts w:ascii="arial" w:eastAsia="arial" w:hAnsi="arial" w:cs="arial"/>
                <w:b/>
                <w:color w:val="000000"/>
                <w:sz w:val="18"/>
                <w:lang w:val="en-US" w:eastAsia="en-US" w:bidi="ar-SA"/>
              </w:rPr>
              <w:t xml:space="preserve"> 96</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Section 7 of the Charter</w:t>
            </w:r>
            <w:r>
              <w:rPr>
                <w:rFonts w:ascii="arial" w:eastAsia="arial" w:hAnsi="arial" w:cs="arial"/>
                <w:b/>
                <w:color w:val="000000"/>
                <w:sz w:val="18"/>
                <w:lang w:val="en-US" w:eastAsia="en-US" w:bidi="ar-SA"/>
              </w:rPr>
              <w:t xml:space="preserve"> 101</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Statutory Duties of the District 101</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Duty to Consult</w:t>
            </w:r>
            <w:r>
              <w:rPr>
                <w:rFonts w:ascii="arial" w:eastAsia="arial" w:hAnsi="arial" w:cs="arial"/>
                <w:b/>
                <w:color w:val="000000"/>
                <w:sz w:val="18"/>
                <w:lang w:val="en-US" w:eastAsia="en-US" w:bidi="ar-SA"/>
              </w:rPr>
              <w:t xml:space="preserve"> 101</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Legal Parameters of the Duty to</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Consult under the School Act</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 xml:space="preserve">and </w:t>
            </w:r>
            <w:r>
              <w:rPr>
                <w:rFonts w:ascii="arial" w:eastAsia="arial" w:hAnsi="arial" w:cs="arial"/>
                <w:b/>
                <w:i/>
                <w:color w:val="000000"/>
                <w:sz w:val="18"/>
                <w:lang w:val="en-US" w:eastAsia="en-US" w:bidi="ar-SA"/>
              </w:rPr>
              <w:t>Regulations</w:t>
            </w:r>
            <w:r>
              <w:rPr>
                <w:rFonts w:ascii="arial" w:eastAsia="arial" w:hAnsi="arial" w:cs="arial"/>
                <w:b/>
                <w:color w:val="000000"/>
                <w:sz w:val="18"/>
                <w:lang w:val="en-US" w:eastAsia="en-US" w:bidi="ar-SA"/>
              </w:rPr>
              <w:t xml:space="preserve"> 103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Breach of the School District's</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Statutory Duties? 107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i/>
                <w:color w:val="000000"/>
                <w:sz w:val="18"/>
                <w:lang w:val="en-US" w:eastAsia="en-US" w:bidi="ar-SA"/>
              </w:rPr>
              <w:t>Consultation</w:t>
            </w:r>
            <w:r>
              <w:rPr>
                <w:rFonts w:ascii="arial" w:eastAsia="arial" w:hAnsi="arial" w:cs="arial"/>
                <w:b/>
                <w:color w:val="000000"/>
                <w:sz w:val="18"/>
                <w:lang w:val="en-US" w:eastAsia="en-US" w:bidi="ar-SA"/>
              </w:rPr>
              <w:t xml:space="preserve"> 107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Educational Malpractice or </w:t>
            </w:r>
            <w:r>
              <w:rPr>
                <w:rFonts w:ascii="arial" w:eastAsia="arial" w:hAnsi="arial" w:cs="arial"/>
                <w:b/>
                <w:i/>
                <w:color w:val="000000"/>
                <w:sz w:val="18"/>
                <w:u w:val="single"/>
                <w:lang w:val="en-US" w:eastAsia="en-US" w:bidi="ar-SA"/>
              </w:rPr>
              <w:t>Negligence</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Claim 112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47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SUMMARY 114</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KOENIGSBERG J."/>
            <w:bookmarkEnd w:id="91"/>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young boy with autism and how his school district responded to his disability and his resulting need for accommodation in order to access a public education. This case also examines the role of the Ministry of Education in ensuring such access for children with autism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Darren Hewko is a nine year old boy who was diagnosed at age three with autism and a measured intellectual deficit of moderate level. Darren has essentially no receptive language. His means of communication, and thus his means of learning, is through a reading and writing Lovaas based program. He generally does not respond to verbal instructions. Darren began pre-school in 2000 and had an effective ABA-IBI (Applied behaviour analysis-Intensive behavioural intervention) therapy home program by March 2002 (the reading and writing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Pre-school for Darren was a moderate success and he transitioned into Kindergarten in the Abbotsford School District in September of 2002. Darren's home-based therapist attended Kindergarten with Darren for approximately the first month. He was under complete instructional control during the transition. By October his Kindergarten teacher, Ms. McLean, pronounced the transition a success. The Abbotsford School District provided a teaching assistant (TA) for Darren's half day in Kindergarten. His TA had almost no experience nor knowledge of autism and no experience nor knowledge of the teaching methods proven effective for Darren, that is, some form of ABA-IBI.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June of 2003, the end of Darren's Kindergarten year, Darren was removed from the school as he was hopelessly out of instructional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April of 2003, the School District was committed to Darren continuing to attend McMillan Elementary, his neighbourhood school, for Grade One, in the regular classroom with a TA. However, at the end of May, 2003, the school recommended to Darren's parents that he attend Mountain Elementary and be placed in a resource room. The resource room teacher was a highly qualified special education teacher who had considerable experience with children with autism but limited experience with specific ABA-IBI programs. The TAs available for the resource room, and potentially assignable to Darren, had experience with children with autism but again, no specific experience with ABA-IBI therapy. In the summer of 2003, both the resource room teacher and the TA most likely to be assigned to Darren were enrolled in a five day intensive course on autism, including exposure to ABA-IBI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Despite two meetings between District officials, the resource room teacher, the TA and the Hewkos in September of 2003, the District was unable to persuade the Hewkos that placement in a resource room was in Darren's best interest. Likewise, the Hewkos were unable to persuade the District to allow Darren's home-based therapist or someone trained in his home-based therapy to function as his TA. Ultimately, after an unsuccessful appeal of the District's decision to the School Board pursuant to s. 11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the Hewkos removed Darren from the public school system. The Hewkos have continued to provide Darren with a home-based ABA-IBI learning program at considerable expense. The result of the failure of the parties to reach agreement on Darren's placement and program in the Abbotsford School District led the Hewkos to sue the Province and the Abbotsford School District. They seek relief for alleged discrimination pursuant to s. 15 and s. 7 of the </w:t>
      </w:r>
      <w:r>
        <w:rPr>
          <w:rFonts w:ascii="arial" w:eastAsia="arial" w:hAnsi="arial" w:cs="arial"/>
          <w:b/>
          <w:i/>
          <w:color w:val="000000"/>
          <w:sz w:val="20"/>
          <w:lang w:val="en-US" w:eastAsia="en-US" w:bidi="ar-SA"/>
        </w:rPr>
        <w:t>Charter of Rights and Freedoms</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against Darren on the basis of his disability (autism)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a breach of the defendants' respective duties under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short, the plaintiffs say the failure of the parties to agree is the District's fault because they failed to provide competent and/or adequate assistance for Darren to be able to access an education. The plaintiffs say this failure includes a failure to meaningfully consult with the parents to find a way to implement Darren's home-based ABA-IBI therapy so that he could access an education in the public school. The Province and School Board attribute the failure to agree on a placement and program to the parents' unrealistic and unreasonable requirements for Darren's public school program. The Province and School Board say that the parents sought to impose their personal choices on the school, and that these choices were not necessary for Darren to reasonably access an education. Further, the School Board and the Province say that the fact that Darren has not been in school for the last three years is solely the fault of the parents who refused a reasonable placement proposal by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After hearing over eight weeks of evidence and submissions and carefully considering the issues, I find that the defendant School Board is liable to the plaintiffs for breach of the Board's statutory duty to consult with the plaintiffs. I find no basis for liability pursuant to the statutory duties of the Province. I find that the plaintiffs cannot succeed in establishing a breach by either the Province or the School Board of either s. 15 or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application of ss. 7 and 15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in relation to the access to education by children with autism has been recently decided in an Ontario case. An Ontario trial judge found that the Provincial Government of Ontario had discriminated against the plaintiffs on the basis of age and disability (autism) by failing to fund ABA-IBI therapy for children aged 6 years and over. (</w:t>
      </w:r>
      <w:r>
        <w:rPr>
          <w:rFonts w:ascii="arial" w:eastAsia="arial" w:hAnsi="arial" w:cs="arial"/>
          <w:b/>
          <w:i/>
          <w:color w:val="000000"/>
          <w:sz w:val="20"/>
          <w:lang w:val="en-US" w:eastAsia="en-US" w:bidi="ar-SA"/>
        </w:rPr>
        <w:t>Wynberg v. Ontario</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[2005] 252 D.L.R. (4th) 10</w:t>
        </w:r>
      </w:hyperlink>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Wynberg v. Ontario</w:t>
      </w:r>
      <w:r>
        <w:rPr>
          <w:rFonts w:ascii="arial" w:eastAsia="arial" w:hAnsi="arial" w:cs="arial"/>
          <w:color w:val="000000"/>
          <w:sz w:val="20"/>
          <w:lang w:val="en-US" w:eastAsia="en-US" w:bidi="ar-SA"/>
        </w:rPr>
        <w:t xml:space="preserve">, July 7, 2006, </w:t>
      </w:r>
      <w:hyperlink r:id="rId298" w:history="1">
        <w:r>
          <w:rPr>
            <w:rFonts w:ascii="arial" w:eastAsia="arial" w:hAnsi="arial" w:cs="arial"/>
            <w:i/>
            <w:color w:val="0077CC"/>
            <w:sz w:val="20"/>
            <w:u w:val="single"/>
            <w:shd w:val="clear" w:color="auto" w:fill="FFFFFF"/>
            <w:lang w:val="en-US" w:eastAsia="en-US" w:bidi="ar-SA"/>
          </w:rPr>
          <w:t>[2006] O.J. No. 2732</w:t>
        </w:r>
      </w:hyperlink>
      <w:r>
        <w:rPr>
          <w:rFonts w:ascii="arial" w:eastAsia="arial" w:hAnsi="arial" w:cs="arial"/>
          <w:color w:val="000000"/>
          <w:sz w:val="20"/>
          <w:lang w:val="en-US" w:eastAsia="en-US" w:bidi="ar-SA"/>
        </w:rPr>
        <w:t>, the Ontario Court of Appeal overturned the learned trial judge's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Even if the Ontario Court of Appeal had not overturned the trial judge's decision, the </w:t>
      </w:r>
      <w:r>
        <w:rPr>
          <w:rFonts w:ascii="arial" w:eastAsia="arial" w:hAnsi="arial" w:cs="arial"/>
          <w:b/>
          <w:i/>
          <w:color w:val="000000"/>
          <w:sz w:val="20"/>
          <w:lang w:val="en-US" w:eastAsia="en-US" w:bidi="ar-SA"/>
        </w:rPr>
        <w:t>Wynberg</w:t>
      </w:r>
      <w:r>
        <w:rPr>
          <w:rFonts w:ascii="arial" w:eastAsia="arial" w:hAnsi="arial" w:cs="arial"/>
          <w:color w:val="000000"/>
          <w:sz w:val="20"/>
          <w:lang w:val="en-US" w:eastAsia="en-US" w:bidi="ar-SA"/>
        </w:rPr>
        <w:t xml:space="preserve"> case is significantly distinguishable on the facts from the case before this Court although the issue of what constitutes an appropriate education for children with autism is common to both cases. In addition, however, the Ontario Court of Appeal decision in </w:t>
      </w:r>
      <w:r>
        <w:rPr>
          <w:rFonts w:ascii="arial" w:eastAsia="arial" w:hAnsi="arial" w:cs="arial"/>
          <w:b/>
          <w:i/>
          <w:color w:val="000000"/>
          <w:sz w:val="20"/>
          <w:lang w:val="en-US" w:eastAsia="en-US" w:bidi="ar-SA"/>
        </w:rPr>
        <w:t>Wynberg</w:t>
      </w:r>
      <w:r>
        <w:rPr>
          <w:rFonts w:ascii="arial" w:eastAsia="arial" w:hAnsi="arial" w:cs="arial"/>
          <w:color w:val="000000"/>
          <w:sz w:val="20"/>
          <w:lang w:val="en-US" w:eastAsia="en-US" w:bidi="ar-SA"/>
        </w:rPr>
        <w:t xml:space="preserve"> clarifies the law with regard to the application of s. 15 and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in a case such as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case involves an exploration of the duty to consult, pursuant to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It appears to be, on this issue, a case of first instance. This issue, as a justiciable one, will necessarily be fact driven. These reasons set out the facts of the case at length and in some detail. I do so, so that the parties to this case may have reference to the facts considered and found by the court in coming to the conclusion that ultimately, despite consultation between the parents of Darren Hewko and the school personnel and District officials, the District failed to carry out its duty to consult by failing to meaningfully consult with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case does not arise in a legal, social or political vacuum. The historical struggle of parents of children with autism, or Autism Spectrum Disorder (ASD), to find and finance medical or educational resources to assist their children to reach their potential as functioning, productive citizens is relevant to some of the issues raised in this case. I set out in brief some of that legal and political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brief understanding of autism and ASD, as well as ABA-IBI therapy, is necessary to an appreciation of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Auton v. A.G.B.C</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[2000] 78 B.C.L.R. (3d) 55</w:t>
        </w:r>
      </w:hyperlink>
      <w:r>
        <w:rPr>
          <w:rFonts w:ascii="arial" w:eastAsia="arial" w:hAnsi="arial" w:cs="arial"/>
          <w:color w:val="000000"/>
          <w:sz w:val="20"/>
          <w:lang w:val="en-US" w:eastAsia="en-US" w:bidi="ar-SA"/>
        </w:rPr>
        <w:t xml:space="preserve"> (S.C.), </w:t>
      </w:r>
      <w:hyperlink r:id="rId299" w:history="1">
        <w:r>
          <w:rPr>
            <w:rFonts w:ascii="arial" w:eastAsia="arial" w:hAnsi="arial" w:cs="arial"/>
            <w:i/>
            <w:color w:val="0077CC"/>
            <w:sz w:val="20"/>
            <w:u w:val="single"/>
            <w:shd w:val="clear" w:color="auto" w:fill="FFFFFF"/>
            <w:lang w:val="en-US" w:eastAsia="en-US" w:bidi="ar-SA"/>
          </w:rPr>
          <w:t>2000 BCSC 1142</w:t>
        </w:r>
      </w:hyperlink>
      <w:r>
        <w:rPr>
          <w:rFonts w:ascii="arial" w:eastAsia="arial" w:hAnsi="arial" w:cs="arial"/>
          <w:color w:val="000000"/>
          <w:sz w:val="20"/>
          <w:lang w:val="en-US" w:eastAsia="en-US" w:bidi="ar-SA"/>
        </w:rPr>
        <w:t>, Allan J. made the following remarks about autism, which continue to be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Autism or autism spectrum disorder (ASD) is a neurobehavioural syndrome caused by a dysfunction in the central nervous system which leads to disordered development. According to the Diagnostic and Statistical Manual of Mental Disorders, 4th edition ("DSM-IV"), the onset of autistic symptoms begins within the first three years of life and includes three general categories of behavioural impairment: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qualitative impairments in social interaction,</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qualitative impairments in communication,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repetitive and stereotyped patterns of behaviour, interest and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Autism may be viewed as the prototypical form of a spectrum or continuum of autistic disorders that vary in severity but share those core symptoms of behavioural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While the etiology (or medical cause) of autism or ASD is unknown, there is substantial agreement about certain features of the affliction. Autistic disorders are complex neurological conditions affecting between 10 and 15 of every 10,000 children. They are significantly more prevalent among boys than girls. Among children with untreated autism or autism spectrum disorders, about half of all pre-school age children (ages 2 to 6) are non-verbal. Most have limited attachment to caregivers, display little interest in pleasing them, evade eye contact and resist displays of physical affection. In a group of peers, a child with autism is likely to avoid contact and remain isolated from the group. Instead of playing imaginatively with toys, autistic children often engage in repetitive behaviour such as arranging objects into neat rows or flapping their hands in front of their eyes. When these behaviours are interrupted, or when they do not get their way, many autistic children have intense tantrums that may include aggression toward others or self-injurious behaviour such as banging their heads against hard objects.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Without effective treatment, autism is a lifelong affliction that results in the placement of over 90% of untreated children in group homes or other residential facilities. Only one of 64 children will show any improvement without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preferred therapy for autism, at least for many cases of autism, especially between the ages of three and six, is some form of ABA-IBI. IBI is a particular application of ABA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IBI is a very specific protocol which uses a highly intensive, individualized, one-on-one structured therapy program and discrete trial training techniques. Comprehensive and on-going data collection forms an essential part of the IBI protocol. Such treatment administered competently and early in a child's life usually by the age of three, for one and a half to two years for at least 25-35 hours per week, in some cases, has resulted in enabling the child with autism to function normally in a public school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Auton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1995, a group of parents of children with autism sued the Province of British Columbia, specifically the Attorney General and the Medical Services Commission, alleging that its failure to fund ABA violated s. 15(1)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 very brief history of the case is contained in the headnote of the Supreme Court of Canada decision in that case, </w:t>
      </w:r>
      <w:r>
        <w:rPr>
          <w:rFonts w:ascii="arial" w:eastAsia="arial" w:hAnsi="arial" w:cs="arial"/>
          <w:b/>
          <w:i/>
          <w:color w:val="000000"/>
          <w:sz w:val="20"/>
          <w:lang w:val="en-US" w:eastAsia="en-US" w:bidi="ar-SA"/>
        </w:rPr>
        <w:t>Auton v. B.C. (A.G.)</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[2004] 3 S.C.R. 657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years leading up to the trial, the government acknowledged the importance of early intervention, diagnosis and assessment for autistic children but stated that services for their needs had to be balanced with services to children with other special needs. The government funded a number of programs for autistic children but did not establish funding for ABA/IBI therapy for all autistic children between the ages of three and six because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financial constraints and the emergent and controversial nature of this therapy. At the time of the trial, ABA/IBI funding for autistic children was not universal and was only beginning to be recognized as desirable. The trial judge found that the failure to fund ABA/IBI therapy violated the petitioners' equality rights, directed the province to fund early ABA/IBI therapy for children with autism and awarded $20,000 in damages to each of the adult petitioners. The Court of Appeal upheld the judgment and added funding for ABA/IBI treatment pursuant to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Supreme Court of Canada overturned the trial and appeal courts decision finding that the failure to fund ABA-IBI therapy for children with autism was not discriminatory. The reasons for the finding are also set out briefly in the headnote at page 659-660: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claiming a violation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establish: (1) differential treatment under the law, (2) on the basis of an enumerated or analogous ground, (3) which constitutes discrimination. The specific role of s. 15(1) in achieving its equality objective is to ensure that when governments choose to enact benefits or burdens, they do so on a non-discriminatory basis. This confines s. 15(1) claims to benefits and burdens imposed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government's conduct did not infringe the petitioners' equality rights. The benefit claimed - funding for all medically required treatment - is not provided by law.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xml:space="preserve"> and the relevant British Columbia legislation do not promise that any Canadian will receive funding for all medically required treatment. All that is conferred is core funding for services delivered by medical practitioners and, at a province's discretion, funding or partial funding for non-core services, which in the case of British Columbia are delivered by classes of "health care practitioners" named by the province. More specifically, the law did not provide for funding for ABA/IBI therapy for autistic children. At the time of the trial, the province had not designated providers of ABA/IBI therapy as "health care practitioners" whose services could be funded under the plan. Since the government had not designated ABA/IBI therapists as "health care practitioners", the administrative body charged with administration of the provincial legislation had no power to order funding for ABA/IBI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legislative scheme is not itself discriminatory in providing funding for non-core services to some groups while denying funding for ABA/IBI therapy to autistic children. The scheme is, by its very terms, a partial health plan and its purpose is not to meet all medical needs. It follows that exclusion of particular non-core services cannot, without more, be viewed as an adverse distinction based on an enumerated ground. Rather, it is an anticipated feature of the legislative scheme. One cannot therefore infer from the fact of exclusion of ABA/IBI therapy for autistic children from non-core benefits that this amounts to discrimination. There is no discrimination by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has it been established on the facts of this case that the government excluded autistic children on the basis of disability. When the relevant criteria are applied, the appropriate comparator for the petitioners is a non-disabled person, or a person suffering a disability other than a mental disability, who seeks or receives funding for a non-core therapy that is important for his or her present and future health, is emergent and has only recently begun to be recognized as medically required. The claimant or claimant group was not denied a benefit made available to the comparator group. In the absence of evidence suggesting that the government's approach to ABA/IBI therapy was different than its approach to other comparable, novel therapies for non-disabled persons or persons with a different type of disability, a finding of discrimination cannot be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government's conduct did not infringe the petitioners' rights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xml:space="preserve"> case frames the very difficult decisions facing courts when deserving and admirable plaintiffs seek remedies for significant hardships they face. In her reasons for judgment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the Chief Justice begins the reasons by setting out the dilemma at pp. 662-663: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case raises the issue of whether the Province of British Columbia's refusal to fund a particular treatment for preschool-aged autistic children violates the right to equality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petitioners are autistic children and their parents. They argue that the government's failure to fund applied behavioral therapy for autism unjustifiably discriminated against them. In the background lies the larger issue of when, if ever, a province's public health plan under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w:t>
      </w:r>
      <w:r>
        <w:rPr>
          <w:rFonts w:ascii="arial" w:eastAsia="arial" w:hAnsi="arial" w:cs="arial"/>
          <w:color w:val="000000"/>
          <w:sz w:val="20"/>
          <w:lang w:val="en-US" w:eastAsia="en-US" w:bidi="ar-SA"/>
        </w:rPr>
        <w:t>"), is required to provide a particular health treatment outside the "core" services administered by doctors and hospitals.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sympathizes with the petitioners, and with the decisions below ordering the public health system to pay for their therapy. However, the issue before us is not what the public health system should provide, which is a matter for Parliament and the legislature. The issue is rather whether the British Columbia Government's failure to fund these services under the health plan amounted to an unequal and discriminatory denial of benefits under that plan, contrary to s.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Despite their forceful argument, the petitioners fail to establish that the denial of benefits violated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should be noted that information about the prevalence of autism is changing rapidly. However, in these proceedings, Dr. Foxx reported that the prevalence of autism in North America is estimated to be between one and two children in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British Columbia, although the numbers are not precise there are approximately 700 children in the school system with a diagnosis of autism out of over 61,000 who are classified as Special Education Enrollment.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Despite the ruling of the Supreme Court of Canada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the Province has continued to fund therapy for children with autism. Currently that funding includes $20,000 per year for children up to the age of six. Children six years old and over receive $6,000 per year. Schools receive $16,000 per year per child with a diagnosis of autism and also very recently for a child with a diagnosis of ASD.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the Province has established and funded programs to develop specialized expertise in the education of autistic children (albeit only in the last few years including ABA-IBI) and to make that expertise available on a consulting basis to local school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primary program funded by the Province is called POPARD (Provincial Outreach Program for Autism and Related Disorders). As of 2005, there were ten special education teacher consultants and two professionals of related fields such as speech or language pathologists available, through POPARD to service the entire province. The organization can and does provide specific student consultations, classroom consultations or "capacity building", that is, it provides workshops for training courses for teaching best practices approaches for children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Darren Hewko's Early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Darren Hewko is now a nine and a half year-old boy who lives in Abbotsford with his mother, Shirley, father, Rod, and older brother, Bryce.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Darren was born on February 5, 1997. Mrs. Hewko testified that Darren lost his speech when he was around 18 months old. He did not develop peer play skills and did not play with toys. Mrs. Hewko was not overly concerned at the time. However, when Darren was three years old, he still was not talking. Instead, he would scream for up to eight hours a day. He did not respond to his parents or make eye contact. He would raise his arm up and slap it hard against his thigh. He would jump for hours and also engage in handflapping.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Darren's brother Bryce attended the neighbourhood school, McMillan Elementary. Mrs. Hewko would walk Bryce to school, accompanied by the screaming Darren, there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Kitsul, Bryce's Grade One teacher at McMillan Elementary, suggested to Mrs. Hewko that she see the school counsellor regarding Darren. Mrs. Hewko followed up on this suggestion. The counsellor recommended that Mrs. Hewko see the family's doctor,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Wallace referred Darren to the Fraser Valley Child Development Centre (the "FVCDC"), where Darren was seen by Dr. Traverse, a pediatrician. In the summer of 2000, Dr. Traverse diagnosed Darren with autism. Darren was then about three and a half years old. Dr. Traverse suggested a further assessment at Sunny Hill Health Centre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Hewko obtained a second opinion from Dr. de Levie, a pediatrician, who also diagnosed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learning the initial diagnosis, Mrs. Hewko set about trying to learn as much as possible about this condition and its treatment. She had been given an information package by Dr. Traverse's receptionist that another parent had dropped off. Mrs. Hewko contacted this parent. Through her, Mrs. Hewko learned about an organization called FEAT-BC (Families for Early Autism Treatment). FEAT is a parent information and advocacy group dedicated to advocating on behalf of families with children with autism or ASD. Mrs. Hewko contacted FEAT-BC as well as the Autism Society of BC and received their parent packages.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researching articles, books and other sources on autism treatment, Mrs. Hewko decided that she wanted to embark on ABA (Applied Behaviour Analysis) therapy for Darren. In her words, "it was the only therapy that made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Hewko had been given a list of ABA therapists in the Langley, Abbotsford, Mission and Chilliwack area. She called each one of them to see whether they would be able to join a new therapy team. Mrs. Hewko then contacted Autism Spectrum Consultants in California to see if they had a consultant who would be able to come to B.C. to set up an ABA program for Darren and commence training of the 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Darren began receiving autism treatment supervised by Autism Spectrum Consultants in early July, 2000. Initially he only received a few hours of therapy per day, but this gradually increased. The first months were difficult but after about six months of therapy, Darren, according to his mother, had achieved a "complete turnaround".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2000, Mrs. Hewko enrolled Darren in Creative Edge Preschool for one morning per week. He had an aide and did well in the environment among his peers. In November 2000, Darren began attending a further two half-days per week at ABC Preschool. He continued to do well in the 2000/2001 school year. Darren continued preschool in September 2001, again supported by an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Hewko testified that it had only been necessary to come in to teach the preschool TA about the language that Darren understood, and how to motivate his behaviour and activities using certain phrases at the beginning. Darren's preschool aide was agreeable to taking behaviour data so that Darren's behaviours in the classroom could be tracked. Mrs. Hewko showed the aide how and when to do it and the aide proved capable of taking the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Hewko became concerned because after months of therapy focused on development of verbal and receptive language, Darren still did not seem to understand and he was not making much progress. Mrs. Hewko decided to change consultants. She had learned that Ms. Rachel Russell was returning to B.C., having worked in the United States. Ms. Russell took over as Darren's consultant in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Russell noted that Darren had not progressed as expected and he continued to make only small improvements for the first few months under Ms. Russell's supervision. Ms. Russell then introduced Darren to the Reading &amp; Writing Curriculum, a different way to access the therapy material, and Darren responded very well to this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Socially, Darren did well at preschool. He was not aggressive and was able to follow many of the activities. He played along side other children. Further detail about Darren's preschool experience is set out in the records of the Fraser Valley Child Development Centre marked as Exhibit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Darren's ABA Intervention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Through his home-based ABA-IBI program, which has been ongoing since July 2000, Darren has learned a wide variety of practical skills as well as academics. He has acquired a means of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Over time, and particularly since the summer of 2003, when he stopped attending Kindergarten, Darren's aggressive, self-injurious, repetitive and self-stimulatory behaviours have been reduced or eliminated, thus allowing him to focus on learning new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Hewko testified that through Darren's ABA program he has learned to tie his shoes, dress himself, and help clean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Russell's expert report and numerous consult reports, all marked as Exhibits at trial, provide a very detailed record of Darren's achievements through his ABA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found Ms. Russell to be a straightforward, knowledgeable, and very credible witness, both as a qualified expert in the area of ABA-IBI therapy and training for its use, as well as a factual witness. She is a very committed proponent of a rigorous application of Lovaas therapy which does not admit of flexibility or deviation. Her rigidity in seeing only one possible therapy for children with autism, applied over an indefinite number of years, placed her at odds, even with Dr. Foxx, who is a recognized expert and promoter of ABA-IBI. However, what Ms. Russell has achieved with Darren Hewko's therapy and her contribution in assisting him in attempting to access an education in a public school setting, I found to be overall positive and credible. In her interactions, both verbally and in writing, with School personnel, Ms. Russell was professional and her recommendations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has been demonstrated that adherence to Darren's specific ABA-IBI programs is necessary to develop and maintain the instructional control currently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Required Training on Darren's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Russell testified that it could take between 60 to 100 hours for a new instructor to obtain instructional control with Darren, and 100 hours is more the norm. Instructional Control refers to the ability to control Darren's behaviour so that one is able to teach him new things and maintain the things he has already learned.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Russell described the tests' that a potential therapist must meet before even earning a training spot on a team. The "tests" involve attitude, aptitude and a willingness to submit to intensive training. The applicant is given very intensive theory training where they have to master a volume of preliminary concepts to do with behaviour analysis, data collection, functional analysis and autism in general. If they have demonstrated mastery of those items, only then will they be considered worthwhile to continue to train. They then begin highly supervised sessions with a senior instructor who continues to drill the instructor intensively.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instructor has to demonstrate across many hours that they are mastering the definitions in the concepts and in the applied setting with correct data collection. Only at that point is the person allowed to gradually begin independent sessions with the child. Ms. Russell testified that the impression that if you work with one child you can use the same techniques with another, is usually incorrect. This view was supported by Dr. Siegel and Dr. Foxx. Dr. Siegel is a highly qualified child psychologist with over 30 years experience working with children with autism. She testified on behalf of the School Board. Dr. Foxx is also a highly qualified child psychologist and specifically an expert in ABA-IBI who testified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Someone who merely has the theoretical component (whether taken over two days or two weeks) is not considered fully trained and qualified by Ms. Russell to actually work with a child on a home-based team. There was support for Ms. Russell's view in evidence given by experts called by all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Siegel testified about the decline in the quality of ABA when people started entering the area without adequate training and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Foxx provided extensive background regarding the need for, and the type of, training and qualifications needed to provide appropriate ABA service to a child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Darren has not attended school since early June, 2003. Since that time, he has been receiving home-based intensive ABA intervention under the supervision of Ms.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Reading &amp; Writing Curriculum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Russell testified that the original Lovaas curriculum had a strong emphasis on the child being able to, at some point, establish vocal language. However, there were a small group of children who had progressed quickly then appeared to hit a wall. Even though they were compliant and under instructional control, they simply could not move on to the next level. As a result, some of the researchers at UCLA (University of California, Los Angeles) decided to see if they could parallel the original Lovaas curriculum but instead of having the children vocally respond, they would have them respond using printed words and seeing printed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Russell emphasized that the Reading and Writing curriculum is not a different curriculum from the Lovaas curriculum; the only difference is that the latter is extensive and the former only includes the middle four or five programs that start receptive and expressive language production. The actual curriculum that the child follows using the augmentative communication system, in this case the Reading and Writing curriculum, is the same and the child then goes right back onto the Lovaas curriculum. Darren is no longer following programs that are published in the Reading and Writing manual because he mastered them all. He is now back on the typical Lovaas curriculum but he responds and receives language in a way that is similar to a child on a PECS (Picture Exchange Communication System) curriculum or on a signing curriculum.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Need for a Modified Curriculum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Russell testified that she assumed that Darren would immediately be on a modified curriculum once he started in Kindergarten, meaning that he would have an alternate curriculum while the other children would be working from the typical curriculum.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Russell provided a detailed list of proposed IEP (Individual Education Plan) goals for Darren at the initial Kindergarten IEP meeting on October 22, 2002. These were not adopted by the school by and large. Ms. Russell repeatedly expressed her concern about Darren being expected to follow the regular Kindergarten curriculum through verbal instruction. Because he did not understand these instructions, he became bored and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Ministry of Education defines "Modified Curriculum"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 - "Modified Curriculum":</w:t>
      </w:r>
      <w:r>
        <w:rPr>
          <w:rFonts w:ascii="arial" w:eastAsia="arial" w:hAnsi="arial" w:cs="arial"/>
          <w:color w:val="000000"/>
          <w:sz w:val="20"/>
          <w:lang w:val="en-US" w:eastAsia="en-US" w:bidi="ar-SA"/>
        </w:rPr>
        <w:t xml:space="preserve"> Refers to outcomes that are different than the expected learning outcomes of a curriculum. When students with special needs are unable to meet the expected learning outcomes of a curriculum, and it is necessary to modify the students' education programs, Individual Education Plans (IEPs) outlining the goals and objectives for each student will be established. These goals and objectives should reflect how the curriculum has been modified for each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Need for 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widespread agreement among the experts and several lay witnesses that consistency across environments and across people is critically important for a child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Susan Kennedy testified on behalf of the Province. She holds the position of Director of Diversity, Equity and Early Learning Branch within the Special Education Branch of the Ministry of Education. Ms. Kennedy testified that the Ministry understood there were problems identified by professionals working with children with autism and parents relating to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commitment to integrated and coordinated approach between school and home environments";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consistency between behavioural intervention programs being implemented in the school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Ms. Kennedy, these issues had come to the attention of the Ministry in the form of "more than some complaints" before April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Russell testified about what could happen to Darren if consistency between home and school was lacking: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if at school there's a behaviour plan where sometimes it is being implemented, sometimes it's not, even when it is it's completely different from hour to hour, never mind day-to-day, Darren will not --- in my opinion Darren will not understand the system. He will not understand the contingencies that are in place of, if you do this, this will happen. If you do this, you'll gain access to this, this will happen. It takes many, many, many trials of incredible consistency in order for Darren to then understand or demonstrate an understanding of those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without that, I think it will negatively affect his behaviour in the home environment where it is very consistent. If Darren learns at school, I have no idea how to get answers right now or, you know, earn access to desired items or get access to free time that I enjoy, then at home he may start to --- again start to show confusion about the rules at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complete consistency across days, instructors and all the child's environment, the likelihood is much higher that the child will make the jump to understanding when rewards are available and when consequences are likely to occur with 100 percent predictability.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need for consistency between the home and school program was also commented on by Dr. Joschko, a registered psychologist with a specialty in clinical neuropsychology. Dr. Joschko did an assessment of Darren on December 13 and 14, 2005, a few months before the trial, at the request of the defendant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2002/2003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McMillan Elementary is the Hewkos' neighbourhood school. It is a Kindergarten through Grade Three primary school, with about 250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Robert Carmichael was the principal of McMillan Elementary in 2002-2003. Mr. Carmichael first met Darren when his mother brought Bryce to school and Darren came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transitional meeting took place on April 19, 2002 to plan for Darren's Kindergarten school entry. At the meeting, people who had worked with Darren in the preschool setting (preschool staff and consultants) from the Child Development Centre and at home, (Ms. Russell) as well as Darren's parents, shared information about Darren, including information about his learning style and behaviour: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compliant; if not prompted will just blank out;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in following adult direction;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redirection an effective behaviour technique; don't give in to protest - ignore disruptive behaviour;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visual learner;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problem-solving skills;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do puzzles up to 50 pieces;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matching colours with words;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non-aggressive with children; has pinched adults;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might see jumping, banging hard on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Russell also shared information about Darren's home-based intensive ABA program, that he was using a Reading &amp; Writing curriculum and that he had been successful with this intervention. Ms. Russell also stressed the importance of having Darren supported by someone from his home team as his TA at school. She testified that she remembered being told that this was not something that was done in the Abbotsford School District, that they hire their own staff and that home programs and school programs were completely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some point between the transitional meeting and the start of the school year it was agreed that one of Darren's home-based therapists, Cressen Beckedorf, who passed away prior to this trial, would accompany him to school for as long as it took to get him comfortable in the new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Following the transition meeting, Darren was classified in the Ministry of Education special needs category of autism (118G) and assigned a full-time 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District posted the position for Darren's TA during the summer of 2002. Experience with autism was recommended but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Susan Major applied for, and was assigned to, the position as Darren's TA. She was the only applicant for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Major was going to work with Darren in the afternoons and with another student in the mornings. Ms. Major was required to take three days of training with the Health Unit prior to the beginning of school in order to work with the morning student. As far as Mr. Carmichael was aware, Ms. Major did not seek or obtain any education with respect to autism or the needs of an autistic child from the time she got the job as Darren's TA until she started working with him, nor was she required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Carmichael noted that the other student was involved with the Ministry of Health and the Ministry of Education and that appropriate nursing support was provided and funded for this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McLean was Darren's Kindergarten teacher. By the time of trial she had married and changed her name to Ms. Antifaeff. The 2002/2003 school year was her first year at McMillan. She qualified as a teacher a year earlier and had worked at a different school but had not worked with any students with autism before. Ms. McLean was covering a maternity leave at McMillan. Ms. McLean took a five-day general POPARD course on autism and other spectrum-related disorders in the summer of 2002. Ms. McLean had not taken any course work in ABA or IBI or Lovaas therapy prior to September 2002. She did not know what these were, nor did she know what Discrete Trial Training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Darren started Kindergarten in September 2002. To facilitate the transition, as previously agreed, Ms. Beckedorf accompanied Darren to school at the start of the year. She stayed approximately one month. Mrs. Hewko hoped that Ms. Beckedorf would review techniques with Ms.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early September 2002, Mrs. Hewko asked Ms. Major if she would like to join Darren's home team because Mrs. Hewko felt it would make it easier for her to obtain instructional control. Ms. Major declined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McLean felt that Darren was able to transition successfully into her classroom by the end of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Hewko testified that within a couple of weeks after Ms. Beckedorf was no longer in the classroom, it was becoming evident to her that Ms. Major was having a very hard time learning how to take data necessary to provide consistency between the home and school programs. Mrs. Hewko remembers that Darren began taking a very fast downhill spiral in his behaviours. He did not want to go to school anymore. Mrs. Hewko started getting more frequent reports back from Ms. Major that Darren was pinching her and hitting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Major told Mrs. Hewko that Darren was pinching her hard in the first week of October, 2002. Mrs. Hewko told Ms. Major that the home workers used extinctions for that behaviour and demonstrated to Ms. Major how extinction worked. Extinction is a fundamental ABA concept and technique. Ms. Major seemed unable to use this technique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McLean prepared an interim report card for Darren dated October 17, 2002 and testified that by that time, Darren had begun pinching Ms. Major. The pinching discussed at this time was relatively gentle.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Major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first IEP meeting was held on October 22, 2002. Ms. McLean noted that at that time, Darren was doing fairly well in terms of not exhibiting many negative behaviours, other than pinching Ms.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Russell testified that at the October IEP meeting she stressed the importance of having Darren aided at school by a trained home team member. Ms. McLean, who also attended the first IEP meeting, did not recall that issue being raised at that time. This issue along with several others, represents a continuous communication failure between the home-based team and the school-based team. McMillan utilized a school-based team for Darren. That team included Jean Louis, case manager, Robert Carmichael, principal, Ms. McLean, Kindergarten teacher and Val Smith, another teacher. The home-based team included the Hewkos, Ms. Rachel Russell and Ms. Cressen Beckedorf (senior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likely that, directly or indirectly, home training for Darren's TA or a home trained TA was raised at most meetings between the home-based team and school-based team. However, in the early months, September to November, 2002, the central importance of this training was not appreciated by either side. At Mrs. Hewko's request, Ms .Russell also provided the school with a set of proposed IEP goals for Darren. As far as Ms. Russell could tell, none of those proposed goals were actually incorporated into Darren's IEP. Again, Ms. McLean's testimony differed on this point and I accept that some of Ms. Russell's goals were incorporated into the IEP.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Russell's IEP goals recommendations were very lengthy and detailed. She was asked to highlight ones which could easily be accomplished in the school setting. I find that no hard feelings, nor desire to be uncooperative on the part of either party had developed by this point. However, the school personnel at this point had no understanding of the importance of utilizing a consistent ABA-IBI methodology in carrying out any of the goals of the IEP. That methodology, emphasizes specific materials, intensive one on one eye contact between teacher and pupil (in this case Darren and Ms. Major), and the taking of detailed formulaic data of what is occurring by describing the activity and Darren's success or failure in carrying out the activity, including tallying his behaviours. This was considered by the school personnel (to the extent that any but Ms. McLean were familiar with it) to be far too ambitious for application at school. Indeed, I find that given Ms. Major's lack of training and aptitude for carrying out any requirements of an ABA-IBI program, the program as proposed by Ms. Russell was far too ambitious for the classroom. I also find, for the same reason, that most of Darren's IEP goals were too ambitious for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Carmichael agreed that Mr. and Mrs. Hewko and Ms. Russell were members of Darren's IEP team throughout the 2002/2003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By the time of Darren's first formal report card, November 22, 2002, Ms. McLean was of the view that the work that Darren did at home was "integral to the success" in the classroom. Mr. Carmichael agreed with that assessment. Thus, by late November, it had become apparent to Ms. McLean and Mr. Carmichael that the instructional control demonstrated by Ms. Beckedorf in September was likely only achievable utilizing the home-based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Ms. McLean also noted by the end of November that Darren's targeted behaviours (pinching, slapping, stomping) had escalated and that he was pinching Ms. Major with greater frequency and greater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Carmichael remembered that Ms. McLean had told him that she did not feel she could work with Ms. Major. At some point during their conversations, Mr. Carmichael admitted picking up on the implication that Ms. Major was not capable of assisting Darren. Ms. McLean's opinion was that Ms. Major had difficulty providing consistency and structure to Darren and that she was not always as quick, physically, as one needed to be with Darren. It was becoming apparent to Ms. McLean that the two essential elements of instructional control of Darren were consistency and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Between November and December, 2002, Darren's negative behaviours continued to increase. Darren started to use some tantrum behaviours, such as kicking. Mrs. Hewko expressed her concerns regarding Ms. Major's ability to effectively assist Darren to Ms. McLean, who agreed with Mrs. Hewko and suggested that she follow up with Mr. Carmichael.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December 11, 2002, the school-based team met to discuss the escalating situation with Darren and Ms. Major. They decided to contact Ms. Russell and ask her to come and observe Darren in the classroom and see if there were some strategies she could recommend.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December 12, 2002, Ms. Russell was advised by Mrs. Hewko that Darren's medical condition (digestive and allergies issues) for which he was being treated by a naturopath was contributing to his escalating behaviours. Furthermore, his brother Bryce's birthday and the excitement of Christmas preparations were all reasons why Darren was over stimulated and why his behaviours were more difficult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Russell had previously expressed the opinion, in late November, that the Kindergarten curriculum was likely too advanced for Darren and that he required a "pull out" program by a person trained in his home-based program. A "pull out" program involves placing a child away from the other children during activities he cannot participate in and utilizing the child's "learning one on one" methodology with his 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Russell attended McMillan on December 16, 2002 and observed Darren. She saw a number of problems. Darren was being asked to sit and listen to a verbal lesson he did not understand. He very quickly deteriorated and began to flop, kick his legs in the air, run away, climb shelves, scream. Ms. Major was having a very difficult time getting him under control. When Ms. Russell saw Darren engage in these behaviours that she had never seen him engage in with such a high frequency or for such a duration, and saw Ms. Major's distraught reaction and the teacher visibly upset, she did not feel it was in anybody's best interest that the situation be allowed to continue even for one more day. She recommended that Darren stay home from that point on until the end of the Christmas break so that the home team could work consistently with him with increased hours to regain instructional control and Mrs. Hewko agreed. It was clear to Ms. Russell that the TA and the teacher did not know what to do with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Mr. Carmichael was at the school on December 16, 2002, he did not talk to Ms. Russell about her observations, nor did he talk to Ms. McLean about Ms. Russell's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McLean was invited to and attended the December 16, 2002 home team meeting at the Hewkos'. She attended on all occasions when invited to the Hewkos. It was at this meeting that Ms. Russell recommended Darren not attend school until after Christmas break as it was thought the excitement of Christmas and his brother's birthday might be overwhelming him in addition to the other problems. It was also agreed at this meeting that when Darren returned to school, a "pull-out" program would be started. Darren would be taken to the back of the class by Ms. Major to work on individual activities when the class materials were too difficult. It was agreed Ms. Beckedorf would return to class with Darren on January 7, 2003 to model the "pull-out" program for Ms. Major and Ms. McLean. Ms. Beckedorf did attend for one to two weeks with Darren. Ms. McLean recalls she modeled programs such as matching alphabet letters and having Darren try to vocalize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Following the December 16 meeting at the Hewkos', Mrs. Hewko wrote a letter to Mr. Carmichael, letting him know that, in her view, the current classroom situation was not meeting Darren's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Carmichael took from the letter that Mrs. Hewko was critical of Ms. Major's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her request, Mr. Carmichael met with Mrs. Hewko on December 19, 2002. Mrs. Hewko repeated her concerns regarding Darren's classroom situation. It is likely that at this meeting Mrs. Hewko shared information from FEAT-BC with Mr. Carmichael.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Mrs. Hewko told Mr. Carmichael that there were other districts that had brought in TAs with ABA training and permitted members of the home-based team to work as the child's TA. She asked Mr. Carmichael whether there were any TAs in the District who had ABA training and if so, could a TA with ABA training be assigned to Darren before the end of the year so that this person could also work on the home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Carmichael made a note to research this question and get more information. Mr. Carmichael did not research the question nor get back to Ms. Hewko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this meeting, Mr. Carmichael testified that Mrs. Hewko told him there were 11 programs Darren had worked on at home and she thought three could be adapted to the classroom. They agreed that Ms. Beckedorf would return with Darren for the first part of January and Ms. Beckedorf would model the programs. Mrs. Hewko was willing to try this with Ms.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Following the meeting, Mr. Carmichael called Mr. Godden, the District's Assistant Superintendent in charge of special needs students, and left a message as Mr. Carmichael needed to run some things by him regarding the possibility of the District hiring a "Lovaas employee" as a TA. He meant someone with ABA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Carmichael could not remember if Mr. Godden returned his call but did not think they had a direct conversation about the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school-based team agreed it would be appropriate for Ms. Beckedorf to return to McMillan at the start of the new year to model a pullout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School started again on January 6, 2003. Ms. Beckedorf came to the school with Darren for the first week to try to model programs for Ms. Major. Ms. McLean felt that Ms. Beckedorf had significant success in addressing Darren's behavioural issues during that time. Ms. Beckedorf was not paid by the District or the school for this work. While Mr. Carmichael described Ms. Beckedorf's activities as "observations", he hoped that Ms. Major would be able to pick up some of it. Mr. Carmichael admitted that he had hoped that it would be "training". This issue of "observation" versus "training" was a theme running through the struggle to gain instructional control of Darren at school. The school personnel, instructed by the District personnel (Mr. Godden and Ms. Clarke) resisted the idea that any school employee should be "trained" by home-based therapists or consultants. The need for Darren's TA to have effective training in Darren's ABA-IBI program or at least have ABA-IBI training so that instructional control might be gained was becoming increasingly obvious. An attempt was being made to try to meet this need by allowing "observation" by Darren's TA of home-based therapy and by allowing "observation" at school when under the instructional control of his home-based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Mrs. Hewko testified that Ms. Beckedorf attended school with Darren for the first week of school in January 2003, but that she believed Ms. Beckedorf stopped going after Mr. Carmichael asked her to stop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Beckedorf passed away prior to the trial of this action and thus could not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Carmichael denied ever preventing Ms. Beckedorf from attending McMillan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However, Ms. McLean remembered that Ms. Beckedorf had a discussion with Mr. Carmichael that resulted in her ceasing to attend. Ms. McLean was not asked whether she thought this was a positive or negative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at the very least, Ms. Beckedorf was not encouraged to continue attending in January. Nor was she encouraged to "train" Ms. Major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Mrs. Hewko offered to train the school-based aide in IBI techniques at her own expense but Mr. Carmichael told her that training was the District's responsibility and that the District would look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Mrs. Hewko met with Ms. Clarke of the District Superintendent's office and requested that she be allowed to have Ms. Beckedorf attend as Darren's TA at McMillan. Ms. Clarke said no, because Ms. Beckedorf was not a district employee. Mrs. Hewko then asked if she could approach employees and ask them if they would be interested in working on Darren's home-based therapy team. Ms. Clarke responded that Mrs. Hewko could not approach district employees, but if an employee approached her with such a suggestion, Mrs. Hewko was allowed to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the suggestion of Mr. Godden and Ms. Clarke in early 2003, the school-based team decided to "get the District Autism Team involved immediately" and on an "expedited basis". The District realized instructional control was being lost. The referral was made on January 15, 2003. No one had told Ms. McLean that there was a District Autism Team, even though Mr. Carmichael had been aware of the team's existence for several months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District Autism team is made up of a group of consultants who are funded by POPARD to provide "consults" to individual students at the request of the school where the student is enrolled and with the parent's consent. In this case the "Team" was made up of two persons - Ms. Savinkoff who is a speech language pathologist and Lamie Champigny who is also a speech pathologist whose regular case load included McMillan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Carmichael described the situation in his examination in chief: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from all our points of view, things were not going as well. From my point of view, what it means is that things were not going as well for Darren in his learning as I would have hoped, and as the mom and dad would have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Between December 2002 and January 2003 there was a growing concern among all of the school-based team that none of them were very well qualified to deal with Darren, including Ms.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According to Ms. McLean, by this time Darren was not responsive to her or to Ms. Major. His behaviour included kicking and flailing. Ms. McLean concluded that Ms. Major was not suited to work as Darren's 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District Autism Team received the "fast-track" referral but understood that the school "may be having Lovaas take a lower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This evidence supports the plaintiffs' position that part of the problem in effectively providing access to an education for Darren was the District's perception that they should resist pressure for "Lovaas therapy" because they were being set up for potential litigation. Evidence of this perception and concomitant resistance cropped up repeatedly in the evidence in this case. I find that in fact, the plaintiffs' position is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by this time, January-February of 2003, the school personnel were aware that Ms. Major could not obtain instructional control of Darren. Ms. Beckedorf's work in the classroom had also demonstrated that instructional control was possible, if the home program and consistent ABA-IBI techniques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Carmichael said it was likely he told Mrs. Hewko and Ms. Russell that the home program was the home program, and that the school program was the school program. He explained that the District philosophy was that those were two separate contexts and that they would be separate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and Mrs. Hewko requested a meeting with Mr. Carmichael which took place on January 17, 2003. They were concerned about maximizing classroom time for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Before the meeting, Mr. Carmichael wrote via email, to Ms. Clarke, Mr. Godden, Ms. Patterson (school district psychologist), Ms. Champigny and Ms. Richardson (district helping teacher; head of the District Autism Team), setting out the strategy for the meeting: "to act as good listeners for whatever the parents had to say, but not to attempt to answer questions and not get into a debate with the parents. The plan was to listen, report questions, suggestions and demands, and tell the parents that they would seek clarification from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Godden received the e-mail but did not think it necessary to intervene - he was going to let Mr. Carmichael try to resolve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Carmichael explained that he was in the position where he knew what the District philosophy was on the difference between the home program and the school program and the training of District employees by someone outside of the District. His thinking was: "And so if that's the party plan, that's what the party plan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Carmichael did not at this juncture try to determine if other districts found a way to utilize home-based therapists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Carmichael agreed there had been many meetings at the school about Darren that the Hewkos did not know about and that they were deliberately excluded from because the nature of the meetings was such that it was a school-based meeting or just other planning around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Following the January 17, 2003 meeting with Mr. Carmichael, Mrs. Hewko felt that the school was not listening to her. As a result, she asked Ms. Russell to write a letter to the school. Mrs. Hewko felt that Ms. Russell was a professional who knew a lot more about Darren's condition than Mrs. Hewko could explain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Russell wrote a letter to Ms. Richardson and the Members of the District Autism Team on January 25, 2003. In it, she expressed her concerns that Darren may not be understanding the majority of what was being said verbally during group instruction and that therefore he was very confused, getting bored due to lack of stimulation, starting to stim out of boredom, and then receiving negative feedback for the resulting self-stimulatory behaviour. Ms. Russell also noted that the pinching, screaming and hitting appeared to be escape motivated. She expressed her concern that having an aide who was not a member of the home team may be contributing to Darren's frustration. She noted that Darren required one to one support in the classroom, receiving instruction that used his primary communication system with a trained aide who was also a member of the home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Russell did not recall receiving any response to her letter of January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Carmichael got a copy of Ms. Russell's letter but did not respond to it. He inquired if anyone else from the school teams had responded but received no affirmative replies.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Carmichael thought the letter was "very significant" and wanted to ensure that everyone was "very much on the same page with respect to responding to her opinions and recommendations". Mr. Carmichael did not want to be saying something different than other people were saying. He felt he didn't have the authority to implement the recommendations of Ms. Russell's letter which he thought would have far-reaching implications for the Abbotsford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When challenged about the lack of response to the letter, Mr. Carmichael said he did not see how Darren's IEP and Ms. Russell's letter were related. There was going to be "no part of the IEP meeting that was devoted to Ms. Russell's letter - that was not the point of the IEP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Richardson testified that she had not responded to the letter, although it had been addressed to her, because she had been directed by Ms. Clarke not to respond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previously arranged, Ms. Russell attended McMillan on February 17, 2003 to observe Darren in the classroom. As she went to the front desk to sign in, Mr. Carmichael approached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Russell described her encounter with Mr. Carmichael in a letter dated October 27, 2003, before the commencement of these proceedings. Ms. Russell wrote (Exhibit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my third and last school observation, as I was at the front desk to obtain my pass, Mr. Carmichael, the school principal, approached me and insisted that I accompany him to his office immediately before observing Darren in the classroom, as scheduled. Shirley and Rod Hewko were not informed of this private meeting, nor were they present. During the meeting, Mr. Carmichael informed me that the school did not want my input regarding Darren Hewko as the school was fully able to program for Darren without my assistance. Mr. Carmichael was aware that I was scheduled for an observation visit, and after 30 minutes of discussion, I requested permission to complete the scheduled observation for the time remaining. I was permitted to proceed to the classroom as long as I agreed to return to Mr. Carmichael's office for further discussion on the topic at the end of the school day. After the observation, I returned to his office with the classroom teacher to further discuss my role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Carmichael repeatedly stated in his testimony at trial that the purpose of his meetings with Ms. Russell on February 17, 2003 was to get feedback from her classroom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Carmichael had a separate file in his office regarding Darren Hewko where he kept notes from meetings, including his meeting with Mrs. Hewko on December 19, 2002. However, he did not keep any notes from his meetings with Ms. Russell. Whether Mr. Carmichael's purpose was to get feedback from Ms. Russell or not, he clearly did not feel comfortable with any of the feedback he received because Ms. Russell repeatedly emphasized the need for training in the home-based program and consistency between that program the school program. This conflicted with what Mr. Carmichael understood to be the policy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Carmichael knew very little about autism and even less about ABA. His evidence on how to handle the difficult situation with which he was confronted can be summarized in the following way: He was getting directives from his superiors, and he was going to make sure they were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following day, Mr. and Mrs. Hewko went to the school to express their concern about Mr. Carmichael's unannounced meeting with Ms. Russell. They were angry and upset and explained that Ms. Russell was being paid by the Hewkos to conduct a school observation and then attend at the Hewko home for a consultation meeting. The entire home-based team had been assembled at the Hewko home, all the time being paid by the Hewkos, waiting for Ms. Russell to return and report on her classroom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Carmichael recalled that at this meeting Mr. and Mrs. Hewko expressed their concern that Ms. Major, while presumably well-intentioned and a good person, was very unqualified in terms of training to be able to work with Darren. He also recalled being told that the TA situation was causing serious problems with Darren's progress in the home program. Rather than continuing with the learning they had been so pleased with, Darren was seriously regressing and losing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Carmichael further recalled that the Hewkos had requested that all at-school interventions by Ms. Major with Darren stop immediately, at least those interventions that had been created at school to try to simulate home programs. The Hewkos felt that because Ms. Major could not utilize the ABA-IBI methodology, her approach was undermining Darren's progress at home because of a lack of consistency. Mr. Carmichael and other school personnel failed to understand the stated reason for why the Hewkos demanded discontinuance of most home programs in the school. Instead, they chose to conclude that the Hewkos could not make up their minds about what they wanted the school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Carmichael agreed that it was clear to the whole school-based team, including Ms. Major, that she did not have the necessary training to effectively run programs with Darren that mirrored home programs. Mr. Godden also understood that there were problems with Ms. Major's ability to interact appropriately with Darren and to work well with Ms. McLean. However, another month went by before Ms. Major was reassigned.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school in concert with the District continued to utilize District resources to try to deal with the problem of Ms. Major's inability to have instructional control of Darren without consulting in any meaningful way with Darren's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District Autism Team (Ms. Champigny and Ms. Savinkoff) visited McMillan on February 19, 2003, and met with the school-based team later in the afternoon. The referral to the District Autism Team had been made in the middle of January, yet it took more than a month for this site visit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Savinkoff testified to the training and experience she had in autism prior to September, 2002. She had taken numerous courses and worked with autistic children prior to February, 2003. In the 2003/2004 school year, she was seconded to POPARD as a consultant. Ms. Savinkoff received training in autism during her Masters Degree in Speech and Language Pathology completed in 1989. She worked as a teacher for four years. She took a number of autism courses through continuing education from the early 1990s when the number of autism diagnoses skyrocketed. Her courses included POPARD courses and others. She also attended the SCERTS (Social Communication Emotional Regulation and Transactional Support) course on April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During the classroom visit, Ms. Savinkoff observed inconsistent and incorrect use of visual supports. She also noted that the crisis intervention deflection technique' was not being applied. She observed that the kicking behaviour was not being managed well. Ms. Savinkoff agreed that data collection was important and that this would normally be the job of the TA. While Ms. Savinkoff did not see the ABC charts being used while she observed in the classroom, she assumed that data for Darren was being sent home to be analyzed by the home program consultant. She did not verify whether this was the case. In fact, it was not the case. Ms. Savinkoff observed that there were two opposing reward systems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District Autism Team made several recommendations. In terms of their recommendations, Ms. McLean implemented the basket work, flip cards, schedules, routine strips, took a crisis intervention course, and prepared and utilized ABC charts.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By February 21, 2003, Mr. Carmichael noted that there was a general agreement that lack of training for Ms. Major was a huge problem. The school-based team proposed that Mrs. Hewko keep Darren home for a week and that Ms. Beckedorf come to the school to do 12 1/2 hours of intensive </w:t>
      </w:r>
      <w:r>
        <w:rPr>
          <w:rFonts w:ascii="arial" w:eastAsia="arial" w:hAnsi="arial" w:cs="arial"/>
          <w:color w:val="000000"/>
          <w:sz w:val="20"/>
          <w:u w:val="single"/>
          <w:lang w:val="en-US" w:eastAsia="en-US" w:bidi="ar-SA"/>
        </w:rPr>
        <w:t>training</w:t>
      </w:r>
      <w:r>
        <w:rPr>
          <w:rFonts w:ascii="arial" w:eastAsia="arial" w:hAnsi="arial" w:cs="arial"/>
          <w:color w:val="000000"/>
          <w:sz w:val="20"/>
          <w:lang w:val="en-US" w:eastAsia="en-US" w:bidi="ar-SA"/>
        </w:rPr>
        <w:t xml:space="preserve"> with Ms. Major in the afternoons while Darren was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According to Mr. Carmichael, Ms. Major was amenable to the plan when it was first discussed. The school-based team, through Mr. Carmichael, prepared a proposal for the approval of Ms. Clarke. Mr. Carmichael knew that what they were asking for was something different from what the School District would normally permit but in his considered judgment, he and his colleagues on the team felt it had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However, at this point Ms. Major said that she did not feel she had what was required to meet Darren's needs and asked to be reassigned. The plan was abandoned and Ms. Major was reassigned.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Carmichael never did a formal evaluation or performance review of Ms. Major. He initially testified that this was because she was already a district employee and did not need a review. However, when he had previously been asked about it in discovery, his answer had been that he did not do a review because he did not receive the forms to fill out. He admitted that he could have asked for a form, but that he had not done so because he did not feel any need to. Mr. Carmichael did not have a personnel file on Ms.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Godden contradicted Mr. Carmichael on the need for a performance review. He stated at his Examination for Discovery, and confirmed at trial, that the TA contract specifies that a performance review be completed by the principal within 60 days of a new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Hewkos continued to express concern about the lack of effective support for Darren in the classroom. Mr. Carmichael suggested they call the District Assistant Superintendent, Mr. Godden. On February 21, 2003, Mr. Godden wrote to Mr. Carmichael expressing surprise that Mr. Carmichael had told the Hewkos to call him, since he dealt with specific parental appeals, Mr. Godden felt he should not be involved at this stage and agreed that Mr. Carmichael had not realized this. However, Mr. Godden agreed he was already involved, to a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February 24, 2003, Mr. Carmichael sent an e-mail to Ms. Savinkoff, Ms. Richardson, Ms. Champigny, Ms. Patterson, Ms. McLean, Ms. Lewis and Ms. Clarke asking for their suggestions for criteria to go into the posting for the new TA for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Carmichael did not ask Mr. and Mrs. Hewko, or Ms. Russell, for their suggestions for TA criteria, even though they were members of Darren's IEP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Richardson had several conversations about Darren with Mr. Carmichael, Ms. McLean and Ms. Major, but the Hewkos were not involved in those discussions. When asked whether it would not have been helpful to have them involved, Mr. Carmichael answered that he had not thought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Arrangements were made for Darren to receive deep massage from an occupational therapist, who also showed the technique to Mrs. Hewko, Ms. Beckedorf and Ms. Major. Neither Mrs. Hewko nor anyone from the home team had requested massage for Darren or training in the massage techniques. It had been recommended by the school. The suggestion was that this would assist Darren in accessing an education at McMillan. Mrs. Hewko continued the massage at home for a few weeks but stopped after she realized that Ms. Major was not doing the massage in the classroom. There was no evidence provided nor even a suggestion made that such a technique has any validity in assisting a child with autism to achieve an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Savinkoff understood that the District was given eight days training or advice per year from POPARD without charge and that it was up to the District to decide how those days were going to be spent. In 2002/2003 the District chose to receive eight days in advanced team training rather than in student consultations. Ms. Savinkoff was not aware that the District could buy additional days from POPARD.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Arrangements were made for Ms. McLean and Ms. Major to visit some other schools to observe how other schools were including children with autism in the classroom. No one told Mrs. Hewko about those visits. According to Mr. Carmichael, nobody thought of telling Darren's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a member of the District Autism Team, Ms. Savinkoff and Ms. Champigny produced a report based on their classroom observation and their meetings with school personnel. Despite the agreement of the District Autism Team members and Ms. Richardson that consistency with a home-based program is essential - the team did not interview either the Hewkos or Ms.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Mrs. Hewko received a copy of the report. When asked about her reaction to it, she said there was nothing in it that reflected anything that she had been trying to communicate with the school all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An IEP meeting was held on February 25, 2003. This was the first time Mrs. Hewko found out that Ms. Major was being reassigned at her own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school-based team was aware that Ms. Russell would not able to attend the IEP meeting scheduled for February 25, 2003 but made no attempt to re-schedule the meeting so that she would be able to attend, even though they also knew that the scheduling was an issue for the Hewkos. There is no doubt, however, that scheduling an IEP to include most of the members is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Champigny attended the February 25, 2003 IEP meeting. Mrs. Hewko did not recall if the District Autism Team report was discussed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Carmichael said that one of the purposes of the February 25, 2003 IEP meeting was to discuss the District Autism Team report but he cannot recall the specifics of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Richardson recalled a discussion regarding collaboration between the home and school such that both would use the same language. Mrs. Hewko agreed to some photos being used with words. Ms. McLean made photo cards with words for Darren's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that there was little, if any, discussion of the District Autism Team report and none of Ms. Russell's January 25 letter report to the Team at the February 25, 2003 IEP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Around February, 2003, it was noted that Darren was able to participate in the following Kindergarten activities successfully: colouring, cutting, gluing, copying words and pictures, copying letters and numbers, making crafts, clapping and copying some actions to songs, and experimenting in Kid Pix on the computer. There was no suggestion at trial that these are not appropriate activities for any child in Kindergarten.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However, it was also observed that he was displaying behaviours which had not been observed prior to December, such as laying down and climbing. Other behaviours such as pinching, kicking, stomping, hitting and calling out also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the end of February, a new TA was sought for Darren. In his evidence in chief, Mr. Carmichael said that there were three candidates for the position of Darren's TA, one of whom was Ms. Deanne Mayes, an employee of the District. However, in cross-examination, Mr. Carmichael said that there was no interview process, as such. Instead, he had been told by Human Resources who the person was who would be assigned to Darren. Ms. Mayes was sent to McMillan to speak with Mr. Carmichael but at that time she had already been hired for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Godden thought there had been a posting for Darren's TA following Ms. Major's request for reassignment. He did not know how many people had applied for the position but thought there had been three people, all of whom were temporary or casual employees. Mr. Godden agreed that if Ms. Beckedorf had applied for the position, she would not have been successful, since all of the applicants would have been given the job if they wanted it before Ms. Beckedorf, based on their seniority as opposed to their training or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find that between late January and March 2003, there was an evolving resistance on the part of the school and School Board to listen to the Hewkos and accommodate Darren Hewko's home program despite the repeated failure of the School Board's resources to enable Darren to access an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evidence or lack of it makes clear that there was no posting for the TA position, or if there was, there were no interviews in relation to a posting. Ms. Mayes was hired through Human Resources when she advised she would be available because a student she was working with was moving out of the District. Ms. Mayes was contacted by Human Resources and asked if she would like to work with a male student with autism in an integrated classroom. Ms. Mayes had worked with at least one child with autism but she had no training at all in ABA.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Mayes had a social work diploma from Northern Lights College, had worked with autistic persons before and had taken non-violent crisis intervention training. She had been waitlisted for the spring POPARD course but it was full and she did not get in to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Mayes met Mrs. Hewko and Darren over spring break at a skating rink. Mrs. Hewko was impressed with Ms. Mayes' personality and enthusiasm and was initially happy with her as Darren's TA. She expressed no concerns about Ms. Mayes'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During spring break, Ms. McLean, Ms. Mayes and Ms. Champigny met and Ms. Champigny showed them some strategies for use in the classroom although Ms. McLean could not recall what specifically they were when testifying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Richardson also met with Ms. McLean and Ms. Mayes on March 25, 2003 to review strategies used with Darren with Ms. Mayes.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Mayes testified Ms. Richardson taught her strategies such as count down strips, visual schedules and redirection strategies. Ms. Mayes practiced Discreet Trial Training with Ms. Richardson and attended site observations arranged by Ms.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Mayes started working as Darren's TA on March 24, 2003, following Spring Break. Within the first week, she was injured by Darren, as was Ms.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Carmichael affirmed that by March 28, 2003, there had been no consideration of any special class placement for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Mayes was hired to replace Susan Major prior to March 6, 2003. She was working in the classroom by March 6, 2003, but did not start full-time until after spring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Carmichael knew Ms. Mayes as she had previously worked as a TA at McMillan Elementary School. He was aware of her educational background and that she had general experience with autistic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Mrs. Hewko communicated well with Ms. Mayes during the school year. At first Darren's demeanour and behaviour improved after she started working with him and she believed she worked well with Darren on skills and socialization. Ms. Mayes expressed willingness to learn Darren's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At the April 28, 2003 IEP meeting, Mrs. Hewko expressed her satisfaction with Ms. Mayes as Darren's TA. Ms. Mayes first attended the Hewko residence to observe the Hewkos home program following the April 28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March 31, Ms. McLean sent an email to Ms. Clarke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especially appreciative of my new Ms. Mayes - she is amazing. We make a good team. Despite our teamwork, however, the situation has began to deteriorate in Kindergarten class. Beginning on Wednesday or Thursday of last week, Darren began to revert to his old behaviours. He began laying down, kicking, pinching, etc. Although Ms. Mayes and I have been weaving and dodging about 60-75% of his attempted pinch/scratches, we are both black and blue and have shed some blood. I am afraid that I am having a difficult time tolerating this situation. First of all, I feel that my other students' learning is suffering due to the frequent disruptions (I have noticed a difference in the class attitude and work ethic during Darren's disruptive episodes) and I am finding it exceedingly difficult to tolerate the pinching. I told Kerry of my frustrations today, and she suggested we try another strategy. I agree to try this one, but I am losing my optimistic hopefulness in this case. I talked to Darren's mom about the situation (and Kerry's recommendation). I let her know that Darren is pinching us and that the District is supporting us through giving us strategies and that we would come up with an emergency plan and then meet to discuss it. Mom agreed that Darren shouldn't be pinching.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April 1, 2003 or thereabouts, Ms. Richardson introduced a bean bag to be used as a "calming device" for Darren. She did not talk to Mrs. Hewko about her intentions in this regard and Mrs. Hewko only found out about it when she saw it at the school on April 8, 2003. She immediately requested that the bean bag be removed and that all involvement of the District Autism Team with Darren cease. She interpreted the beanbag as Darren receiving a reward for bad behaviour, a further inconsistency with Darren's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Mrs. Hewko testified that her main concern at this time was that the school had started implementing interventions for Darren without consulting her or telling her what they were planning to do, or even asking for her input on what they wanted to do. It was the beanbag that alerted her to the fact that the school had started interventions without her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her letter to the school requesting that the involvement of the District Autism Team cease, Mrs. Hewko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gave consent, we expected to be informed of all that involves our son. We have not been involved in any aspect of his schooling since the autism team stepped in. We have not been included in any decisions or suggestions or recommendations for interventions. We do not approve of the decisions made for his interventions. The autism team has not communicated with us in any way. From what we have seen implemented in the classroom on the advice of the autism team contradicts everything we are teaching our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Again, the communication between home and school floundered in that consistency in handling Darren's "behaviours" as well as learning was not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had been a change in the home team in March, 2003. Ms. Tournemille was hired at the end of March, 2003, and a Ms. Isaac was hired at the end of April, 2003 or beginning of May,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Mrs. Hewko stated that when there were new home members, initially Darren would often have increases in negative behaviours. There was also evidence that a new behaviour program was being implemented at that time. In Ms. Russell's consultation report of April 28, 2003, she noted that Darren had not progressed in his current program since December due to lack of therapy hours and lack of instructor consistency and organization. She stated he was moving along in all of his programs when he was receiving 30 hours of direct instruction a week but had not progressed since he had been receiving 9 hours a week starting in December, 2002. She noted that he was rapidly losing his mastered skills. She noted overall instructor consistency and organization needed to be drastically improved to cut down on administrative time and maximize direct instructor time. She noted that in September he had received an average of 29 hours a week of home therapy which had dropped to 9 hours in November and December. The reason for the decrease in home hours was the expectation on the part of the Hewkos that the school would implement an effective program for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Teresa Tournemille testified that, on occasion, Ms. Russell requested that Mrs. Hewko be at or near the treatment room to ensure instruction safety. Ms. Tournemille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more than an issue of the instructors themselves not feeling confident or able to consistently consequate effectively given the systems we had in place at the time. The time period I am referring to was when we had a huge transition going on with the team and we had several of the team members who had come on, including myself, who had never worked with Darren and didn't understand his history or who he was, his behaviours, necessarily. We were all learning all that and we were faced with some pretty challenging behaviours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McLean said she was concerned that Darren might kick someone while he was having a tantrum or that his shoe might fly off and hit someone. Darren was also throwing objects and would scream loudly.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 April 9, 2003, the school-based team met to formulate an emergency plan for use in the event that Darren's hitting and pinching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April 28, 2003 there was an IEP and Transition meeting held at the school regarding Darren. Ms. Kitsul, a Grade One McMillan teacher, attended and Mrs. Hewko was told that she would be Darren's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Mrs. Hewko was happy about the prospect of having Ms. Kitsul as Darren's teacher since she was very familiar with Darren and had been the person who had recognized signs of autism in Darren when he was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At this time, the Hewkos thought that things would improve if Ms. Mayes followed through on her intention to learn Darren's home-based program and then continued as his TA for Grade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Mrs. Hewko did not recall any suggestion at the April 28 meeting that Darren might not go to McMillan for his Grade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Carmichael said in his examination in chief it was his recollection that Ms. Clarke made some reference to a resource room as a possibility but he could not recall anything specific. In cross-examination, Mr. Carmichael agreed that it had not been a significant part of the meeting because "we were focused on discussion around plans for transitioning Darren for Grade One at McMillan" and Ms. Kitsul was being introduced as Darren's Grade One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From Mr. Carmichael's point of view, there was nothing inappropriate in having staff receive training from Ms. Russell or Ms. Beckedorf but the "invariable position" of Mr. Carmichael's superiors (Mr. Godden and Ms. Clarke) was that it was inappropriate for district staff to receive training from an outside agency with which the school had no connection. When this was communicated to Mr. Carmichael, he did not challenge Ms. Clarke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Clarke was not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Carmichael agreed that he had every opportunity to find out Ms. Russell's and Ms. Beckedorf's credentials and that he made no effort to verify or disprove their credentials. He knew that the District did not do anything to check their credentials. Mr. Godden confirmed that he did not ask about their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fact, however, the school and the District had Ms. Russell's credentials and had IEP meetings with her, and had allowed Ms. Beckedorf into the school to work with Darren at least twice for over a week and a few other times. Each time, Ms. Beckedorf demonstrated her methodology and the instructional control she had to Ms. McLean and Mr. Carmichael.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Darren's negative behaviours continued to escalate. On April 29, a substitute TA was present for Ms. Mayes. Darren began to exhibit negative behaviours. He started kicking on the floor and the TA cradled him. Ms. McLean was concerned Darren would slam his head back and break her jaw and told her not to do that. Darren then came over to her and grabbed her apron and was more upset than she had ever seen him. One of the students went to get Mr. Carmichael to assist. Mrs. Hewko was called and took Darren home. Ms. McLean had discussions with Mrs. Hewko following this and it was agreed that if Ms. Mayes were away, Darren would stay home. Mr. Carmichael spoke to Mrs. Hewko on April 30, 2006 and she said the same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McLean first discussed a resource room being a possibility for Darren's Grade One year with Mr. Carmichael in May,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Carmichael said that school staff started to look into the possibility of Darren attending a resource room because of Darren's escalating behaviours and because both the TA and the teacher were being injured. Again, there was no communication with the Hewkos regarding the evolving plan by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Following an e-mail exchange between Ms. Mayes and Mr. Carmichael, Ms. McLean felt Ms. Mayes was being reprimanded for going to the Hewko house to be "trained". Ms. McLean was upset by this and wrote a long e-mail in defence of the situation on May 17, 2003. She stressed that there had only been observation, not training. She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kind of going into protection mode after the reprimand Deanne [Mayes] has received and the message you included here. I believe I said at the outset that if things went south, we would be the ones to wear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Darren's aggressive behaviours continued in May. On May 21, 2003, Ms. McLean was bruised when Darren grabbed her shirt and chest and pinched and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Carmichael and Ms. McLean visited the Mountain resource room on May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Carmichael did not ask, and was not told, of the degree of training of the TAs in the Mountain resource room. From the Resource Room visit, Mr. Carmichael understood that each child in the resource room had an individual plan and was integrated into the regular classroom. Based on observations and discussions, he believed the TA's were more specialized and highly trained than those at McMillan. In this assessment, he was likely correct. He understood Ms. Schwass was a highly trained special education teacher, worked successfully with autistic children and that she had training in educating children with autism. He thought the Mountain Elementary School placement was best for Darren because of the small class size, highly specialized staff, excellent class setting and emphasis on integration.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However, Mr. Carmichael had so little knowledge of autism and ABA therapy that his ability to evaluate what he was told was very limited. In addition, for the same reason, his ability to evaluate what was in Darren Hewko's best interest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and Mrs. Hewko first learned about the school-based team's recommendation that Darren attend a resource room on May 26, 2003, at a meeting held at McMillan school. They had no prior notice about the purpose of the meeting; only that there was a meeting. Mrs. Hewko was completely caught off guard and could not believe they were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At the meeting, Mr. and Mrs. Hewko were presented with the school-based team's recommendation that Darren should go to Mountain Elementary and attend a resource room at that school. Ms. Lori Patterson, school psychologist, told the Hewkos that:</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be about 10 students in the resource room;</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be a high ratio of adults to children;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very skilled, knowledgeable special education teacher who had worked with autistic children before;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Meaningful integration into a regular classroom was a feature of the resource room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Mrs. Hewko expressed concern at the meeting that Darren might pick up negative behaviours in the resource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However, as the Hewkos did not want to rule out anything without looking at it, they agreed to take a look at the Mountain resource room. They went there with Ms. Patterson on June 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Mrs. Hewko found the resource room tidy and organized and thought that Ms. Schwass seemed nice and knowledgeable about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While there, the Hewkos observed a child lying on the floor having what they were told was a week-long seizure, at least two children in wheelchairs and another child with a feeding tube. Mrs. Hewko could not understand how they were going to socialize with Darren. When challenged on this point, Mrs. Hewko explained that Darren's biggest deficit in his life is communication and socialization. He needed to be with children who excelled in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At the June 5, 2003 viewing of the Mountain Resource Room with Ms. Patterson, Ms. Schwass assured Mrs. Hewko that the children in the class were watched closely and that she had experience working with autistic children. She believes she advised the Hewkos that she was confident she could work with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June 5, 2003, Ms. Schwass told the Hewkos she tried to have kids in integration classrooms as much as possible starting with social activities and working up from that. Basically they worked on skill and developmental levels and filled in gaps in the resource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Mrs. Hewko agreed that Ms. Schwass probably said she would allow home members into the class as long as they observed the protocol. She agreed Ms. Schwass came to her house at least twice before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Patterson recalls that at the June 5 resource room observation, there was discussion about co-ordination of students schedules and Ms. Schwass showed them the schedule for students going from resource room to classrooms for integration. Ms. Schwass advised that TAs were present at recess and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Darren visited the Mountain resource room on three occasions in June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Patterson e-mailed Mr. Carmichael and Ms. McLean on June 5, 2003, indicating to them that the Hewkos had accepted the Mountain resource room placement. Mr. Carmichael did not receive any information from the parents, nor did he contact them to verify or follow up on the information he had received from Ms. Patterson. Ms. Patterson agreed on cross-examination that Mrs. Hewko actually had never agreed that Darren would go to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Mrs. Hewko gave evidence that while she was still considering the Mountain placement at that time, she never committed to it or accepted the placement. She was very consistent in those responses and also pointed out that while the room may have been nice, there was never any "program" identified for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By early June, Mr. Carmichael thought things were not going well in the classroom for Darren and the situation was stressful for him, the TA and the teacher. He therefore requested that Mrs. Hewko keep Darren at home for the remainder of the school year. Mrs. Hewko agreed, thus enabling the school to avoid using the suspension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Darren missed 29 days of his Kindergarten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Darren did not meet any of the goals set out in his IEP for the 2002/2003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Mrs. Hewko was given the impression that Ms. Mayes intended to apply for the position as Darren's TA in the Grade One year. She was optimistic about Ms. Mayes and offered to train Ms. Mayes over the summer. Ms. Mayes declined a paid position, telling Mrs. Hewko she would rather be an unpaid volunteer.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Mayes attended the Hewko home on a few occasions but did not inform Mrs. Hewko of her schedule or when she was arriving or leaving. She then stopped coming towards the end of July 2003, without communicating with Mrs. Hewko. Mrs. Hewko tried to get in touch with Ms. Mayes, without success. Finally, on August 11, 2003, Mrs. Hewko wrote a letter to Ms. Mayes, which she delivered to the school board office. Mrs. Hewko noted that Ms. Mayes had not attended five out of eight scheduled sessions and that of the three that she did attend, she either left early or arrived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Despite having told Mrs. Hewko that she would love to work with Darren and be his TA the following year (in effect implying that she would apply for the position), Ms. Mayes never applied for the position as Darren's TA and never told Mrs. Hewko that she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When asked at trial why not, Ms. Mayes said it was because she had not actually completely changed her mind until much later. Ms. Mayes admitted that she had told Ms. Schwass as early as June that she may not apply for the position. However, she maintained that she had not been sure about what she would do as it depended on whether she would have enough staff to cover the person she was looking after in her own home. Ms. Mayes readily admitted that she makes considerably more money taking care of people at her home than she does as a 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On the basis of all the evidence given by those directly involved, Ms. Schwaas, Ms. Patterson, the McMillan school psychologist, Ms. McLean, Mrs. Hewko, and Ms. Mayes, I find that Ms. Mayes did not apply for the posting for several reasons. First, her life was complicated by many obligations at home and to other agencies, her physical health was not robust at the time and most importantly, she became disenchanted with the home-based program. My assessment of Ms. Mayes as a witness was that she was honest and intelligent. She came across as a very well intentioned individual whose career choices are devoted to helping disabled people including children. Her background at the time she was hired to be Darren's TA in Kindergarten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include any knowledge or experience with ABA therapy. She was intellectually willing to become trained in ABA-IBI. However, her training and predilection at that time centred around a program called "Gentle Touch" which appeared to be in conflict with certain ABA principles such as "consequences". It is impossible to know whether she would have persevered and become comfortable with Darren's home-based program if her physical health had been better in the summer of 2003 and/or if her other obligations had been less onerous.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Mrs. Hewko never registered Darren for Mountain Elementary. Instead, she specifically declined the Mountain placement, on two different occasions, signing and delivering the forms declining the placement the first week of August and September 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Mrs. Hewko wrote to Mr. Godden on September 4, 2003 requesting a meeting the following Monday, September 8th. She wrote again on September 8, 2003, referring to having fulfilled all of Mr. Godden's requests and again requesting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Mrs. Hewko wrote to Mr. Godden on September 9, 2003, thanking him for calling to set up a meeting. She specifically requested a written outline of what the District was prepared to offer, in advance of a meeting. Mrs. Hewko said she did not get a written outline. Mr. Godden confirmed that he did not respond as requested but could not say why he had not done so. He agreed that he was well aware of what the Hewkos were asking for, namely an appropriately trained aide for Darren in the classroom, and until that time, they wished Darren to be placed at McMillan with one of his home-based members as his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Hewkos met with Mr. Godden on September 10, 2003. They were not told by Mr. Godden before or after this meeting that he considered that the meeting was their appeal from the placement proposal. Mrs. Hewko told Mr. Godden that she felt people at the school were not communicating with her. She requested the District's proposal in writing because she felt the District personnel had a way of telling her things, and not following through, and then saying they never agreed to things at all. She wanted it in writing so that the District could not back out of anything. Mrs. Hewko explained what they were looking for in a TA for Darren - someone who was trained to work with Darren in his home protocol in the home program, someone who had instructional control, and someone who was a member of the home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Mrs. Hewko set out further concerns they had about the proposed placement, including the fact that Mountain was a couple of miles away and not Darren's neighbourhood school, so he would be unfamiliar with the environment and also be unable to walk home from school with friends and also get less exercise. Mrs. Hewko also noted that the group TA' situation at Mountain was not satisfactory (even if the Hewkos could train one of the TAs in Darren's protocol, the other TAs would not be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Godden communicated his decision to the Hewkos by letter dated September 11, 2003. The decision of the District was that the resource room at Mountain was the "most enabling environment" for Darren. I set out the letter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and Ms. Hewko,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Darren Hewko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DOB: 1997-02-05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attending the meeting held to resolve your appeal of the district's decision to place your son, Darren, in the Resource Program at Mountain Elementary School. Based on the points of our discussion, I would like to confirm the following conclusions: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continuum of services available, it is the district's position that the Resource Program is the most enabling environment for Darren. I concur with the McMillan School Based Team position that they do not have the necessary resources to successfully meet Darren's education needs to the standard expected by the district. It is important to reiterate that placement in such a program does not preclude integration in a regular classroom. Rather, the program will better allow us to provide Darren with specialized intervention as well as access to a regular classroom as appropriate.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the district's position that we have qualified and trained staff to work with Darren. Both the teacher, Ms. Schwass, and the teaching assistant, Ms. Crawford, have been trained to use discrete trial ABA style strategies to meet the goals of Darren's Individual Education Plan. As such, it is not necessary for you to provide training to our staff, or for the district to hire a member of your home team to work in the school. However, we do recognize the importance of understanding your home program in service of Darren's successful transition into school. To that end, I have agreed to allow the teaching assistant to observe the home program for an hour each day for the next two weeks. At that point, this will be reviewed with the teacher and principal, with a goal to eliminate this and have Darren attend school on a full time basis. Ms. Schwass has made a commitment to meet with your consultant as necessary to monitor the development of Darren's home plan.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members of your home team visiting the Resource Program, I have explained that school staff will adhere to the district protocol. That is, members of the home team are welcome to visit the classroom providing that they make prior arrangement with the principal and teacher. It is expected that all visitors respect the sanctity of classroom instruction, and demonstrate appropriate decorum with respect to staff and their work. So as to enhance communication, I have also established that any notes taken by a home team member during an observation would be copied for the classroom teacher prior to leaving the school.</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per the School Act, Darren will have an Individual Educational Plan, and as a partner in the process you will be consulted in its ongoing development. To strengthen the communication between home and school, Ms. Schwass will use a home-school communication book (in addition to the school planner) to keep you updated on Darren's daily progress.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explained that the district has a commitment to providing support to all its teachers. At the teacher's discretion any district staff may be contacted to support Darren's program. This could include the helping teacher, school psychologist, speech pathologist and/or the district autism team. However, we have agreed that in the spirit of collaboration, Ms. Schwass would consult with you prior to any such contact with your son.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want to reiterate that the district does have a conflict resolution mechanism in place. Essentially, if you disagree with a decision made by any employee of the Board, you are required to meet with that individual prior to seeking assistance from his/her supervisor. In this case, any such concerns would be brought initially to Ms. Schwass, and, in turn, to Mr. Smithe. If the situation is not resolved to your satisfaction you may contact me for assistance. Ultimately, you are entitled to appeal to the Board of School Trustees to seek resolution.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 would ask that you meet with Ms. Schwass to secure arrangements for Darren's successful transition to Mountain Elementary. Given your concerns over staff having instructional control of Darren, I recognize that this will need to be done carefully.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I thank you for meeting with me to discuss these issues. While I recognize the challenges that you, Darren and district staff experienced in his kindergarten year, I am optimistic that the supports we have established at Mountain Elementary will allow us to successfully meet his educational needs. I encourage you to continue to work with the IEP process in an atmosphere of openness and trust in order to realize the best possible outcomes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Kevin Golden,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Assistant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Godden's letter stated that placement in the resource room did not preclude integration in a regular classroom. Mrs. Hewko interpreted this as saying that there was a chance that he would not be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At trial, Ms. Schwass testified that integration was also dependent on the child's behaviours and what was happening in the classroom, how loud the child was and so on. She stated: "So we take all of that in stride as to how much they stay and come and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Godden had no first-hand knowledge of who applied for the posting as Darren's TA at the Mountain resource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Mrs. Hewko remembered Ms. Crawford, Darren's proposed primary TA in the resource room, telling her that she had several years experience in the resource room and that she had taken a one week FEAT workshop that summer. Mrs. Hewko did not consider this suitable training for Darren's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Godden thought that Ms. Schwass would be the person best qualified to say whether Darren's needs could be met in the Mountain Resource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After receiving the September 11 letter, the Hewkos felt it did not reflect what they thought had been agreed to the day before. Their concern centred around two issues. First, the wording of the statements around "integration" changed the emphasis and seemed to them to ensure that the school could choose not to integrate Darren if he was not under instructional control. More important, however, was the emphasis on the District maintaining control of the training of the TAs and what the Hewkos took to mean that the District remained determined to maintain its policy of keeping the home and school programs separate. In fact, I find that, having no TA identified with </w:t>
      </w:r>
      <w:r>
        <w:rPr>
          <w:rFonts w:ascii="arial" w:eastAsia="arial" w:hAnsi="arial" w:cs="arial"/>
          <w:color w:val="000000"/>
          <w:sz w:val="20"/>
          <w:u w:val="single"/>
          <w:lang w:val="en-US" w:eastAsia="en-US" w:bidi="ar-SA"/>
        </w:rPr>
        <w:t>training</w:t>
      </w:r>
      <w:r>
        <w:rPr>
          <w:rFonts w:ascii="arial" w:eastAsia="arial" w:hAnsi="arial" w:cs="arial"/>
          <w:color w:val="000000"/>
          <w:sz w:val="20"/>
          <w:lang w:val="en-US" w:eastAsia="en-US" w:bidi="ar-SA"/>
        </w:rPr>
        <w:t xml:space="preserve"> in Darren's home-based program and a specific reference to Darren's TA being allowed 10 hours of "observation", and thus no assurance that his home-based program would be integrated into his day in the Resource Room was the turning point for the Hewkos in rejecting the Resource Room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The Hewkos did nothing further to try to communicate what they thought was the single most important element to Darren's access to an education; that is having a TA </w:t>
      </w:r>
      <w:r>
        <w:rPr>
          <w:rFonts w:ascii="arial" w:eastAsia="arial" w:hAnsi="arial" w:cs="arial"/>
          <w:color w:val="000000"/>
          <w:sz w:val="20"/>
          <w:u w:val="single"/>
          <w:lang w:val="en-US" w:eastAsia="en-US" w:bidi="ar-SA"/>
        </w:rPr>
        <w:t>trained</w:t>
      </w:r>
      <w:r>
        <w:rPr>
          <w:rFonts w:ascii="arial" w:eastAsia="arial" w:hAnsi="arial" w:cs="arial"/>
          <w:color w:val="000000"/>
          <w:sz w:val="20"/>
          <w:lang w:val="en-US" w:eastAsia="en-US" w:bidi="ar-SA"/>
        </w:rPr>
        <w:t xml:space="preserve"> in his home program so that instructional control could be maintained and integration become a realistic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Darren's Progress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Joschko has considerable experience doing assessments of children and adolescents with autism and other communication and intellectual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accept Dr. Joschko's assessment of Darren's intellectual and cognitive abilities and his level of functional independence as reasonably accurate. As well, Dr. Joschko provided helpful observations of Darren at his home therapy program which, at the time of his assessment, had been up and running for over four years. It is relevant to consider Darren's current level of functioning when assessing the appropriateness of the School Board's response to the challenges that arose in 2002-2003 to educating him in the classroom. I quote from Dr. Joschko's report, which was marked as Exhibit 89, at pp. 15-19: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What is Darren Hewko's current intellectual state and level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basis of the results of the </w:t>
      </w:r>
      <w:r>
        <w:rPr>
          <w:rFonts w:ascii="arial" w:eastAsia="arial" w:hAnsi="arial" w:cs="arial"/>
          <w:i/>
          <w:color w:val="000000"/>
          <w:sz w:val="20"/>
          <w:lang w:val="en-US" w:eastAsia="en-US" w:bidi="ar-SA"/>
        </w:rPr>
        <w:t>Leiter-R</w:t>
      </w:r>
      <w:r>
        <w:rPr>
          <w:rFonts w:ascii="arial" w:eastAsia="arial" w:hAnsi="arial" w:cs="arial"/>
          <w:color w:val="000000"/>
          <w:sz w:val="20"/>
          <w:lang w:val="en-US" w:eastAsia="en-US" w:bidi="ar-SA"/>
        </w:rPr>
        <w:t xml:space="preserve"> and the intelligence tests he could not complete, it is clear that Darren's intellectual ability is well below average. Darren's measured intelligence is in the range of "moderate intellectual disability" (IQ of 49, with a probable range of 41 to 57 at the 90% confidence interval). His level of functional independence is consistent with what would be expected given his level of intellectual impairment (Standard Score of 42 on the </w:t>
      </w:r>
      <w:r>
        <w:rPr>
          <w:rFonts w:ascii="arial" w:eastAsia="arial" w:hAnsi="arial" w:cs="arial"/>
          <w:i/>
          <w:color w:val="000000"/>
          <w:sz w:val="20"/>
          <w:lang w:val="en-US" w:eastAsia="en-US" w:bidi="ar-SA"/>
        </w:rPr>
        <w:t>ABAS II</w:t>
      </w:r>
      <w:r>
        <w:rPr>
          <w:rFonts w:ascii="arial" w:eastAsia="arial" w:hAnsi="arial" w:cs="arial"/>
          <w:color w:val="000000"/>
          <w:sz w:val="20"/>
          <w:lang w:val="en-US" w:eastAsia="en-US" w:bidi="ar-SA"/>
        </w:rPr>
        <w:t xml:space="preserve"> with a probable range of 39 to 45 at the 95% confidence interval).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basis of the behaviour I observed during my evaluation of Darren and the results of previous psychometric testing in April 2002, it is my opinion that the current </w:t>
      </w:r>
      <w:r>
        <w:rPr>
          <w:rFonts w:ascii="arial" w:eastAsia="arial" w:hAnsi="arial" w:cs="arial"/>
          <w:i/>
          <w:color w:val="000000"/>
          <w:sz w:val="20"/>
          <w:lang w:val="en-US" w:eastAsia="en-US" w:bidi="ar-SA"/>
        </w:rPr>
        <w:t>Leiter-R</w:t>
      </w:r>
      <w:r>
        <w:rPr>
          <w:rFonts w:ascii="arial" w:eastAsia="arial" w:hAnsi="arial" w:cs="arial"/>
          <w:color w:val="000000"/>
          <w:sz w:val="20"/>
          <w:lang w:val="en-US" w:eastAsia="en-US" w:bidi="ar-SA"/>
        </w:rPr>
        <w:t xml:space="preserve"> estimate is likely to be reliable and predictive of Darren's future abilities. It is my opinion that Darren's level of intelligence is not likely to improve into the normal range -therefore, it is more probable than not that he will always function mentally like a young child, and that he will always be predictably behind his age peers in cognitive, academic, and social skills and abilities. Darren's current level of language comprehension is less than the typical child of 3 years of age, and his level of nonverbal intelligence is equivalent to a 5-year level. His overall level of adaptive ability (i.e., day-to-day independence) is equivalent to the levels expected of a child of 3 years, 7 months of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history I have reviewed and Darren's current test results, I expect Darren's rate of learning to continue to be slower than average. It is likely that he will fall further behind relative to his age peers in terms of his intelligence and on any cognitive tasks involving abstraction, factual knowledge, or reasoning in situations that are not directly trained and practiced. This is because IQ scores or other psychometric estimates of ability (percentile and standard scores) reflect standings relative to age peers - they are not an indication of an absolute level of performance, per se. This means it is quite possible that Darren's percentile score on a test measuring, for example, receptive vocabulary (even if assessed through printed materials) could decrease over time (because Darren has not kept up to the rate of development of age-peers in receptive vocabulary) even though Darren's own skills relative to himself have actually improved and his "raw" score (i.e., number of items he is able to get correct on a test) actually shows an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indicated earlier in this report, Darren has learned and developed skills relative to his previous assessment in 2002. However, there is no indication that he has improved in his standing </w:t>
      </w:r>
      <w:r>
        <w:rPr>
          <w:rFonts w:ascii="arial" w:eastAsia="arial" w:hAnsi="arial" w:cs="arial"/>
          <w:color w:val="000000"/>
          <w:sz w:val="20"/>
          <w:u w:val="single"/>
          <w:lang w:val="en-US" w:eastAsia="en-US" w:bidi="ar-SA"/>
        </w:rPr>
        <w:t>relative to his peers</w:t>
      </w:r>
      <w:r>
        <w:rPr>
          <w:rFonts w:ascii="arial" w:eastAsia="arial" w:hAnsi="arial" w:cs="arial"/>
          <w:color w:val="000000"/>
          <w:sz w:val="20"/>
          <w:lang w:val="en-US" w:eastAsia="en-US" w:bidi="ar-SA"/>
        </w:rPr>
        <w:t xml:space="preserve"> (i.e., that he is catching up) or that his intellectual disability is improving. Darren has learned in his therapy program, in a very rote way, a number of important concepts and behaviours. Given his level of intellectual disability, it is doubtful that Darren will be able to apply these concepts and behaviours in community or social settings in a practical way without direct teaching and prompting. Even if he should be able to apply on his own what he is being taught in his therapy program, it is unlikely that the level of what he learns and is able to apply will be anywhere near an age appropriate level. I believe that there will always be a significant cognitive gap between what he learns through his rote learning in his therapy sessions and what others his age are able to understand and do. I do not believe any amount of therapy will overcome his intellectual disability or reverse or normalize his cognitive problems. Children with a moderate level of intellectual disability such as Darren (i.e., IQs in the range 40 to 54) develop a mental age roughly in the range of 5 to 8 years by the time they are adults -I do not believe that it is likely that Darren will exceed this level of intellectual ability regardless of the level or type of intervention he receives.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Is the School District's placement proposal (i.e., a resource room with one to one assistance of an ABA-trained Special Education Assistant and an ABA trained teacher, with as much opportunity for integration as possible) appropriate for Darren?</w:t>
      </w:r>
      <w:r>
        <w:rPr>
          <w:rFonts w:ascii="arial" w:eastAsia="arial" w:hAnsi="arial" w:cs="arial"/>
          <w:color w:val="000000"/>
          <w:sz w:val="20"/>
          <w:lang w:val="en-US" w:eastAsia="en-US" w:bidi="ar-SA"/>
        </w:rPr>
        <w:t xml:space="preserve"> Darren has had approximately 5 years of a highly individualized, intensive behavioural intervention program utilizing the principles and techniques of applied behaviour analysis, and he has responded to this approach to teaching him in his home setting. He has learned many skills through this systematic behavioural teaching, and for the most part his behaviour is controlled in the structured therapy setting at home. Although many of his symptoms of autism are controlled in the therapy setting, they do surface in his free time or when he is not consistently reinforced. Although there are many skills being taught and learned in his home behavioural therapy program, there is no indication that his cognitive skills or abilities have improved (relative to age peers) in the areas in which he was previously assessed in 2002. Furthermore, there is no indication that his overall cognitive level is approaching "normal" or average for his age. Therefore, it will not be possible for Darren to follow an educational curriculum similar to others his age - his educational program will continue to have to be modified and adapted for his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Darren will continue to require an entirely individualized one-to-one therapy program utilizing the principles and techniques of applied behaviour analysis in a very structured and closely supervised setting - that is, he will require appropriate educational interventions that feature instruction based in the principles and techniques of applied behavioural analysis. This will be required until his attention, self-regulation, problem solving, information gathering, compliance and social skills are at a level that he can function successfully in a less structured classroom setting. I do not believe that choice of behavioural education program needs to be limited to the specific program designed by his current behavioural consultant, since the principles of applied behavioural analysis can be utilized successfully by appropriately trained interventionists supervised by appropriately trained psychologists, teachers, or behavioural consultants who might develop different therapy targets.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Darren's home program is essentially a resource room of one, and this appears to work for the control of his symptoms and the teaching of a number of discrete skills and concepts. This home program does not currently appear to address social interactions and social problem-solving with other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attending a "regular" elementary school classroom, Darren will need very gradual and carefully planned, step-by-step integration into a larger setting where there will be considerably more distractions, multiple social expectations, and many unexpected events which do not fit his own routine or expectations. Until the nature of his reinforcement regime changes (i.e., the very frequent use of video clips or other visually or auditorily distracting stimuli; the use of auditory volume as a reward; etc.) and the rate of verbal reinforcement decreases (i.e., very frequent, clearly audible verbal comments from his therapists), it would likely be disruptive in the extreme and socially alienating to try to carry out his current ABA program within the confines of a typical elementary classroom without some significant modifications to the physical set up of the classroom (such as, a soundproof work area within the classroom, a video monitor shielded from other children, a soundproof and private place where Darren can bounce and stomp the floor while he watches television at a very high sound volume,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Darren has had a number of different therapists since he began his therapy program in June 2000. He has also had a very significant change to his home therapy team over the last year -Mrs. Hewko told me that Darren "</w:t>
      </w:r>
      <w:r>
        <w:rPr>
          <w:rFonts w:ascii="arial" w:eastAsia="arial" w:hAnsi="arial" w:cs="arial"/>
          <w:i/>
          <w:color w:val="000000"/>
          <w:sz w:val="20"/>
          <w:lang w:val="en-US" w:eastAsia="en-US" w:bidi="ar-SA"/>
        </w:rPr>
        <w:t>has accepted a whole new therapy team since January 2005</w:t>
      </w:r>
      <w:r>
        <w:rPr>
          <w:rFonts w:ascii="arial" w:eastAsia="arial" w:hAnsi="arial" w:cs="arial"/>
          <w:color w:val="000000"/>
          <w:sz w:val="20"/>
          <w:lang w:val="en-US" w:eastAsia="en-US" w:bidi="ar-SA"/>
        </w:rPr>
        <w:t>", and that "</w:t>
      </w:r>
      <w:r>
        <w:rPr>
          <w:rFonts w:ascii="arial" w:eastAsia="arial" w:hAnsi="arial" w:cs="arial"/>
          <w:i/>
          <w:color w:val="000000"/>
          <w:sz w:val="20"/>
          <w:lang w:val="en-US" w:eastAsia="en-US" w:bidi="ar-SA"/>
        </w:rPr>
        <w:t>he took it all in stride</w:t>
      </w:r>
      <w:r>
        <w:rPr>
          <w:rFonts w:ascii="arial" w:eastAsia="arial" w:hAnsi="arial" w:cs="arial"/>
          <w:color w:val="000000"/>
          <w:sz w:val="20"/>
          <w:lang w:val="en-US" w:eastAsia="en-US" w:bidi="ar-SA"/>
        </w:rPr>
        <w:t>". Therefore, it should be possible for Darren to learn to accept and work with different interventionists at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Darren will continue to require and respond to a program of teaching based on the principles of applied behavioural analysis, and that this can be accomplished with ABA trained teachers and assistants at school in a resource room model with social integration wherever possible either into a regular classroom or through "reverse integration" by having children without disabilities come into the resource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axiomatic that the behavioural intervention techniques used with Darren need to be as consistent as possible between his home and school programs, and that there would be regular and ongoing communication between the home and school interventionists.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your view, what are the deficiencies of the home program that Darren Hewko is currently receiving, if any, and what adaptations to the home program would benefit Darren?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Darren's home program is intensive, well managed, and carried out by competent and committed interventionists under the direct supervision of Darren's mother and the overview of a qualified Master's level behavioural consultant, Ms. Rachel Russell.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intent and plan is to eventually have Darren reintegrate into a public school setting, then a number of specialized consultations to his home team would be helpful, and it will be important to increase his exposure to other children his age in a systematic and controlled way. In my opinion, there are areas of Darren's home program that could be improved and that would likely have tangible benefits for Darren. Please note that I am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suggesting that Darren's current intensive ABA home program should be dramatically altered and changed, or that it should be directed by non-ABA specialists -the general ABA principles and techniques that are working with Darren should be continued. It is my opinion, however, that input of other perspectives is very important and that such input will likely improve the selection and teaching of targeted skills and behaviours within Darren's current ABA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Consultations with an elementary school special education teacher could help ensure that the behavioural targets chosen for Darren's program will mesh well with the social, behavioural and cognitive requirements for success at school. Since Darren has profound receptive and expressive language impairments, it is my opinion that some consultations with an experienced speech and language pathologist would likely be helpful to Darren's mother and therapists in fine tuning his communication program and the target words and language simulation they are providing Darren. Since Darren has an intellectual disability, consultations with a child psychologist might be helpful in more closely adapting Darren's program to his cognitive limitations. Since Darren's level of functional independence is poor, consultations with an occupational therapist might lead to a more fine tuned approach to teaching him functional skills (such as taking a shower or preparing a simple snack).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Darren's exposure to, and tolerance for, other children, could be increased by some carefully planned "reverse integration" where one or two children are invited into his therapy sessions and social activities in the community. Mrs. Hewko told me that Darren does get some exposure to other children during outings in the community and when his brother's friends come over and include him in their activities, but these do not appear to be planned aspects of 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Darren enjoys many independent play activities such as painting, colouring, mazes, word searches, puzzles and Lite-Brite. Ms. Russell noted that these are independent play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Mrs. Hewko testified in April, 2006 that Darren had a sight word vocabulary of about 400 words and a spelling list of well over 100 words. As Dr. Joschko pointed out, the average 8 year old has a sight vocabulary of 20,000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Darren's negative behaviours have decreased significantly, both in frequency and intensity from what they were after a month or two of an ineffective Kindergarten experience. A "pinch" is now no more than the touch of a single finger at the top of someone's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Mrs. Hewko testified that Darren is a lot more aware of his environment now and that he is very happy and compliant. He has recently been learning to set the table by himself. He loves to go hiking. He wants to interact with people. He is happy to be with his brother Bryce's friends on the trampoline, playing with Lego, following them around the house and takes enjoyment when company comes to the house. He goes with the family to watch Bryce's soccer games where he will also play with other children at the playground, even if he does not know the other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Mrs. Hewko believes that Darren could go back to school in a normal class as long as he has an appropriate teaching assistant, that is, someone who is trained in his home program under the training and guidance of Ms. Russell and Theresa Tournemille, his home-based senior instructor. Ongoing training would also be important to ensure that the TA maintains instructional control of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Russell is of the opinion that Darren needs to get back into the school environment because it will offer him important access to social interaction and friends. This opinion was universal among all experts who testified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Appeal under Section 11 of the School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Mrs. Hewko felt she had no other avenues to take but to appeal the District's decision to the Abbotsford School Board: "We thought that we were at the end of our 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Hewkos instructed counsel to send their appeal material to the Board office, which she did on October 6, 2003. The appeal was made pursuant to s. 11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Prior to hearing the Hewko appeal, the Abbotsford School Board held two special "in camera" meetings at which the Hewko matter appeared on the agenda. Mr. Godden attended both those meetings. He testified that as one of the District's officers, he always attends the special "in camera" meetings. Mr. Godden confirmed that the Hewkos were not told of these meetings, nor could they have attended the meetings as they were "in camera", closed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Board met "in camera" on September 22, 2003 and considered Mrs. Hewko's correspondence from September 8 as well as Mr. Godden's letter of September 11, 2003 (the outcome of the appeal to Mr. Godden from the school-based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Godden provided written information to the Board at the meeting on September 22, 2003. The information dealt with "An Overview of the Autism Picture in Abbotsford". Among other things, the document stressed, in bold letters, that: "The continuum of services within our district has allowed us to successfully meet the needs of our students with autism. These services will be strengthened as a result of our capability to offer ABA style supports for students who would benefit from it". Mr. Godden did not give a copy to the Hewkos, nor tell them that he had provided the Board with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Ms. Schwass was apparently not asked to provide any written input with respect to the Hewko appeal, nor did she attend the hearing. The Board therefore did not have any direct evidence from Ms. Schwass when they considered the Hewko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Ms. Harris, counsel to the Board, and Mr. Godden spoke by telephone for more than 20 minutes the day before the hearing. There is no evidence of what they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s. 11 appeal was heard on October 28, 2003. Mr. and Mrs. Hewko attended with their counsel, Ms. von Krosigk. Also in attendance were Mr. Godden, Ms. Clarke, Mr. Arden, the Superintendent, the School Board Trustees and counsel, Ms. Harris. No witnesses were sworn in and there was apparently no opportunity for cross-examination. Ms. von Krosigk requested that the proceedings be recorded, but this request was denied. She also requested that minutes be kept of the meeting but the response was that the Board does not keep minutes. The Hewkos were told that they had 30 minutes to state their case and that they had no right to appeal the decision of the Board. The Hewkos were subsequently allowed to go over the 30 minute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Harris, counsel for the Board, stayed with the Board during their deliberations and offered unspecified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On October 30, 2003, the School Board rendered a written decision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staff recommendation be upheld.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Board of School Trustees direct Assistant Superintendent, Mr. Kevin Godden, to facilitate the regular and frequent communication between the school-based team, the parents and the home-based team with regard to ongoing development and implementation of the Individual Education Plan for Darren Hewko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it is the Board's expectation that consultation will include reasonable access for the Autism Treatment Consultant to observe Darren in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von Krosigk wrote to the Board on November 27, 2003, informing them that Mr. and Mrs. Hewko had decided to make alternate arrangements for Darren and that they regretted this as they felt that Darren would able to return to the school setting, provided he had an appropriately qualified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Board held another special "in camera" meeting on December 11, 2003 at which the Hewko matter was also discussed. Again, the Hewkos were not told of this meeting, nor were they invited to attend. Mr. Godden could not recall if he attended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Despite the above information, Abbotsford submitted a "1701 form" to the Ministry of Education showing Darren as a student with autism in the District. Consequently the District received the regular student enrolment funding for him as well as the extra block funding available for students with autism. The funds have not been returned to the Ministry even though Darren did not attend school at all in the Abbotsford School District in 2003/2004 or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Both the defendant School Board and the defendant Province plead that the failure to bring a judicial review proceeding of the Board's determination of the s. 11 appeal is a bar to this action. Further, the defendants plead that the causes of action pleaded by the plaintiffs could have been raised in the statutory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defendant District withdrew its reliance on the s. 11 appeal as a bar to this action as a result of the evidence relating to Mr. Godden's involvement in "in camera" meetings and his telephone meeting with counsel for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Province continues to rely on that pleading. In my view, this case does not solely concern which educational programs a District must offer and at which schools. In the end, this case deals with whether the Province and the Abbotsford School District considered only Darren's best interest in concluding what school and what program would be offered to him, and whether they did so in a manner that was fair and consistent with their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conduct of the appeal, particularly Mr. Godden's role in having access to the Board and its counsel before the hearing, raised a reasonable apprehension of bias. Thus, even if the defendants were correct that this action is really only an impermissible collateral attack on the s.11 appeal, which I find not to be the case, the reasonable apprehension of bias renders the hearing of no legal effect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Duties of the School Board and the Ministry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Statutory Framework and Policy pertaining to the Provision of Education and Special Education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allocates authority and responsibility among teachers, school boards, the Minister of Education, the Lieutenant-Governor in Council and parents. The purpose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is set out in the preamble: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it is the goal of a democratic society to ensure that all of its members receive an education that enables them to become personally fulfilled and publicly useful, thereby increasing the strength and contributions to the health and stability of that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the purpose of the British Columbia school system is to enable all learners to develop their individual potential and to acquire the knowledge, skills and attitudes needed to contribute to a healthy, democratic and pluralistic society and a prosperous and sustainable economy;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clear that "all learners" includes students with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Access to an educational program</w:t>
      </w:r>
      <w:r>
        <w:rPr>
          <w:rFonts w:ascii="arial" w:eastAsia="arial" w:hAnsi="arial" w:cs="arial"/>
          <w:color w:val="000000"/>
          <w:sz w:val="20"/>
          <w:lang w:val="en-US" w:eastAsia="en-US" w:bidi="ar-SA"/>
        </w:rPr>
        <w:t xml:space="preserve"> is prescribed in s. 2(1)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 person is entitled to enrol in an educational program provided by the board of a school district if the person (a) is of school age, and (b) is resident in that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provision of an educational program</w:t>
      </w:r>
      <w:r>
        <w:rPr>
          <w:rFonts w:ascii="arial" w:eastAsia="arial" w:hAnsi="arial" w:cs="arial"/>
          <w:color w:val="000000"/>
          <w:sz w:val="20"/>
          <w:lang w:val="en-US" w:eastAsia="en-US" w:bidi="ar-SA"/>
        </w:rPr>
        <w:t xml:space="preserve"> is governed by s. 75 (1)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 board must make available an educational program to all persons of school age who enrol in a school in the district. Section 82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stipulates that the board must provide, free of charge to every student of school age enrolled in an educational program, instruction sufficient to meet the general requirements for graduation, instruction in an educational program after the student has met the general requirements for graduation and educational resource materials necessary to participate in the educational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comprehensive definition of an educational program in s. 75(1) and s. 1 does not appear to provide for anything less than an entitlement to an appropriate educational program. Given the definition of an "educational program" found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is foreseeable that a specialized, varied and dynamic program might be necessary in order for a particular student to meet the defined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defines </w:t>
      </w:r>
      <w:r>
        <w:rPr>
          <w:rFonts w:ascii="arial" w:eastAsia="arial" w:hAnsi="arial" w:cs="arial"/>
          <w:color w:val="000000"/>
          <w:sz w:val="20"/>
          <w:u w:val="single"/>
          <w:lang w:val="en-US" w:eastAsia="en-US" w:bidi="ar-SA"/>
        </w:rPr>
        <w:t>"educational program"</w:t>
      </w:r>
      <w:r>
        <w:rPr>
          <w:rFonts w:ascii="arial" w:eastAsia="arial" w:hAnsi="arial" w:cs="arial"/>
          <w:color w:val="000000"/>
          <w:sz w:val="20"/>
          <w:lang w:val="en-US" w:eastAsia="en-US" w:bidi="ar-SA"/>
        </w:rPr>
        <w:t xml:space="preserve"> as an organized set of learning activities that, in the opinion of the board is designed to enable learners to develop their individual potential and to acquire the knowledge, skills and attitudes needed to contribute to a healthy, democratic and pluralistic society and a prosperous and sustainable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Section 75(6)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the board may recognize an educational activity that is not provided by the board as being a part of a student's educational program. Section 75(4) permits a board to assign and reassign students to specific schools or educational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Section 17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w:t>
      </w:r>
      <w:r>
        <w:rPr>
          <w:rFonts w:ascii="arial" w:eastAsia="arial" w:hAnsi="arial" w:cs="arial"/>
          <w:color w:val="000000"/>
          <w:sz w:val="20"/>
          <w:u w:val="single"/>
          <w:lang w:val="en-US" w:eastAsia="en-US" w:bidi="ar-SA"/>
        </w:rPr>
        <w:t>teachers' responsibilities</w:t>
      </w:r>
      <w:r>
        <w:rPr>
          <w:rFonts w:ascii="arial" w:eastAsia="arial" w:hAnsi="arial" w:cs="arial"/>
          <w:color w:val="000000"/>
          <w:sz w:val="20"/>
          <w:lang w:val="en-US" w:eastAsia="en-US" w:bidi="ar-SA"/>
        </w:rPr>
        <w:t xml:space="preserve"> include designing, supervising and assessing educational programs and instructing, assessing and evaluating individual students and groups of students and performing the duties set out in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Teacher's responsibilities are subject to the supervision and evaluation of the board. Section 75(7) provides that "[s]ubject to the regulations, a board ... is responsible for evaluating all of the educational programs and services provided by the board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Section 11(2)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"[i]f a decision of an employee of a board significantly affects the education, health or safety of a student, the parent or the student may ... appeal that decision to the board". Section 11(6) provides that "[a] board may make any decision that it considers appropriate in respect of the matter that is appealed to it under this section, and the decision of the board is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Teachers' assistants</w:t>
      </w:r>
      <w:r>
        <w:rPr>
          <w:rFonts w:ascii="arial" w:eastAsia="arial" w:hAnsi="arial" w:cs="arial"/>
          <w:color w:val="000000"/>
          <w:sz w:val="20"/>
          <w:lang w:val="en-US" w:eastAsia="en-US" w:bidi="ar-SA"/>
        </w:rPr>
        <w:t xml:space="preserve"> can be employed by a board to assist teachers in carrying out their responsibilities and duties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regulations. They must work under the general supervision of a teacher principal, vice principal or director of instruction (s. 18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Jurisdiction of the Minister of Education</w:t>
      </w:r>
      <w:r>
        <w:rPr>
          <w:rFonts w:ascii="arial" w:eastAsia="arial" w:hAnsi="arial" w:cs="arial"/>
          <w:color w:val="000000"/>
          <w:sz w:val="20"/>
          <w:lang w:val="en-US" w:eastAsia="en-US" w:bidi="ar-SA"/>
        </w:rPr>
        <w:t xml:space="preserve"> is set out in s. 168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Minister may make orders for the purpose of carrying out any of the minister's powers, duties or functions and may make orders governing the provision of educational programs, determining the general requirements for graduation from an educational program, determining the general nature of educational programs and specifying educational program guides, preparing a process for the assessment of the effectiveness of educational programs, preparing a process for measuring individual student performance, governing educational resource materials in support of educational programs, establishing and causing to be operated Provincial resource programs and Provincial schools in British Columbia, and providing in them specialized types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Relevant to the issues in this case, the Minister's jurisdiction to make orders as per s. 168 was exercised when the following orders were made: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Special Needs Students Order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Ministerial Order 150/89</w:t>
      </w:r>
      <w:r>
        <w:rPr>
          <w:rFonts w:ascii="arial" w:eastAsia="arial" w:hAnsi="arial" w:cs="arial"/>
          <w:color w:val="000000"/>
          <w:sz w:val="20"/>
          <w:lang w:val="en-US" w:eastAsia="en-US" w:bidi="ar-SA"/>
        </w:rPr>
        <w:t xml:space="preserve">) states that school boards must ensure that a principal, vice principal or director of instruction offers </w:t>
      </w:r>
      <w:r>
        <w:rPr>
          <w:rFonts w:ascii="arial" w:eastAsia="arial" w:hAnsi="arial" w:cs="arial"/>
          <w:color w:val="000000"/>
          <w:sz w:val="20"/>
          <w:u w:val="single"/>
          <w:lang w:val="en-US" w:eastAsia="en-US" w:bidi="ar-SA"/>
        </w:rPr>
        <w:t>to consult with a parent or a student with special needs regarding the placement of that student in an educational program</w:t>
      </w:r>
      <w:r>
        <w:rPr>
          <w:rFonts w:ascii="arial" w:eastAsia="arial" w:hAnsi="arial" w:cs="arial"/>
          <w:color w:val="000000"/>
          <w:sz w:val="20"/>
          <w:lang w:val="en-US" w:eastAsia="en-US" w:bidi="ar-SA"/>
        </w:rPr>
        <w:t>. The order also states that school boards must provide a student with special needs with an educational program in a classroom where that student is integrated with other students who do not have special needs, unless the educational needs of the student with special needs or other students indicate that the educational program for the student with special needs should be provided otherwise.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Individual Education Plan</w:t>
      </w:r>
      <w:r>
        <w:rPr>
          <w:rFonts w:ascii="arial" w:eastAsia="arial" w:hAnsi="arial" w:cs="arial"/>
          <w:color w:val="000000"/>
          <w:sz w:val="20"/>
          <w:lang w:val="en-US" w:eastAsia="en-US" w:bidi="ar-SA"/>
        </w:rPr>
        <w:t xml:space="preserve"> ("IEP") Order (</w:t>
      </w:r>
      <w:r>
        <w:rPr>
          <w:rFonts w:ascii="arial" w:eastAsia="arial" w:hAnsi="arial" w:cs="arial"/>
          <w:i/>
          <w:color w:val="000000"/>
          <w:sz w:val="20"/>
          <w:lang w:val="en-US" w:eastAsia="en-US" w:bidi="ar-SA"/>
        </w:rPr>
        <w:t>Ministerial Order 683/95</w:t>
      </w:r>
      <w:r>
        <w:rPr>
          <w:rFonts w:ascii="arial" w:eastAsia="arial" w:hAnsi="arial" w:cs="arial"/>
          <w:color w:val="000000"/>
          <w:sz w:val="20"/>
          <w:lang w:val="en-US" w:eastAsia="en-US" w:bidi="ar-SA"/>
        </w:rPr>
        <w:t xml:space="preserve">) states that school boards must ensure that an IEP is designed for a student with special needs and must ensure that the IEP is reviewed at least once each school year, and where necessary, it is revised, or cancelled, and </w:t>
      </w:r>
      <w:r>
        <w:rPr>
          <w:rFonts w:ascii="arial" w:eastAsia="arial" w:hAnsi="arial" w:cs="arial"/>
          <w:color w:val="000000"/>
          <w:sz w:val="20"/>
          <w:u w:val="single"/>
          <w:lang w:val="en-US" w:eastAsia="en-US" w:bidi="ar-SA"/>
        </w:rPr>
        <w:t>school boards must offer the parent of the student, and where appropriate, the student, the opportunity to be consulted about the preparation of the IEP</w:t>
      </w:r>
      <w:r>
        <w:rPr>
          <w:rFonts w:ascii="arial" w:eastAsia="arial" w:hAnsi="arial" w:cs="arial"/>
          <w:color w:val="000000"/>
          <w:sz w:val="20"/>
          <w:lang w:val="en-US" w:eastAsia="en-US" w:bidi="ar-SA"/>
        </w:rPr>
        <w:t>. School boards must also offer each student learning activities in accordance with the IEP designed for that student.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There is no mandatory provision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requires the Minister to create or impose any requirements or standards with respect to the IEPs' of special-needs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Section 175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permits the Lieutenant-Governor in Council to make regulations referred to in s. 41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The plaintiffs say the Ministry could and should overrule a school board's decision, if in the Ministry's opinion, that decision does not meet the objectives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However, I accept the Province's submission that the Lieutenant-Governor in Council could not enact a regulation empowering the Minister of Education to overrule a school board in relation to an IEP for an individual student because such a regulation would be inconsistent with s. 11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Section 11 gives the school board the final decision making power in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Pursuant to s. 169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Minister must make a report annually on the state of education in British Columbia including the effectiveness of educational programs, and </w:t>
      </w:r>
      <w:r>
        <w:rPr>
          <w:rFonts w:ascii="arial" w:eastAsia="arial" w:hAnsi="arial" w:cs="arial"/>
          <w:color w:val="000000"/>
          <w:sz w:val="20"/>
          <w:u w:val="single"/>
          <w:lang w:val="en-US" w:eastAsia="en-US" w:bidi="ar-SA"/>
        </w:rPr>
        <w:t>must from time to time issue a statement of education policy</w:t>
      </w:r>
      <w:r>
        <w:rPr>
          <w:rFonts w:ascii="arial" w:eastAsia="arial" w:hAnsi="arial" w:cs="arial"/>
          <w:color w:val="000000"/>
          <w:sz w:val="20"/>
          <w:lang w:val="en-US" w:eastAsia="en-US" w:bidi="ar-SA"/>
        </w:rPr>
        <w:t xml:space="preserve"> for British Columbia subject to approval by the Lieutenant Governor in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power and capacity of school boards</w:t>
      </w:r>
      <w:r>
        <w:rPr>
          <w:rFonts w:ascii="arial" w:eastAsia="arial" w:hAnsi="arial" w:cs="arial"/>
          <w:color w:val="000000"/>
          <w:sz w:val="20"/>
          <w:lang w:val="en-US" w:eastAsia="en-US" w:bidi="ar-SA"/>
        </w:rPr>
        <w:t xml:space="preserve"> are defined in s. 85. Subject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regulations, a board may: determine local policy for the effective and efficient operation of schools in the school district; subject to the orders of the minister, approve educational resource materials and other supplies and services for use by students; make rules respecting the establishment, operation, administration and management of schools operated by the board and educational programs provided by the board, and respecting any other matter under the jurisdiction of the board; subject to the orders of the minister, evaluate and recognize educational activities of an educational program undertaken by a student outside of the school; and develop and offer local programs for use in schools in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Funding</w:t>
      </w:r>
      <w:r>
        <w:rPr>
          <w:rFonts w:ascii="arial" w:eastAsia="arial" w:hAnsi="arial" w:cs="arial"/>
          <w:color w:val="000000"/>
          <w:sz w:val="20"/>
          <w:lang w:val="en-US" w:eastAsia="en-US" w:bidi="ar-SA"/>
        </w:rPr>
        <w:t xml:space="preserve"> for the delivery and support of educational programs, including special education programs and services, is established and announced by the Minister of Education to the school boards (s. 106.2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Minister of Finance must pay each of the school boards the operating grant and the debt service grant (s. 114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Section 115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the Minister of Finance may also pay a board a special grant or a grant for the operation of a provincial resource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Support services for schools</w:t>
      </w:r>
      <w:r>
        <w:rPr>
          <w:rFonts w:ascii="arial" w:eastAsia="arial" w:hAnsi="arial" w:cs="arial"/>
          <w:color w:val="000000"/>
          <w:sz w:val="20"/>
          <w:lang w:val="en-US" w:eastAsia="en-US" w:bidi="ar-SA"/>
        </w:rPr>
        <w:t xml:space="preserve"> including health services, social services and other support services must be provided by the board in accordance with any orders made by the Minister (s. 88(1))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The Ministry of Education has within it a </w:t>
      </w:r>
      <w:r>
        <w:rPr>
          <w:rFonts w:ascii="arial" w:eastAsia="arial" w:hAnsi="arial" w:cs="arial"/>
          <w:color w:val="000000"/>
          <w:sz w:val="20"/>
          <w:u w:val="single"/>
          <w:lang w:val="en-US" w:eastAsia="en-US" w:bidi="ar-SA"/>
        </w:rPr>
        <w:t>Special Education Branch</w:t>
      </w:r>
      <w:r>
        <w:rPr>
          <w:rFonts w:ascii="arial" w:eastAsia="arial" w:hAnsi="arial" w:cs="arial"/>
          <w:color w:val="000000"/>
          <w:sz w:val="20"/>
          <w:lang w:val="en-US" w:eastAsia="en-US" w:bidi="ar-SA"/>
        </w:rPr>
        <w:t xml:space="preserve"> (the "SEB"). The roles and responsibilities of the SEB are outlined in the Ministry's Manual of Policies, Procedures and Guidelines (the "Ministry's Manual"). The </w:t>
      </w:r>
      <w:r>
        <w:rPr>
          <w:rFonts w:ascii="arial" w:eastAsia="arial" w:hAnsi="arial" w:cs="arial"/>
          <w:color w:val="000000"/>
          <w:sz w:val="20"/>
          <w:u w:val="single"/>
          <w:lang w:val="en-US" w:eastAsia="en-US" w:bidi="ar-SA"/>
        </w:rPr>
        <w:t>purpose of the SEB</w:t>
      </w:r>
      <w:r>
        <w:rPr>
          <w:rFonts w:ascii="arial" w:eastAsia="arial" w:hAnsi="arial" w:cs="arial"/>
          <w:color w:val="000000"/>
          <w:sz w:val="20"/>
          <w:lang w:val="en-US" w:eastAsia="en-US" w:bidi="ar-SA"/>
        </w:rPr>
        <w:t xml:space="preserve"> is to enable the equitable participation of students with special needs in the educational system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To achieve this purpose, the SEB has the following responsibilities: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standards and develop the necessary policies, procedures and guidelines to implement provincial legislation and the financial administration related to funding of special education programs and services.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and monitor special education programs and services for accountability to established standards, guidelines and levels of resource allocation.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efforts with other branches of the ministry to facilitate a consistent approach to the accommodation of students with special needs in the education system.</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with other ministries and provincial agencies to facilitate the improved delivery of non-educational support services to students, and in particular those covered by protocol agreements.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maintain appropriate program evaluation procedures in special education.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Foster the professional development of teachers, administrators, and support staff related to meeting the educational needs of exceptional children.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best practices in special education and provide advice, consultation and support to the field regarding these.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program and technical trends and changes in special education in British Columbia and elsewhere, and provide leadership in the improvement of standards of practice.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student enrolment trends in special education in British Columbia.</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the development of and fiscal requirements for provincial resource programs and special education technology sites.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leadership in program development and resource selection activities to ensure that effective programs for children with special educational needs are designed and provided in a timely and cost-effective manner.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 in long-term planning and priority setting for special education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Ms. Kennedy, the representative of the Ministry of Education called to testify at trial, was cross-examined at length about the Ministry's obligations and actions pursuant to the Ministry's policy objectives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I found Ms. Kennedy to be an excellent witness. She was knowledgeable, straightforward and candid, particularly regarding the Ministry's attempts to be responsive to the needs of children with autism. The lobbying effort by FEAT and other persons and organizations with expertise with autism culminated in a submission from the Ministry of Children and Families in 2005 to the Ministry of Education. These submissions were put to Ms. Kennedy. They included education issues identified by the parents involved in the </w:t>
      </w:r>
      <w:r>
        <w:rPr>
          <w:rFonts w:ascii="arial" w:eastAsia="arial" w:hAnsi="arial" w:cs="arial"/>
          <w:b/>
          <w:i/>
          <w:color w:val="000000"/>
          <w:sz w:val="20"/>
          <w:lang w:val="en-US" w:eastAsia="en-US" w:bidi="ar-SA"/>
        </w:rPr>
        <w:t>Auton/Anderson</w:t>
      </w:r>
      <w:r>
        <w:rPr>
          <w:rFonts w:ascii="arial" w:eastAsia="arial" w:hAnsi="arial" w:cs="arial"/>
          <w:color w:val="000000"/>
          <w:sz w:val="20"/>
          <w:lang w:val="en-US" w:eastAsia="en-US" w:bidi="ar-SA"/>
        </w:rPr>
        <w:t xml:space="preserve"> litigation thought to be of greatest concern, including:</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expertise of trained aides and teachers in the area of autism;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commitment to integrated and coordinated approach between school and home environments,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consistency between behavioural interventions programs being implemented in the school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Ms. Kennedy agreed that the Ministry of Education had heard of such concerns "considerably before" receiving this information from the Ministry for Children and Families and that the Ministry had been aware that there were professionals, social workers, educators and parents who held similar views. By inference, particularly before 2005, the Ministry justifiably considered some of the views expressed by such lobby groups as controversial insofar as what they were proposing as the best solution to the acknowledged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Kennedy was asked whether any effort was undertaken by the Ministry of Education in response to these concerns. She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have taken one first step towards bringing, aligning the definitions and the assessment practices of all the ministries for autism spectrum disorder together; that is the first step in trying to better integrate the programmes to meet kids' needs. Starting July 1st there will be new guidelines for autism spectrum. So it's a baby step towards, we hope, something that will be a big improvement in the future.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the meantime, for the Darren Hewkos in British Columbia, what has been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Is ABA-IBI therapy as an educational tool novel and emergent?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This issue was pleaded as a defence by the defendants early in the case management of this action. Those pleadings were abandoned. However, the plaintiffs urge this court to make a declaration that ABA-IBI therapy is not novel or emergent, which is said to be consistent with findings in the </w:t>
      </w:r>
      <w:r>
        <w:rPr>
          <w:rFonts w:ascii="arial" w:eastAsia="arial" w:hAnsi="arial" w:cs="arial"/>
          <w:b/>
          <w:i/>
          <w:color w:val="000000"/>
          <w:sz w:val="20"/>
          <w:lang w:val="en-US" w:eastAsia="en-US" w:bidi="ar-SA"/>
        </w:rPr>
        <w:t>Wynberg/Deskin</w:t>
      </w:r>
      <w:r>
        <w:rPr>
          <w:rFonts w:ascii="arial" w:eastAsia="arial" w:hAnsi="arial" w:cs="arial"/>
          <w:color w:val="000000"/>
          <w:sz w:val="20"/>
          <w:lang w:val="en-US" w:eastAsia="en-US" w:bidi="ar-SA"/>
        </w:rPr>
        <w:t xml:space="preserve"> trial decision and not disturbed by the Ontario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The following discussion of that issue is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but is relevant to the discussion of the issues raised by the plaintiffs relating to alleged breaches of Darren Hewko's s. 15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and the Province's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Simply put, as pointed out by the Province, ABA services are available and provided within the British Columbia school system. There was and is no denial of such services to Darren Hewko. There is an issue as to how ABA-IBI services can and will be delivered. There is a further issue as to whether ABA services can and must be the only education services provided to a child with autism attending a public school. Assuming without deciding that ABA-IBI services were and are the only effective educational tool for furthering the educational goals of a child with autism because ABA-IBI methodology as an educational tool is a relatively recent educational development, the infrastructure in British Columbia is in its infancy. This is in large part because to deliver education services by means of ABA-IBI methodology requires lengthy and intensive training for the deliverers of such programs and even lengthier and more intensive training for the professionals to design such programs for delivery. Nevertheless, the evidence is clear that such educational programming is being developed in British Columbia and has been for at least the last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issue of whether ABA-IBI is the only effective tool for delivery of educational services to children with autism in the public schools occupied a great deal of court time. I can come to only one conclusion: There is a spirited debate among professionals with varying degrees of expertise on this issue. The evidence before the court was that from early diagnosis to about the age of six, ABA-IBI methodology is maximally effective in treating children with autism such that they can maximize their potential for communication and thus learning. ABA-IBI has proven itself effective in maintaining instructional control of children with autism. Instructional control is essential, of course, to enabling a child to learn in any environment. For a child with even moderate autism, instructional control means enabling the child to maintain focus on whatever subject is to be learned.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Even the expert, Dr. Foxx, who could be said to be one of the foremost experts on and proponents of ABA-IBI as an education tool, opined that the median number of years for ABA-IBI treatment, if begun at the earliest time possible, is two years at 20-25 hours per week. The intensive one-on-one nature of the therapy dictates its limits. Dr. Foxx did not opine that more hours or more years might not be appropriate in some cases. What is inferentially clear, however, is that any child with autism who has received 20-25 hours per week of ABA-IBI for at least two years or more must utilize other methodology or learning experiences for the rest of the child's school years and beyond. Thus, it is no stretch to conclude that in the arsenal of learning tools for children with autism, there is room for more than one method for continued learning, if ABA-IBI or some form of ABA methodology is available and utilized while maximally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plaintiffs ask the court to declare that ABA-IBI is not a novel and emergent therapy. It is not necessary for me to decide that in this case. As a matter of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however, I can say that, not only is it not necessary for me to make such a declaration in this case because ABA-IBI is allowed for and deemed appropriate, but that it is not so novel and emergent that its novelty is any basis for refusing to provide it where it can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Statutory Duty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complaint against the Province is essentially that the funding and programming put in place to provide necessary therapy for children with autism so that they can access educational opportunities in the public school system is too little too late. The infrastructure gap is the result of wrongful inaction on the part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Further, the plaintiffs say that autism intervention funding now in place following the trial and Court of Appeal decisions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is too limited. The plaintiff points out that even in the Supreme Court of Canada's reasons for decision overturning the British Columbia Court of Appeal - the too little too late response to the need for autism intervention funding was noted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government's failing was to delay putting in place what was emerging in the late-1990s as the most, indeed the only known, effective therapy for autism, while continuing to fund increasingly discredited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Thus, the plaintiffs say that the lack of funding and resources in place to ensure that persons engaged in special education programming for children with autism or ASD have the training to provide ABA-IBI programs as needed has continued. This is the basis for the claim of discrimination pursuant to s. 15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breach of statutory duty on the part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plaintiffs say that, when one considers the evidence presented and the testimony heard, the responsibilities listed in the Ministry's manual do not quite mirror what the SEB actually accomplishes, certainly with respect to children with autism. However, the deficits pointed to by the plaintiffs are deficits flowing from policy not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This then raises the question of whether a policy enunciated by a government is enforceable against that government and whether any remedy exists for a party claiming to be injured by a failure to adhere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short answer is no, policies are distinguishable from statutory duties in that they do not create any rights enforceable at law. Courts have come up with a variety of ways of drawing the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Recourse for the Breach of a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appropriate remedy for a breach of statutory duty would be for relief in the form of mandamus. Mandamus is a discretionary remedy and compels a delegate to fulfill statutory duties. The applicant must show that there resides in him the legal right to the performance of a legal duty imposed by statute upon the party against whom mandamus is sought. There is also a requirement that the statute impose a duty, the performance or non-performance of which is not a matter of discretion </w:t>
      </w:r>
      <w:r>
        <w:rPr>
          <w:rFonts w:ascii="arial" w:eastAsia="arial" w:hAnsi="arial" w:cs="arial"/>
          <w:b/>
          <w:color w:val="000000"/>
          <w:sz w:val="20"/>
          <w:lang w:val="en-US" w:eastAsia="en-US" w:bidi="ar-SA"/>
        </w:rPr>
        <w:t>(</w:t>
      </w:r>
      <w:r>
        <w:rPr>
          <w:rFonts w:ascii="arial" w:eastAsia="arial" w:hAnsi="arial" w:cs="arial"/>
          <w:b/>
          <w:i/>
          <w:color w:val="000000"/>
          <w:sz w:val="20"/>
          <w:lang w:val="en-US" w:eastAsia="en-US" w:bidi="ar-SA"/>
        </w:rPr>
        <w:t>Re Ferguson and Commissioner for Federal Judicial Affairs</w:t>
      </w:r>
      <w:r>
        <w:rPr>
          <w:rFonts w:ascii="arial" w:eastAsia="arial" w:hAnsi="arial" w:cs="arial"/>
          <w:b/>
          <w:color w:val="000000"/>
          <w:sz w:val="20"/>
          <w:lang w:val="en-US" w:eastAsia="en-US" w:bidi="ar-SA"/>
        </w:rPr>
        <w:t xml:space="preserve"> </w:t>
      </w:r>
      <w:hyperlink r:id="rId302" w:history="1">
        <w:r>
          <w:rPr>
            <w:rFonts w:ascii="arial" w:eastAsia="arial" w:hAnsi="arial" w:cs="arial"/>
            <w:b/>
            <w:i/>
            <w:color w:val="0077CC"/>
            <w:sz w:val="20"/>
            <w:u w:val="single"/>
            <w:shd w:val="clear" w:color="auto" w:fill="FFFFFF"/>
            <w:lang w:val="en-US" w:eastAsia="en-US" w:bidi="ar-SA"/>
          </w:rPr>
          <w:t>(1982) 140 D.L.R. (3d) 542</w:t>
        </w:r>
      </w:hyperlink>
      <w:r>
        <w:rPr>
          <w:rFonts w:ascii="arial" w:eastAsia="arial" w:hAnsi="arial" w:cs="arial"/>
          <w:b/>
          <w:color w:val="000000"/>
          <w:sz w:val="20"/>
          <w:lang w:val="en-US" w:eastAsia="en-US" w:bidi="ar-SA"/>
        </w:rPr>
        <w:t xml:space="preserve"> (F.T.D.).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Duty of Fairness in the Application of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In both </w:t>
      </w:r>
      <w:r>
        <w:rPr>
          <w:rFonts w:ascii="arial" w:eastAsia="arial" w:hAnsi="arial" w:cs="arial"/>
          <w:b/>
          <w:i/>
          <w:color w:val="000000"/>
          <w:sz w:val="20"/>
          <w:lang w:val="en-US" w:eastAsia="en-US" w:bidi="ar-SA"/>
        </w:rPr>
        <w:t>Young v. Minister of Employment and Immigration</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[1987] 8 F.T.R. 218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Rai v. Minister of Employment and Immigration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[1986] 6 F.T.R. 109</w:t>
        </w:r>
      </w:hyperlink>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Rai</w:t>
      </w:r>
      <w:r>
        <w:rPr>
          <w:rFonts w:ascii="arial" w:eastAsia="arial" w:hAnsi="arial" w:cs="arial"/>
          <w:color w:val="000000"/>
          <w:sz w:val="20"/>
          <w:lang w:val="en-US" w:eastAsia="en-US" w:bidi="ar-SA"/>
        </w:rPr>
        <w:t xml:space="preserve">), the court considered whether there were any grounds for review by way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This would be the case if the applicant could show that, in the course of </w:t>
      </w:r>
      <w:r>
        <w:rPr>
          <w:rFonts w:ascii="arial" w:eastAsia="arial" w:hAnsi="arial" w:cs="arial"/>
          <w:i/>
          <w:color w:val="000000"/>
          <w:sz w:val="20"/>
          <w:lang w:val="en-US" w:eastAsia="en-US" w:bidi="ar-SA"/>
        </w:rPr>
        <w:t>applying</w:t>
      </w:r>
      <w:r>
        <w:rPr>
          <w:rFonts w:ascii="arial" w:eastAsia="arial" w:hAnsi="arial" w:cs="arial"/>
          <w:color w:val="000000"/>
          <w:sz w:val="20"/>
          <w:lang w:val="en-US" w:eastAsia="en-US" w:bidi="ar-SA"/>
        </w:rPr>
        <w:t xml:space="preserve"> the policy, the Minister had breached a duty of fairness or failed to consider all aspects of the applicant's situation. That cause of action is not really applicable to the roles and responsibilities of the SEB as outlined in the Ministry's Manual as there was no decision made pursuant to the policy which could be reviewed. We are dealing simply with a policy that the Province has set out for itself to guide its own work in the provision of special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Distinction between Acts/Regulations and Policies/Programmes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a refugee sought to compel the issuance of a Minister's permit which was being issued to certain foreign nationals pursuant to a policy adopted to deal with a backlog of refugee claims. The decision is relevant to the present case in that the Court drew a distinction between the </w:t>
      </w:r>
      <w:r>
        <w:rPr>
          <w:rFonts w:ascii="arial" w:eastAsia="arial" w:hAnsi="arial" w:cs="arial"/>
          <w:b/>
          <w:i/>
          <w:color w:val="000000"/>
          <w:sz w:val="20"/>
          <w:lang w:val="en-US" w:eastAsia="en-US" w:bidi="ar-SA"/>
        </w:rPr>
        <w:t>Immigration Act</w:t>
      </w:r>
      <w:r>
        <w:rPr>
          <w:rFonts w:ascii="arial" w:eastAsia="arial" w:hAnsi="arial" w:cs="arial"/>
          <w:color w:val="000000"/>
          <w:sz w:val="20"/>
          <w:lang w:val="en-US" w:eastAsia="en-US" w:bidi="ar-SA"/>
        </w:rPr>
        <w:t xml:space="preserve"> and Regulations on the one hand and policies or programmes of the Ministry on the other. Policies and programmes were held not to create enforceable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Rai</w:t>
      </w:r>
      <w:r>
        <w:rPr>
          <w:rFonts w:ascii="arial" w:eastAsia="arial" w:hAnsi="arial" w:cs="arial"/>
          <w:color w:val="000000"/>
          <w:sz w:val="20"/>
          <w:lang w:val="en-US" w:eastAsia="en-US" w:bidi="ar-SA"/>
        </w:rPr>
        <w:t>, the Minister had refused to adjust the applicant's status to that of permanent resident pursuant to the "Long Term Illegal Migrant Programme". Jerome, A.C.J. held that, as a matter of law, the distinction between a statute establishing legal rights and a policy must be borne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Section 2 of the </w:t>
      </w:r>
      <w:r>
        <w:rPr>
          <w:rFonts w:ascii="arial" w:eastAsia="arial" w:hAnsi="arial" w:cs="arial"/>
          <w:b/>
          <w:i/>
          <w:color w:val="000000"/>
          <w:sz w:val="20"/>
          <w:lang w:val="en-US" w:eastAsia="en-US" w:bidi="ar-SA"/>
        </w:rPr>
        <w:t>Interpretation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Wildlife Federation Inc. v. Canada (Minister of the Environment)</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[1989] 26 F.T.R. 245</w:t>
        </w:r>
      </w:hyperlink>
      <w:r>
        <w:rPr>
          <w:rFonts w:ascii="arial" w:eastAsia="arial" w:hAnsi="arial" w:cs="arial"/>
          <w:color w:val="000000"/>
          <w:sz w:val="20"/>
          <w:lang w:val="en-US" w:eastAsia="en-US" w:bidi="ar-SA"/>
        </w:rPr>
        <w:t xml:space="preserve">, affirmed </w:t>
      </w:r>
      <w:hyperlink r:id="rId306" w:history="1">
        <w:r>
          <w:rPr>
            <w:rFonts w:ascii="arial" w:eastAsia="arial" w:hAnsi="arial" w:cs="arial"/>
            <w:i/>
            <w:color w:val="0077CC"/>
            <w:sz w:val="20"/>
            <w:u w:val="single"/>
            <w:shd w:val="clear" w:color="auto" w:fill="FFFFFF"/>
            <w:lang w:val="en-US" w:eastAsia="en-US" w:bidi="ar-SA"/>
          </w:rPr>
          <w:t>[1989] F.C.J. No. 530</w:t>
        </w:r>
      </w:hyperlink>
      <w:r>
        <w:rPr>
          <w:rFonts w:ascii="arial" w:eastAsia="arial" w:hAnsi="arial" w:cs="arial"/>
          <w:color w:val="000000"/>
          <w:sz w:val="20"/>
          <w:lang w:val="en-US" w:eastAsia="en-US" w:bidi="ar-SA"/>
        </w:rPr>
        <w:t xml:space="preserve"> (F.C.A.), the issue was whether the Minister could be required to comply with the Environmental Assessment and Review Process Guidelines Order, S.O.R./84-467 (the "EARP Guidelines Order"). The EARP Guidelines Order was formulated pursuant to subsection 6(2) of the </w:t>
      </w:r>
      <w:r>
        <w:rPr>
          <w:rFonts w:ascii="arial" w:eastAsia="arial" w:hAnsi="arial" w:cs="arial"/>
          <w:b/>
          <w:i/>
          <w:color w:val="000000"/>
          <w:sz w:val="20"/>
          <w:lang w:val="en-US" w:eastAsia="en-US" w:bidi="ar-SA"/>
        </w:rPr>
        <w:t>Environment Act</w:t>
      </w:r>
      <w:r>
        <w:rPr>
          <w:rFonts w:ascii="arial" w:eastAsia="arial" w:hAnsi="arial" w:cs="arial"/>
          <w:color w:val="000000"/>
          <w:sz w:val="20"/>
          <w:lang w:val="en-US" w:eastAsia="en-US" w:bidi="ar-SA"/>
        </w:rPr>
        <w:t>, R.S., c. 14 (2nd supp)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Cullen J. looked to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to draw the distinction between Acts and Regulations that create enforceable rights on the one hand and policy or programmes on the other. He found that the order in question was an enactment or regulation as defined in s. 2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and therefore was not a mere description of a policy or programme; it may create rights which may be enforceable by way of mandamus: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"enactment" means an Act or regulation or any portion of an Act or regulation;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"regulation" includes an order, regulation, rule, rule of court, form, tariff of costs or fees, letters patent, commission, warrant, proclamation, by-law, resolution or other instrument issued, made or established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execution of a power conferred by or under the authority of an Act,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or under the authority of the Governor in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Is the Policy of an Administrative or Legislative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Oldman River</w:t>
      </w:r>
      <w:r>
        <w:rPr>
          <w:rFonts w:ascii="arial" w:eastAsia="arial" w:hAnsi="arial" w:cs="arial"/>
          <w:color w:val="000000"/>
          <w:sz w:val="20"/>
          <w:lang w:val="en-US" w:eastAsia="en-US" w:bidi="ar-SA"/>
        </w:rPr>
        <w:t xml:space="preserve">"), the Court once again examined the nature and enforceability of the EARP Guidelines Order. The Court held that the fact that the EARP Guidelines Order was authorized by statute is not determinative and that it is necessary to look at whether the EARP Guidelines Order is of an administrative or legislative nature. The Court states "there is little doubt that ordinarily a Minister has an implicit power to issue directives to implement the administration of a statute for which he is responsible, see, for example, </w:t>
      </w:r>
      <w:r>
        <w:rPr>
          <w:rFonts w:ascii="arial" w:eastAsia="arial" w:hAnsi="arial" w:cs="arial"/>
          <w:b/>
          <w:i/>
          <w:color w:val="000000"/>
          <w:sz w:val="20"/>
          <w:lang w:val="en-US" w:eastAsia="en-US" w:bidi="ar-SA"/>
        </w:rPr>
        <w:t>Maple Leaf Farms Ltd. v. Government of Canada</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[1982] 2 S.C.R. 2</w:t>
        </w:r>
      </w:hyperlink>
      <w:r>
        <w:rPr>
          <w:rFonts w:ascii="arial" w:eastAsia="arial" w:hAnsi="arial" w:cs="arial"/>
          <w:color w:val="000000"/>
          <w:sz w:val="20"/>
          <w:lang w:val="en-US" w:eastAsia="en-US" w:bidi="ar-SA"/>
        </w:rPr>
        <w:t>. It is also clear that a violation of such directives will only give rise to administrative rather than judicial sanction because they do not have the full force of law"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The following passage from </w:t>
      </w:r>
      <w:r>
        <w:rPr>
          <w:rFonts w:ascii="arial" w:eastAsia="arial" w:hAnsi="arial" w:cs="arial"/>
          <w:b/>
          <w:color w:val="000000"/>
          <w:sz w:val="20"/>
          <w:lang w:val="en-US" w:eastAsia="en-US" w:bidi="ar-SA"/>
        </w:rPr>
        <w:t>R. Dussault and L. Borgeat in Administrative Law</w:t>
      </w:r>
      <w:r>
        <w:rPr>
          <w:rFonts w:ascii="arial" w:eastAsia="arial" w:hAnsi="arial" w:cs="arial"/>
          <w:color w:val="000000"/>
          <w:sz w:val="20"/>
          <w:lang w:val="en-US" w:eastAsia="en-US" w:bidi="ar-SA"/>
        </w:rPr>
        <w:t xml:space="preserve"> (2nd ed. 1985), vol. 1, at pp. 338-39 helps to elucidate the above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government considers it necessary to regulate a situation through norms of behaviour, it may have a law passed or make a regulation itself, or act administratively by means of directives. In the first case, it is bound by the formalities surrounding the legislative or regulatory process; conversely, it knows that once these formalities have been observed, the new norms will come within a framework of "law" and that by virtue of the Rule of Law they will be applied by the courts. In the second case, that is, when it chooses to proceed by way of directives, whether or not they are authorized by legislation, it opts instead for a less formalized means based upon hierarchical authority, to which the courts do not have to ensure obedience. To confer upon a directive the force of a regulation is to exceed legislative intent. It is said that the Legislature does not speak without a purpose; its implicit wish to leave a situation outside the strict framework of "law" must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Considering the plaintiffs' position in light of the above principles and case law, it is clear that relief in the nature of mandamus is not applicable. The plaintiffs are unable to show that there is a legal right to the performance of a legal duty imposed by statute upon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It is evident that the Ministry's Manual is not an act or regulation but rather a policy, both on its face and when one considers the definition in s. 2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It is also clear that, despite being authorized by statute, the Ministry's Manual is of an administrative rather than legislative nature. The Minister's power to make orders in s. 168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not exercised when it enunciated the responsibilities of the SEB in the Ministry's Manual. The authority to enunciate those policies likely comes from the duty in s. 169(1) to issue a statement of education policy for British Columbia from time to time or from the implicit power a Minister has to issue directives to implement the administration of a statute for which he is responsible (</w:t>
      </w:r>
      <w:r>
        <w:rPr>
          <w:rFonts w:ascii="arial" w:eastAsia="arial" w:hAnsi="arial" w:cs="arial"/>
          <w:b/>
          <w:i/>
          <w:color w:val="000000"/>
          <w:sz w:val="20"/>
          <w:lang w:val="en-US" w:eastAsia="en-US" w:bidi="ar-SA"/>
        </w:rPr>
        <w:t>Oldman River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It is clear that this is a situation in which a government considered it necessary to regulate a situation, not by passing a law or making a regulation in a legislative capacity but by acting in an administrative capacity by means of directives. It is fair to say that the intention here was to proceed by less formalized means, a means unenforceable by a court. It is also necessary to be clear that, on the evidence in this case, the Province is in the position of incompletely meeting the objectives of a policy as opposed to not implementing any of the objectives. As such, even if a "policy" could be said to be enforceable, it would not be on facts such as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Thus, I find that no recourse exists for the plaintiffs with respect to any injury they may have suffered as a result of the Province not adhering to its own policy or failing to implement its own policy rapidly or effectively enough to prevent what has happened to Darren Hewko.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BC Order in Council 1280/89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In addition, the plaintiffs rely on B.C. Order-In-Council 1280/89 (Mandate for the School System) in their claim that the Province has breached its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As stated above, s. 169(3)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states that: "Subject to the approval of the Lieutenant Governor in Council, the Minister must from time to time issue a statement of education policy for British Columbia". The Order-in-Council states: "The Lieutenant Governor, by and with the advice and consent of the Executive Council, </w:t>
      </w:r>
      <w:r>
        <w:rPr>
          <w:rFonts w:ascii="arial" w:eastAsia="arial" w:hAnsi="arial" w:cs="arial"/>
          <w:color w:val="000000"/>
          <w:sz w:val="20"/>
          <w:u w:val="single"/>
          <w:lang w:val="en-US" w:eastAsia="en-US" w:bidi="ar-SA"/>
        </w:rPr>
        <w:t>orders</w:t>
      </w:r>
      <w:r>
        <w:rPr>
          <w:rFonts w:ascii="arial" w:eastAsia="arial" w:hAnsi="arial" w:cs="arial"/>
          <w:color w:val="000000"/>
          <w:sz w:val="20"/>
          <w:lang w:val="en-US" w:eastAsia="en-US" w:bidi="ar-SA"/>
        </w:rPr>
        <w:t xml:space="preserve"> that the attached statement of education policy for British Columbia is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Whether the Order-in-Council is an order and thus a regulation is a non-issue. On its face, the Order-in-Council is not the Mandate itself but rather the mechanism that the Lieutenant Governor in Council uses to approve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Thus, we are again dealing with policy not statutes, orders or regulations. This Court cannot compel enforcement of a policy, particularly not a policy in the nature of the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the result, there can be no finding that the Province has breached its statutory duties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Discrimination contrary to s. 15 of the </w:t>
      </w:r>
      <w:r>
        <w:rPr>
          <w:rFonts w:ascii="arial" w:eastAsia="arial" w:hAnsi="arial" w:cs="arial"/>
          <w:b/>
          <w:i/>
          <w:color w:val="000000"/>
          <w:sz w:val="20"/>
          <w:lang w:val="en-US" w:eastAsia="en-US" w:bidi="ar-SA"/>
        </w:rPr>
        <w:t>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Considerable assistance is to be gained by having regard to the most recent case considering the applicability of s. 15 and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to education policy in a Province as it affects children with autism: the Court of Appeal for Ontario in </w:t>
      </w:r>
      <w:r>
        <w:rPr>
          <w:rFonts w:ascii="arial" w:eastAsia="arial" w:hAnsi="arial" w:cs="arial"/>
          <w:b/>
          <w:i/>
          <w:color w:val="000000"/>
          <w:sz w:val="20"/>
          <w:lang w:val="en-US" w:eastAsia="en-US" w:bidi="ar-SA"/>
        </w:rPr>
        <w:t>Wynberg</w:t>
      </w:r>
      <w:r>
        <w:rPr>
          <w:rFonts w:ascii="arial" w:eastAsia="arial" w:hAnsi="arial" w:cs="arial"/>
          <w:color w:val="000000"/>
          <w:sz w:val="20"/>
          <w:lang w:val="en-US" w:eastAsia="en-US" w:bidi="ar-SA"/>
        </w:rPr>
        <w:t xml:space="preserve">,released July 7, 2006. The claim in </w:t>
      </w:r>
      <w:r>
        <w:rPr>
          <w:rFonts w:ascii="arial" w:eastAsia="arial" w:hAnsi="arial" w:cs="arial"/>
          <w:b/>
          <w:i/>
          <w:color w:val="000000"/>
          <w:sz w:val="20"/>
          <w:lang w:val="en-US" w:eastAsia="en-US" w:bidi="ar-SA"/>
        </w:rPr>
        <w:t>Wynberg</w:t>
      </w:r>
      <w:r>
        <w:rPr>
          <w:rFonts w:ascii="arial" w:eastAsia="arial" w:hAnsi="arial" w:cs="arial"/>
          <w:color w:val="000000"/>
          <w:sz w:val="20"/>
          <w:lang w:val="en-US" w:eastAsia="en-US" w:bidi="ar-SA"/>
        </w:rPr>
        <w:t xml:space="preserve"> and its companion case </w:t>
      </w:r>
      <w:r>
        <w:rPr>
          <w:rFonts w:ascii="arial" w:eastAsia="arial" w:hAnsi="arial" w:cs="arial"/>
          <w:b/>
          <w:i/>
          <w:color w:val="000000"/>
          <w:sz w:val="20"/>
          <w:lang w:val="en-US" w:eastAsia="en-US" w:bidi="ar-SA"/>
        </w:rPr>
        <w:t>Deskin</w:t>
      </w:r>
      <w:r>
        <w:rPr>
          <w:rFonts w:ascii="arial" w:eastAsia="arial" w:hAnsi="arial" w:cs="arial"/>
          <w:color w:val="000000"/>
          <w:sz w:val="20"/>
          <w:lang w:val="en-US" w:eastAsia="en-US" w:bidi="ar-SA"/>
        </w:rPr>
        <w:t>, concerned the alleged failure of the Province of Ontario to provide an "appropriate" education for children with autism because it failed to extend Ontario's autism therapy program "Intensive Early Intervention Program (the "IEIP") to children age six and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its reasons for judgment the court sets out in brief the Ontario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trial judge described in detail the evolution of the IEIP. Prior to 1998, there were no publicly funded intensive services in Ontario for preschool children with autism. This began to change in 1998, in significant measure because of the efforts of Brenda Deskin, the mother of Michael Deskin. Michael had been diagnosed with autistic disorder in January of that year, at the age of thirty-five months. She brought this issue to the attention of the senior officials in the provincial Ministry of Community and Social Services (MCSS), the Ministry of Education and the Ministry of Health, and supplied them with comprehensive and persuasive documentation.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MCSS responded by beginning work on what would become the IEIP. It took the lead within the provincial government to develop a framework for the program and secure the necessary funding for it. By September 2000, MCSS had created, revised and released the IEIP Guidelines describing the program and setting out the criteria for it, and in that month, autistic children age two to five began to receive services through the IEIP in those regions of Ontario where service providers were ready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brief measure, the Guidelines describe the IEIP as follows: it is to provide intensive behavioural intervention services for autistic children to begin as early as possible after early identification or diagnosis. It is to be intensive and delivered as a direct service, which, to be effective, ranges from twenty to forty hours per week, typically lasting for one to two years. It is to be delivered by well-trained staff who are monitored and evaluated by highly trained experts. It is expected that systematic behavioural teaching methods will be used. One-to-one structured programming, which is usual at the outset, is to be used as appropriate. Other systematic methods are also to be used when appropriate for the child's skill level or stage of progress. The program will occur in a variety of settings and involve parents and caregivers directly in the child's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However, as the IEIP unfolded, it became apparent that the need was greater than the capacity of the program. By October 2002, the shortage of professionals and therapists meant that the number of children turning six and becoming ineligible without ever having received this service exceeded the number being served by the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It was also apparent by then that the education system was not responding to the special needs of these children when they entered school, through a special education program consistent with the Guidelines. The legislative provision in issue here is s. 8(3) of the </w:t>
      </w:r>
      <w:r>
        <w:rPr>
          <w:rFonts w:ascii="arial" w:eastAsia="arial" w:hAnsi="arial" w:cs="arial"/>
          <w:i/>
          <w:color w:val="000000"/>
          <w:sz w:val="20"/>
          <w:lang w:val="en-US" w:eastAsia="en-US" w:bidi="ar-SA"/>
        </w:rPr>
        <w:t>Education Act</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R.S.O. 1990, c. E.2</w:t>
        </w:r>
      </w:hyperlink>
      <w:r>
        <w:rPr>
          <w:rFonts w:ascii="arial" w:eastAsia="arial" w:hAnsi="arial" w:cs="arial"/>
          <w:color w:val="000000"/>
          <w:sz w:val="20"/>
          <w:lang w:val="en-US" w:eastAsia="en-US" w:bidi="ar-SA"/>
        </w:rPr>
        <w:t>, which obliges the Minister of Education to ensure that all "exceptional" pupils in Ontario (including those with autism) have available to them "appropriate" special education programs and services without payment of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It is worth noting that this case is significantly different from the Ontario case in that, in fact, British Columbia purports to provide resources and funding for ABA to be made available in schools and has been funding early intervention without age restriction for those with a diagnosis of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Similar to the Ontario factual situation however, the infrastructure has not kept pace with the policy objectives and thus children eligible for ABA-IBI therapy in schools do not in fact, reliably receive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Equality Law -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Quoting again from the </w:t>
      </w:r>
      <w:r>
        <w:rPr>
          <w:rFonts w:ascii="arial" w:eastAsia="arial" w:hAnsi="arial" w:cs="arial"/>
          <w:b/>
          <w:i/>
          <w:color w:val="000000"/>
          <w:sz w:val="20"/>
          <w:lang w:val="en-US" w:eastAsia="en-US" w:bidi="ar-SA"/>
        </w:rPr>
        <w:t>Wynberg/Deskin</w:t>
      </w:r>
      <w:r>
        <w:rPr>
          <w:rFonts w:ascii="arial" w:eastAsia="arial" w:hAnsi="arial" w:cs="arial"/>
          <w:color w:val="000000"/>
          <w:sz w:val="20"/>
          <w:lang w:val="en-US" w:eastAsia="en-US" w:bidi="ar-SA"/>
        </w:rPr>
        <w:t xml:space="preserve"> decision, I set out the relevant legal principles to be applied in analyzing the s. 15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claim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Section 15(1)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expresses the constitutional guarantee of equality in clarion language that by now is familiar: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individual is equal before and under the law and has the right to the equal protection and equal benefit of the law without discrimination and, in particular, without discrimination based on race, national or ethnic origin, colour, religion, sex, age or mental or physical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fundamental purpose of the guarantee is to protect against the violation of essential human dignity that may arise through disadvantage, stereotyping, or political or social prejudice. It seeks to promote a society in which all persons enjoy equal recognition at law as human beings or as members of Canadian society, equally capable, and equally deserving of concern, respect, and consideration. This is the expression of the concept of equality articulated in the seminal case of </w:t>
      </w:r>
      <w:r>
        <w:rPr>
          <w:rFonts w:ascii="arial" w:eastAsia="arial" w:hAnsi="arial" w:cs="arial"/>
          <w:i/>
          <w:color w:val="000000"/>
          <w:sz w:val="20"/>
          <w:lang w:val="en-US" w:eastAsia="en-US" w:bidi="ar-SA"/>
        </w:rPr>
        <w:t>Law v. Canada (Minister of Employment and Immigration)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[1999] 1 S.C.R. 497</w:t>
        </w:r>
      </w:hyperlink>
      <w:r>
        <w:rPr>
          <w:rFonts w:ascii="arial" w:eastAsia="arial" w:hAnsi="arial" w:cs="arial"/>
          <w:color w:val="000000"/>
          <w:sz w:val="20"/>
          <w:lang w:val="en-US" w:eastAsia="en-US" w:bidi="ar-SA"/>
        </w:rPr>
        <w:t xml:space="preserve"> at para.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At para. 53,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describes the concept of human dignity: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Human dignity means that an individual or group feels self-respect and self-worth. It is concerned with physical and psychological integrity and empowerment. Human dignity is harmed by unfair treatment premised upon personal traits or circumstances which do not relate to individual needs, capacities, or merits. It is enhanced by laws which are sensitive to the needs, capacities, and merits of different individuals, taking into account the context underlying their differences. Human dignity is harmed when individuals and groups are marginalized, ignored, or devalued, and is enhanced when laws recognize the full place of all individuals and groups within Canadian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jurisprudence that begins with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also makes clear that the inquiry mandated by s. 15(1) cannot be conducted as if it were the rigid application of a mathematical formula. Rather, it entails consideration of both the full context in which the claim for equality arises and the circumstances of the claimants.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w:t>
      </w:r>
      <w:r>
        <w:rPr>
          <w:rFonts w:ascii="arial" w:eastAsia="arial" w:hAnsi="arial" w:cs="arial"/>
          <w:i/>
          <w:color w:val="000000"/>
          <w:sz w:val="20"/>
          <w:lang w:val="en-US" w:eastAsia="en-US" w:bidi="ar-SA"/>
        </w:rPr>
        <w:t>Hodge v. Canada (Minister of Human Resources Development)</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[2004] 3 S.C.R. 357</w:t>
        </w:r>
      </w:hyperlink>
      <w:r>
        <w:rPr>
          <w:rFonts w:ascii="arial" w:eastAsia="arial" w:hAnsi="arial" w:cs="arial"/>
          <w:color w:val="000000"/>
          <w:sz w:val="20"/>
          <w:lang w:val="en-US" w:eastAsia="en-US" w:bidi="ar-SA"/>
        </w:rPr>
        <w:t>, the Supreme Court of Canada underlines that this contextual analysis is to proceed on a comparative basis, comparing the equality seeker with others who are similarly situated. The choice of the comparator group to whom the claimant should be compared must be carefully done. An assertion of the right to be treated equally must necessarily entail a comparison with the treatment accorded to others in the same circumstances. Writing for the Court, Binnie J. describes the centrality of the comparative approach at para.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asking for equal treatment necessarily does so by reference to other people with whom he or she can legitimately invite comparison. ... A s. 15(1) claim will likely fail unless it can be demonstrated that the comparison, thus invited, is to a "comparator group" with whom the claimant shares the characteristics </w:t>
      </w:r>
      <w:r>
        <w:rPr>
          <w:rFonts w:ascii="arial" w:eastAsia="arial" w:hAnsi="arial" w:cs="arial"/>
          <w:color w:val="000000"/>
          <w:sz w:val="20"/>
          <w:u w:val="single"/>
          <w:lang w:val="en-US" w:eastAsia="en-US" w:bidi="ar-SA"/>
        </w:rPr>
        <w:t>relevant</w:t>
      </w:r>
      <w:r>
        <w:rPr>
          <w:rFonts w:ascii="arial" w:eastAsia="arial" w:hAnsi="arial" w:cs="arial"/>
          <w:color w:val="000000"/>
          <w:sz w:val="20"/>
          <w:lang w:val="en-US" w:eastAsia="en-US" w:bidi="ar-SA"/>
        </w:rPr>
        <w:t xml:space="preserve"> to qualification for the benefit or burden in question apart from the </w:t>
      </w:r>
      <w:r>
        <w:rPr>
          <w:rFonts w:ascii="arial" w:eastAsia="arial" w:hAnsi="arial" w:cs="arial"/>
          <w:color w:val="000000"/>
          <w:sz w:val="20"/>
          <w:u w:val="single"/>
          <w:lang w:val="en-US" w:eastAsia="en-US" w:bidi="ar-SA"/>
        </w:rPr>
        <w:t>personal</w:t>
      </w:r>
      <w:r>
        <w:rPr>
          <w:rFonts w:ascii="arial" w:eastAsia="arial" w:hAnsi="arial" w:cs="arial"/>
          <w:color w:val="000000"/>
          <w:sz w:val="20"/>
          <w:lang w:val="en-US" w:eastAsia="en-US" w:bidi="ar-SA"/>
        </w:rPr>
        <w:t xml:space="preserve"> characteristic that is said to be the ground of the wrongful discrimination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Binnie J. also makes clear that the claimant makes the initial choice of the person or group to whom he or she wishes to be compared. The correctness of the choice, however, is a question for the court to determine. He explains the criteria for identifying the appropriate comparator group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appropriate comparator group is the one which mirrors the characteristics of the claimant (or claimant group) relevant to the benefit or advantage sought except that the statutory definition includes a personal characteristic that is offensive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or omits a personal characteristic in a way that is offensive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proper identification of the comparator group permits the court to proceed, on a comparative basis, to the three broad inquiries required to analyze a claim of discrimination.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describes them this way: first, is the claimant accorded differential treatment under the law; second, is that treatment based on one of the prohibited grounds listed in s. 15(1) or a ground analogous to them; and third, does the differential treatment discriminate in a substantive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It is up to the claimant to demonstrate an affirmative answer to each of these three questions. In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the court described four contextual factors to which a claimant may be able to turn to demonstrate discrimination: (i) pre-existing disadvantage, stereotyping, prejudice or vulnerability; (ii) the correspondence, or lack thereof, between the grounds on which the claim is based and the actual needs, capacity or circumstances of the claimant or those he or she is properly compared to; (iii) the ameliorative purpose or effect of the impugned law, program or activity upon a more disadvantaged person or group in society; and (iv) the nature and scope of the interest affected by the impugned governmental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i/>
          <w:color w:val="000000"/>
          <w:sz w:val="20"/>
          <w:lang w:val="en-US" w:eastAsia="en-US" w:bidi="ar-SA"/>
        </w:rPr>
        <w:t>Hodge</w:t>
      </w:r>
      <w:r>
        <w:rPr>
          <w:rFonts w:ascii="arial" w:eastAsia="arial" w:hAnsi="arial" w:cs="arial"/>
          <w:color w:val="000000"/>
          <w:sz w:val="20"/>
          <w:lang w:val="en-US" w:eastAsia="en-US" w:bidi="ar-SA"/>
        </w:rPr>
        <w:t>, at para. 17, the Court emphasizes that each step in this inquiry proceeds on the basis of a comparison between the claimant and the appropriate comparator group.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At paras. 59-60,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also establishes that the inquiry must be undertaken from the perspective of a reasonable person in circumstances similar to those of the claimant. Ultimately, the question is whether, given those circumstances, the impugned state action demeans the human dignity of the claimant. It is this profound and fundamental value that the equality guaranteed by s. 15(1) protects.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What is key here and is illuminated by the facts of this case is that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and the s. 11 appeal process reserve ultimate decision making about what and how a child learns to "education experts" and ultimately the School Board who in turn rely on certified teachers and consultants. This case arises because many if not most children with autism require (in order to access an education in the public system) specialized teaching programs. The evidence is overwhelming that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effective teaching programs for children with autism are based on some form of ABA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British Columbia has acknowledged the need for ABA and ABA-IBI programming for children with autism. However, training, and certification programs for teachers and teaching assistants in the area of ABA and ABA-IBI programming is still in its infancy. At the time Darren Hewko began Kindergarten in 2002, there were no specific training programs for ABA-IBI. The first such training program began in the summer of 2003. In 2006 it appears a certification program for consultant therapists has been designed and will be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other words, there is a serious gap in the "expertise" of educators in the area of effective learning systems for children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court heard no evidence that ABA-IBI is not, at this time, the most tested and effective learning system for many children with autism. However, how much ABA-IBI is effective and how exclusive the ABA-IBI programming must be in a school setting is not the subject of any consensus of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In this case, Darren Hewko's ABA-IBI home program when administered by someone with mastery of it, established instructional control of him. No other methodology was able to come close. It is important to note that the "Autism Team" made suggestions and recommendations for learning methods based on ABA principles. However, different methods were used than his home-based program. As a result, instructional control of Darren was lost and never recovered in the school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Because there was no consultation with the home program consultant nor with Darren's parents, it is unknown whether, the "Autism Team" could have fashioned a program for Darren that established instructional control in the school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Further, and perhaps most importantly, the recommendations made by the Autism Team utilizing ABA principles were ineffectively carried out by both TA's assigned to Darren because neither had ABA or ABA-IBI training. Learning "on the job" is obviously no substitute for having basic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What is required to provide access to an education for Darren Hewko is acknowledged and understood. Strict adherence to an ABA based learning system and the availability of ABA-IBI programming and teaching assistants trained to carry it out. It is clear that there is an infrastructure gap. There are too few teachers or teaching assistants or even certified consultants (for designing learning programs) with sufficient training to either properly evaluate home programs, or to deliver such programming in the school system such that the scheme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failed this child with autism.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However, the facts of this case do not even approach the threshold of discrimination against Darren Hewko on the basis of physical disability or any other criterion. No matter what comparator group one looks at, there is no basis upon which the court can say that in similar circumstances other students attempting access to an education have been treated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For example, considering children with sight or hearing impairments (comparator groups relied upon by the plaintiffs), there was no evidence demonstrating, or allowing an inference, that special needs assistance in the form of trained TA's or resource materials were identified and made available as soon as these children started to be included in regular classrooms. It would not be surprising to find that lengthy debates were held as to what form of programming would best meet the needs of such children. Nor was there any evidence that there was no time lag between the acceptance by a consensus of experts on the best methodology or methodologies for treatment and the availability of persons qualified to administer the therapy to most, if not all,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This court cannot find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 by the government nor the School Board for the fact, of what for brevity's sake I will call an infrastructure gap. That gap has been allowed to develop through the choice of priorities and some controversy on the optimal learning programs for children with autism. This has meant that children with a diagnosis of autism or ASD, including Darren Hewko, have not had sufficiently trained teachers or teaching assistants such that they can effectively access an education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Section 7 of the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Plaintiffs' counsel did not press the s. 7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argument. I would rely on the reasoning in the </w:t>
      </w:r>
      <w:r>
        <w:rPr>
          <w:rFonts w:ascii="arial" w:eastAsia="arial" w:hAnsi="arial" w:cs="arial"/>
          <w:b/>
          <w:i/>
          <w:color w:val="000000"/>
          <w:sz w:val="20"/>
          <w:lang w:val="en-US" w:eastAsia="en-US" w:bidi="ar-SA"/>
        </w:rPr>
        <w:t>Wynberg/Deskin</w:t>
      </w:r>
      <w:r>
        <w:rPr>
          <w:rFonts w:ascii="arial" w:eastAsia="arial" w:hAnsi="arial" w:cs="arial"/>
          <w:color w:val="000000"/>
          <w:sz w:val="20"/>
          <w:lang w:val="en-US" w:eastAsia="en-US" w:bidi="ar-SA"/>
        </w:rPr>
        <w:t xml:space="preserve"> decision, paras. 212-232, in dismissing this claim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Duties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The relevant statutory provisions with respect to a School District's obligation to consult with parents and students are found in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and in particular, ss. 4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provides that: "A student is entitled to consult with a teacher, principal, vice principal or director of instruction with regard to that student's educational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Section 7(1)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parent of a student of school age attending a school is entitled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informed, in accordance with the orders of the minister, of the student's attendance, behaviour and progress in school,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request, to the school plan for the school and the accountability contract of the school district,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belong to a parent's advisory council established under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Section 7(2) affords the parent the right to consult with school staff regarding their child's educational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parent of a student of school age attending a school may, and at the request of a teacher, principal, vice principal or director of instruction must, consult with the teacher, principal, vice principal or director of instruction with respect to the student's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w:t>
      </w:r>
      <w:r>
        <w:rPr>
          <w:rFonts w:ascii="arial" w:eastAsia="arial" w:hAnsi="arial" w:cs="arial"/>
          <w:b/>
          <w:color w:val="000000"/>
          <w:sz w:val="20"/>
          <w:lang w:val="en-US" w:eastAsia="en-US" w:bidi="ar-SA"/>
        </w:rPr>
        <w:t>Individual Education Plan Order</w:t>
      </w:r>
      <w:r>
        <w:rPr>
          <w:rFonts w:ascii="arial" w:eastAsia="arial" w:hAnsi="arial" w:cs="arial"/>
          <w:color w:val="000000"/>
          <w:sz w:val="20"/>
          <w:lang w:val="en-US" w:eastAsia="en-US" w:bidi="ar-SA"/>
        </w:rPr>
        <w:t xml:space="preserve"> and the Mandate for the School System adopted by B.C. Order-in-Council 1280 (August 30, 1989), also require that the parents of special needs students be afforded the opportunity to be consulted about the nature of their children's education. Pursuant to s. 4 of the </w:t>
      </w:r>
      <w:r>
        <w:rPr>
          <w:rFonts w:ascii="arial" w:eastAsia="arial" w:hAnsi="arial" w:cs="arial"/>
          <w:b/>
          <w:color w:val="000000"/>
          <w:sz w:val="20"/>
          <w:lang w:val="en-US" w:eastAsia="en-US" w:bidi="ar-SA"/>
        </w:rPr>
        <w:t>Individual Education Plan Order</w:t>
      </w:r>
      <w:r>
        <w:rPr>
          <w:rFonts w:ascii="arial" w:eastAsia="arial" w:hAnsi="arial" w:cs="arial"/>
          <w:color w:val="000000"/>
          <w:sz w:val="20"/>
          <w:lang w:val="en-US" w:eastAsia="en-US" w:bidi="ar-SA"/>
        </w:rPr>
        <w:t>, school boards are required to consult with the parents of special-needs students about the content of the individual education plan for each student.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board is required to provide an IEP for a student under this order, the board ... must offer a parent of the student ... the opportunity to be consulted about the preparation of the IEP.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Mandate for the School System reiterates that parents have the right and responsibility to participate in the process of determining the educational goals, policies and services provided for their children. Teachers have the responsibility to ensure that each student is provided with quality instruction, permitted to participate in all normal school activities and to monitor the behaviour and progress of each learner in accordance with provincial and local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Legal Parameters of the Duty to Consult under the </w:t>
      </w:r>
      <w:r>
        <w:rPr>
          <w:rFonts w:ascii="arial" w:eastAsia="arial" w:hAnsi="arial" w:cs="arial"/>
          <w:b/>
          <w:i/>
          <w:color w:val="000000"/>
          <w:sz w:val="20"/>
          <w:lang w:val="en-US" w:eastAsia="en-US" w:bidi="ar-SA"/>
        </w:rPr>
        <w:t>School Act</w:t>
      </w:r>
      <w:r>
        <w:rPr>
          <w:rFonts w:ascii="arial" w:eastAsia="arial" w:hAnsi="arial" w:cs="arial"/>
          <w:i/>
          <w:color w:val="000000"/>
          <w:sz w:val="20"/>
          <w:lang w:val="en-US" w:eastAsia="en-US" w:bidi="ar-SA"/>
        </w:rPr>
        <w:t xml:space="preserve"> and </w:t>
      </w:r>
      <w:r>
        <w:rPr>
          <w:rFonts w:ascii="arial" w:eastAsia="arial" w:hAnsi="arial" w:cs="arial"/>
          <w:b/>
          <w:i/>
          <w:color w:val="000000"/>
          <w:sz w:val="20"/>
          <w:lang w:val="en-US" w:eastAsia="en-US" w:bidi="ar-SA"/>
        </w:rPr>
        <w:t>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have been unable to find any cases in British Columbia or in Canada which deal directly with the duty of School Districts to consult parents with regard to IEPs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recent developments in aboriginal law cases on the duty to consult are helpful but one must be cautious in applying such recently developed law and guidelines to ensure that the very real differences between the two areas of law are acknowledged.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The legal parameters of the duty to consult in aboriginal law cases have become reasonably well-defined in recent years. They were described by Finch J.A. (as he then was) in </w:t>
      </w:r>
      <w:r>
        <w:rPr>
          <w:rFonts w:ascii="arial" w:eastAsia="arial" w:hAnsi="arial" w:cs="arial"/>
          <w:b/>
          <w:i/>
          <w:color w:val="000000"/>
          <w:sz w:val="20"/>
          <w:lang w:val="en-US" w:eastAsia="en-US" w:bidi="ar-SA"/>
        </w:rPr>
        <w:t>Halfway River First Nation v. British Columbia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(1999), 64 B.C.L.R. (3d) 206</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1999 BCCA 470</w:t>
        </w:r>
      </w:hyperlink>
      <w:r>
        <w:rPr>
          <w:rFonts w:ascii="arial" w:eastAsia="arial" w:hAnsi="arial" w:cs="arial"/>
          <w:color w:val="000000"/>
          <w:sz w:val="20"/>
          <w:lang w:val="en-US" w:eastAsia="en-US" w:bidi="ar-SA"/>
        </w:rPr>
        <w:t>, at paras. 160-61, in the context of the aboriginal right to consultation: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Crown's duty to consult imposes on it a positive obligation to reasonably ensure that aboriginal peoples are provided with all necessary information in a timely way so that they will have an opportunity to express their interests and concerns, and to ensure that their representations are seriously considered and, </w:t>
      </w:r>
      <w:r>
        <w:rPr>
          <w:rFonts w:ascii="arial" w:eastAsia="arial" w:hAnsi="arial" w:cs="arial"/>
          <w:color w:val="000000"/>
          <w:sz w:val="20"/>
          <w:u w:val="single"/>
          <w:lang w:val="en-US" w:eastAsia="en-US" w:bidi="ar-SA"/>
        </w:rPr>
        <w:t>wherever possible, demonstrably integrated in the proposed plan of action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reciprocal duty on aboriginal peoples to express their interests and concerns once they have had an opportunity to consider the information provided by the Crown, and to consult in good faith by whatever means are available to them. They cannot frustrate the consultation process by refusing to meet or participate, or by imposing unreasonable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 the court recognized that the duty to consult includes a process of accommodation. This was defined as follows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accommodation that may result from pre-proof consultation is just this - seeking compromise in an attempt to harmonize conflicting interests and move further down the path of reconciliation. A commitment to the process does not require a duty to agree. But it does require good faith efforts to understand each other's concerns and move to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When considering the case law on consultation in the aboriginal context one must bear in mind that the government's duty to consult with Aboriginal peoples and accommodate their interests is grounded in the honour of the Crown (</w:t>
      </w:r>
      <w:r>
        <w:rPr>
          <w:rFonts w:ascii="arial" w:eastAsia="arial" w:hAnsi="arial" w:cs="arial"/>
          <w:b/>
          <w:i/>
          <w:color w:val="000000"/>
          <w:sz w:val="20"/>
          <w:lang w:val="en-US" w:eastAsia="en-US" w:bidi="ar-SA"/>
        </w:rPr>
        <w:t>Haida</w:t>
      </w:r>
      <w:r>
        <w:rPr>
          <w:rFonts w:ascii="arial" w:eastAsia="arial" w:hAnsi="arial" w:cs="arial"/>
          <w:color w:val="000000"/>
          <w:sz w:val="20"/>
          <w:lang w:val="en-US" w:eastAsia="en-US" w:bidi="ar-SA"/>
        </w:rPr>
        <w:t xml:space="preserve"> at para. 16). The historical significance of the relationship between the Crown and Aboriginal peoples is an important basis for the duty to consult in this context. For example at para. 17 of </w:t>
      </w:r>
      <w:r>
        <w:rPr>
          <w:rFonts w:ascii="arial" w:eastAsia="arial" w:hAnsi="arial" w:cs="arial"/>
          <w:b/>
          <w:i/>
          <w:color w:val="000000"/>
          <w:sz w:val="20"/>
          <w:lang w:val="en-US" w:eastAsia="en-US" w:bidi="ar-SA"/>
        </w:rPr>
        <w:t>Haida</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historical roots of the principle of the honour of the Crown suggest that it must be understood generously in order to reflect the underlying realities from which it stems. In all its dealings with Aboriginal peoples, from the assertion of sovereignty to the resolution of claims and the implementation of treaties, the Crown must act honourably.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In this context, the court defined the duty to consult and accommodate as being "part of a process of fair dealing and reconciliation that begins with the assertion of sovereignty and continues beyond formal claims resolution" (para. 32). The duty arises where the Crown has knowledge, real or constructive, of the potential existence of the Aboriginal right or title and contemplates conduct that might adversely affect it (para. 35). The court noted that the scope of the duty to consult and accommodate will vary according to the circumstances and will generally be proportionate to a preliminary assessment of the strength of the case supporting the existence of the right or title and to the seriousness of the potentially adverse effect upon the right or title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In the education context, where the duty to consult is one based on statute and exists between parents and a school board, the historical and policy considerations that inform the source and scope of the duty to consult in the aboriginal context do not come into play. However, where the interests of a child are at issue and where it is adults with unique perspectives on a child's needs who are empowered to make decisions on behalf of children, there are considerations to support the existence of a similarly defined right to consultation. For example, the School Board submitted the practical importance of consultation in the autism context as illustrated by the evidence of Dr. Foxx: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program will not work unless everybody signs on to it. And the reason they sign on to it is because it's a program that makes absolute sense to all the parties. It has to be - it has to be designed as a win-win for everyone so that all the parties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parties made submissions on whether the relationship between the District and the child is a fiduciary one. In my view, the relationship bears all the hallmarks of a fiduciary relationship. However, because the relationship is defined by statute and the duty to consult is a statutory one, it is unnecessary to determine or make a finding that the relationship is a fiduciary one. It is a relevant consideration in interpreting the duty to consult in this context that at the very least the relationship is fiduciary-like.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Eaton v. Brant County Board of Education</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[1997] 1 S.C.R. 241</w:t>
        </w:r>
      </w:hyperlink>
      <w:r>
        <w:rPr>
          <w:rFonts w:ascii="arial" w:eastAsia="arial" w:hAnsi="arial" w:cs="arial"/>
          <w:color w:val="000000"/>
          <w:sz w:val="20"/>
          <w:lang w:val="en-US" w:eastAsia="en-US" w:bidi="ar-SA"/>
        </w:rPr>
        <w:t xml:space="preserve">, although the court was not charged with determining the scope of a statutory duty to consult, its comments regarding the decision-making process that must be employed when determining the interests and needs of a special-needs child are informative. In that case, the court held that the wishes of the disabled child's parents that she attend an integrated classroom did not make the school board's placement of the child in a segregated setting discriminatory. The court held that the school board had carefully reviewed the needs of the child and determined that she would be better served outside the classroom. The Court considered the need for consultation in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context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cannot forget, however, that for a child who is young or unable to communicate his or her needs or wishes, equality rights are being exercised on his or her behalf, usually by the child's parents. Moreover, the requirements for respecting these rights in this setting are decided by adults who have authority over this child. For this reason, the decision-making body must further ensure that its determination of the appropriate </w:t>
      </w:r>
      <w:r>
        <w:rPr>
          <w:rFonts w:ascii="arial" w:eastAsia="arial" w:hAnsi="arial" w:cs="arial"/>
          <w:color w:val="000000"/>
          <w:sz w:val="20"/>
          <w:u w:val="single"/>
          <w:lang w:val="en-US" w:eastAsia="en-US" w:bidi="ar-SA"/>
        </w:rPr>
        <w:t>accommodation</w:t>
      </w:r>
      <w:r>
        <w:rPr>
          <w:rFonts w:ascii="arial" w:eastAsia="arial" w:hAnsi="arial" w:cs="arial"/>
          <w:color w:val="000000"/>
          <w:sz w:val="20"/>
          <w:lang w:val="en-US" w:eastAsia="en-US" w:bidi="ar-SA"/>
        </w:rPr>
        <w:t xml:space="preserve"> for an exceptional child be from a subjective, child-centred perspective, one which attempts to make equality meaningful from the child's point of view as opposed to that of the adults in his or her life. As a means of achieving this aim, it must also determine that the form of accommodation chose is in the child's best interests. A decision-making body must determine whether the integrated setting can be adapted to meet the special needs of an exceptional child. Where this is not possible, that is, where aspects of the integrated setting which cannot reasonably be changed interfere with meeting the child's special needs, the principle of accommodation will require a special education placement outside of this setting.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Court also made it clear that the parent's wishes are not determinative and that the parent's view of their child's best interests do not dispose entirely of the question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The plaintiffs cited an American case where the features of parents' meaningful participation in the education decisions regarding their disabled child were considered: </w:t>
      </w:r>
      <w:r>
        <w:rPr>
          <w:rFonts w:ascii="arial" w:eastAsia="arial" w:hAnsi="arial" w:cs="arial"/>
          <w:b/>
          <w:i/>
          <w:color w:val="000000"/>
          <w:sz w:val="20"/>
          <w:lang w:val="en-US" w:eastAsia="en-US" w:bidi="ar-SA"/>
        </w:rPr>
        <w:t>Maureen Deal, Phillip Deal, parents, on behalf of Zachary Deal v. Hamilton County Board of Education</w:t>
      </w:r>
      <w:r>
        <w:rPr>
          <w:rFonts w:ascii="arial" w:eastAsia="arial" w:hAnsi="arial" w:cs="arial"/>
          <w:color w:val="000000"/>
          <w:sz w:val="20"/>
          <w:lang w:val="en-US" w:eastAsia="en-US" w:bidi="ar-SA"/>
        </w:rPr>
        <w:t>, The United States Court of Appeal for the 6th Circuit, No. 03-5396, December 16, 2004. In that case, the Court of Appeal found that the district court had erred in assuming that merely because the plaintiffs were present and spoke at the various IEP meetings that they were afforded an adequate opportunity to participate. Participation was held to be more than mere form; it had to be meaningful. School officials had to be willing to listen and parents had to have open minds. The court found that despite protestations by the plaintiffs, the School System never treated a one-on-one ABA program as a viable option. The court found that where there was no way anything the plaintiff said, or any data they produced, could have changed the School System's determination of what were appropriate services, their participation was no more than after the fact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the School District's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Abbotsford School District's Mission Statement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mission of School District No. 34 (Abbotsford), </w:t>
      </w:r>
      <w:r>
        <w:rPr>
          <w:rFonts w:ascii="arial" w:eastAsia="arial" w:hAnsi="arial" w:cs="arial"/>
          <w:color w:val="000000"/>
          <w:sz w:val="20"/>
          <w:u w:val="single"/>
          <w:lang w:val="en-US" w:eastAsia="en-US" w:bidi="ar-SA"/>
        </w:rPr>
        <w:t>in partnership with parents and the community</w:t>
      </w:r>
      <w:r>
        <w:rPr>
          <w:rFonts w:ascii="arial" w:eastAsia="arial" w:hAnsi="arial" w:cs="arial"/>
          <w:color w:val="000000"/>
          <w:sz w:val="20"/>
          <w:lang w:val="en-US" w:eastAsia="en-US" w:bidi="ar-SA"/>
        </w:rPr>
        <w:t>, is to awaken and nurture in each of its students, a drive for life-long learning and excellence through the provision of relevant educational programs which ensure competence, creativity, self esteem, integrity, and social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directly set out a legal presumption of integration in a regular classroom. In the Ministry of Education's "Special Education Service: A Manual of Policies, Procedures and Guidelines", it states that the principle of inclusion is adopted in British Columbia and that integration is one way to achieve inclusion. It also states that the goal of educating students with special needs in the regular classroom "does not preclude the appropriate use of resource rooms, self-contained classes, community-based training or other specialized settings." Evidence of the inappropriateness of a regular' placement includes "frequent and significant disruption of the learning environment despite appropriate classroom interventions, or the probability of physical harm to the student or others". These policies are relevant to a consideration of the way in which the School Board must discharge the duties imposed upon it by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However, I adopt the reasoning in </w:t>
      </w:r>
      <w:r>
        <w:rPr>
          <w:rFonts w:ascii="arial" w:eastAsia="arial" w:hAnsi="arial" w:cs="arial"/>
          <w:b/>
          <w:i/>
          <w:color w:val="000000"/>
          <w:sz w:val="20"/>
          <w:lang w:val="en-US" w:eastAsia="en-US" w:bidi="ar-SA"/>
        </w:rPr>
        <w:t>Antonsen v. Vancouver School District No. 39</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[1989] B.C.J. No. 1387</w:t>
        </w:r>
      </w:hyperlink>
      <w:r>
        <w:rPr>
          <w:rFonts w:ascii="arial" w:eastAsia="arial" w:hAnsi="arial" w:cs="arial"/>
          <w:color w:val="000000"/>
          <w:sz w:val="20"/>
          <w:lang w:val="en-US" w:eastAsia="en-US" w:bidi="ar-SA"/>
        </w:rPr>
        <w:t>, that they do not establish directions to, or impose limits on, the discretion given to a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It is possible to summarize some very general principles which inform or provide content to the duty to consult from the above cases.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any decision is made regarding the placement of a child within the school system and the persons who will have the responsibility to implement an IEP, the parents must be consulted.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depth of consultation and the concomitant obligations for </w:t>
      </w:r>
      <w:r>
        <w:rPr>
          <w:rFonts w:ascii="arial" w:eastAsia="arial" w:hAnsi="arial" w:cs="arial"/>
          <w:color w:val="000000"/>
          <w:sz w:val="20"/>
          <w:u w:val="single"/>
          <w:lang w:val="en-US" w:eastAsia="en-US" w:bidi="ar-SA"/>
        </w:rPr>
        <w:t>the parties</w:t>
      </w:r>
      <w:r>
        <w:rPr>
          <w:rFonts w:ascii="arial" w:eastAsia="arial" w:hAnsi="arial" w:cs="arial"/>
          <w:color w:val="000000"/>
          <w:sz w:val="20"/>
          <w:lang w:val="en-US" w:eastAsia="en-US" w:bidi="ar-SA"/>
        </w:rPr>
        <w:t xml:space="preserve"> to accommodate the requirements of the other will vary with the known need of a child's requirement for a modified curriculum.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necessary information in regard to </w:t>
      </w:r>
      <w:r>
        <w:rPr>
          <w:rFonts w:ascii="arial" w:eastAsia="arial" w:hAnsi="arial" w:cs="arial"/>
          <w:color w:val="000000"/>
          <w:sz w:val="20"/>
          <w:u w:val="single"/>
          <w:lang w:val="en-US" w:eastAsia="en-US" w:bidi="ar-SA"/>
        </w:rPr>
        <w:t>either parties'</w:t>
      </w:r>
      <w:r>
        <w:rPr>
          <w:rFonts w:ascii="arial" w:eastAsia="arial" w:hAnsi="arial" w:cs="arial"/>
          <w:color w:val="000000"/>
          <w:sz w:val="20"/>
          <w:lang w:val="en-US" w:eastAsia="en-US" w:bidi="ar-SA"/>
        </w:rPr>
        <w:t xml:space="preserve"> position on a proper placement and IEP must be provided in a timely way so that each will have an opportunity to express their interests and concerns and sufficient time to ensure that their representations are seriously considered and wherever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demonstrably integrated into the proposed plan.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to consultation has an obligation to provide timely information and an obligation to make whatever accommodations are necessary to effect an educational program which is in the best interests of the child.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coming up with a placement and an IEP for a child with autism or Autism Spectrum Disorder, Dr. Foxx's opinion as set out below should be regarded as the most significant underlying principle for meaningful consultation "the program will not work unless everybody sign on to it. And the reason they sign on to it is because it's a program that makes absolute sense to all parties. It has to be designed as a win-win for everyone so that all the parties understand."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of a special needs child do not have a veto over placement or the IEP. Meaningful consultation does not require agreement by either side - it does require that the school district maintain the right to decide after meaningful consultation.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bottom-line requirement for each side in a meaningful consultation is to be able to demonstrate that the proposal put forward can produce instructional control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The School Board submits that, because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Manual of Special Education make the classroom teacher the pre-eminent figure in the classroom, the introduction of a TA from the home team, who would be present to implement the home program in the classroom, would present difficulties for the teacher. They submit that questions would arise such as, who is in charge in the classroom, who is accountable, who is legally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of the TA, and what is the significance of the TA interacting with other students. Some, if not all of these issues, are relevant considerations in coming to a resolution of the parties' positions on how to achieve what is in Darren's best interest with respect to educational opportunities in the Abbotsford School District. However, none of them, in my view, is a barrier to the integration of Darren's home program into a classroom. There was some evidence that other school districts found ways to accommodate home programs by 2002/2003.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this case, two primary factors resulted in Darren Hewko being unable to attend school and access an education. First, in 2002-2003 there were too few teachers or teaching assistants with training in ABA-IBI. Apparently, there were no teaching assistants available with this training in the Abbotsford School District. This was the result of the infrastructure gap identified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Second, the mind set of the District personnel, particularly Mr. Godden and Ms. Clarke was to resist any accommodation of Darren Hewko's needs if that accommodation involved "training" of District employees in Darren's home program. Further compounding the problem was the policy stated by both Mr. Godden and Ms. Clarke, that no home-based therapist could become Darren's TA because they would not be employees of the District. However, it was made clear to the Hewkos that no home-based therapist could be hired as a TA in the District unless at the time of their application there was no other TA available with seniority.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I find that given what the District knew about the failure to get or maintain instructional control of Darren by either of the TAs provided by the District, and the demonstrated instructional control by the home-based therapist when in the classroom as well as at home, the District should have considered whether an accommodation could be made to hire one of Darren's home-based therapists so that the District would have the necessary control of the classroom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this case the District, through McMillan Elementary and then Mountain Elementary school personnel, had had numerous visits to the Hewko's home and "observed" his home program. Darren's home program consultant had provided several lengthy reports to the school on her program and her credentials to design such a program. She attended IEP meetings and upon being asked, attended at the McMillan School, was interviewed by the principal and observed Darren in the classroom. In other words, the District, through the Schools, had ample opportunity to evaluate the home program and the personnel involved with it, such that if there were any concerns about its legitimacy they could have been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the result, no questions or concerns by way of feedback were raised about Ms. Russell's credentials, the home-based program or anything else. Instead, the District, through all personnel, apparently decided they needed to resist any inclusion of the home-based program and therapist for reasons relating to a fear of potential litigation by the Hewkos.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In my view, such an approach by the District was an abdication of its responsibility to provide Darren Hewko reasonable access to an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Reasonable accommodation is an integral part of the duty to consult. Reasonable accommodation in this case involves providing the best available teaching staff for Darren Hewko in the school. In Darren's case, as in that of all children, special needs or not, the best teaching staff are persons who </w:t>
      </w:r>
      <w:r>
        <w:rPr>
          <w:rFonts w:ascii="arial" w:eastAsia="arial" w:hAnsi="arial" w:cs="arial"/>
          <w:color w:val="000000"/>
          <w:sz w:val="20"/>
          <w:u w:val="single"/>
          <w:lang w:val="en-US" w:eastAsia="en-US" w:bidi="ar-SA"/>
        </w:rPr>
        <w:t>can</w:t>
      </w:r>
      <w:r>
        <w:rPr>
          <w:rFonts w:ascii="arial" w:eastAsia="arial" w:hAnsi="arial" w:cs="arial"/>
          <w:color w:val="000000"/>
          <w:sz w:val="20"/>
          <w:lang w:val="en-US" w:eastAsia="en-US" w:bidi="ar-SA"/>
        </w:rPr>
        <w:t xml:space="preserve"> demonstrate instructional control of him. Any consultation with Darren's parents must include an accommodation of his home-based program - at least until instructional control is gained and maintained of him in the school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While the court is in no position to know what constitutes fulfillment of the District's duty to consult and accommodate the Hewkos, I find what does not. The duty to consult and accommodate is not fulfilled by assigning Darren Hewko to a resource room (or classroom) with teaching staff who have limited experience using ABA-IBI methodology for teaching and are allowed by the school to "visit" and "observe" Darren's home program for two weeks for an hour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find that the school board failed to discharge its consultation obligation by failing "... to ensure that [the plaintiffs'] representations were seriously considered and, wherever reasonably possible, demonstrably integrated into the proposed plan of action ...". Most importantly, the District through its proposals and by failing to seriously accommodate the Hewkos home-based program, failed to demonstrate it could produce instructional control of Darren.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Thus, I order that: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School District meet with the Hewkos and their consultant and carry out both the procedural and the substantive aspects of its consultation obligations;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retain a supervisory jurisdiction over the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Educational Malpractice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The plaintiffs' pleadings do not allege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educational malpractice. Nevertheless, I have decided to consider the merit of such a claim because the facts, if found as pleaded, could go some way in supporting a tortious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Two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/educational malpractice claims are possible against the School District: one with respect to Darren Hewko and another with respect to his mother, Shirley Hewko.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The findings of fact I have made do not support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/educational malpractice in either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order to find that an action is maintainable with respect to Darren, I would need to find that the School District, in failing to accommodate the need for Darren's TA to be trained in his home program, fell below the standard of care of a reasonable school district. The action must fail because no evidence was presented as to what that standard of care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Furthermore, I would also have to find that any damage Darren suffered flowed from a failure of the School District to meet the standard of care. There is no evidence that the failure to provide a home-based training aide has caused him any significant damage. Since he has been out of school, Darren has lost the opportunity to engage with his peers in a classroom or resource room. However, there is no compelling evidence that the loss, in terms of gains in social skills, has not or could not have been mitigated by activities outside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In order to find that an action is maintainable with respect to Shirley Hewko, I would need to find that the School District, in failing to meaningfully consult with the Hewkos, fell below the standard of care of a reasonable school district. Again, no evidence was presented as to what that standard of care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There is no doubt that the Hewkos have incurred additional expenses to provide Darren's home program for the last three years. The hours provided by his home program during which Darren would have been in school would be compensable in damages, if in fact a tortious cause of action were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In summary, I find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/educational malpractice claim cannot be maintained against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find that Abbotsford School District breached its statutory duty to meaningfully consult with the Hewkos about Darren Hewko's education placement and program. Thus, I order that the Abbotsford School District meet with and carry out: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procedural and the substantive aspects of its consultation obligations;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will retain a supervisory jurisdiction to ensure that Abbotsford School District does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action against the Province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reference to Sarah L. Swan was omitted. Counsel for the Plaintiffs should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Plaintiffs: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C.E. Hinkson, Q.C.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Birgitta von Krosigk</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Sarah L. Swan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paragraph 381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[381] I find that Abbotsford School District breached its statutory duty to meaningfully consult with the Hewkos about Darren Hewko's education placement and program. Thus, I order that the Abbotsford School District meet with and carry out: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procedural and the substantive aspects of its consultation obligations;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will retain a supervisory jurisdiction to ensure that Abbotsford School District does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Holland v. British Columbia, [2008] B.C.J. No. 1384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07-16199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Williams Lake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668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Zsuzsanna Holland nee Hegedus; Jonathon David Holland, by way of Litigation Guardian Zsuzsanna Holland; and Jordan James Holland, a minor, by way of Litigation Guardian Zsuzsanna Holland, Plaintiff, and Her Majesty the Queen in Right of the Province of British Columbia; George Abbott, Minister of Health, Province of British Columbia; Agency Medical Services Operations and Policy Division, Ministry of Health, Province of British Columbia; Barry Penner, Minister of Environment, Province of British Columbia; Agency Environmental Management Branch, Ministry of the Environment, Province of British Columbia, and Her Majesty the Queen in Right of Canada; Tony Clement, Minister Health Canada; Agency Health Products and Food Branch, Health Canada, and American Dental Association, Canadian Dental Association, and the British Columbia Dental Association,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Civil litigation — Civil procedure — Pleadings — Striking out pleadings or allegations — Grounds — Failure to disclose a cause of action — Application by the defendant provincial and federal governments for an order striking the statement of claim for failing to disclose a reasonable cause of action allowed — The plaintiffs alleged that the use of mercury in dentistry was harmful and that the government defendants owed them a duty of care to regulate that use — There was no legislation which prescribed a regulatory or scheme that could be found justify imposing a private law duty of care on the part of government defendants toward the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1"/>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provincial and federal governments for an order striking the statement of claim for failing to disclose a reasonable cause of action. The plaintiffs alleged that the use of mercury in dentistry was harmful and that the government defendants owed them a duty of care to regulate that 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9"/>
            <w:bookmarkEnd w:id="9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factual allegations that supported a private-law duty of care to the plaintiffs. There was no legislation which set out duties of government officials or employees or prescribed a specific regulatory or administrative scheme that could be found to establish a relationship of proximity between the parties sufficient to justify imposing a private law duty of care on the part of government defendants toward the plaintiffs. I conclude that it is plain and obvious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have no chance of success.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11"/>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19(24)(a), Rule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Health Act, </w:t>
      </w:r>
      <w:hyperlink r:id="rId301"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Department of Health Act, </w:t>
      </w:r>
      <w:hyperlink r:id="rId322" w:history="1">
        <w:r>
          <w:rPr>
            <w:rFonts w:ascii="arial" w:eastAsia="arial" w:hAnsi="arial" w:cs="arial"/>
            <w:i/>
            <w:color w:val="0077CC"/>
            <w:sz w:val="20"/>
            <w:u w:val="single"/>
            <w:shd w:val="clear" w:color="auto" w:fill="FFFFFF"/>
            <w:lang w:val="en-US" w:eastAsia="en-US" w:bidi="ar-SA"/>
          </w:rPr>
          <w:t>S.C. 1996, c. 8,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hyperlink r:id="rId323" w:history="1">
        <w:r>
          <w:rPr>
            <w:rFonts w:ascii="arial" w:eastAsia="arial" w:hAnsi="arial" w:cs="arial"/>
            <w:i/>
            <w:color w:val="0077CC"/>
            <w:sz w:val="20"/>
            <w:u w:val="single"/>
            <w:shd w:val="clear" w:color="auto" w:fill="FFFFFF"/>
            <w:lang w:val="en-US" w:eastAsia="en-US" w:bidi="ar-SA"/>
          </w:rPr>
          <w:t>S.B.C. 2003, c. 53, s. 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22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Act, </w:t>
      </w:r>
      <w:hyperlink r:id="rId324" w:history="1">
        <w:r>
          <w:rPr>
            <w:rFonts w:ascii="arial" w:eastAsia="arial" w:hAnsi="arial" w:cs="arial"/>
            <w:i/>
            <w:color w:val="0077CC"/>
            <w:sz w:val="20"/>
            <w:u w:val="single"/>
            <w:shd w:val="clear" w:color="auto" w:fill="FFFFFF"/>
            <w:lang w:val="en-US" w:eastAsia="en-US" w:bidi="ar-SA"/>
          </w:rPr>
          <w:t>R.S.B.C. 1996, c. 170, s. 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Medical Devices Regulations, </w:t>
      </w:r>
      <w:hyperlink r:id="rId325" w:history="1">
        <w:r>
          <w:rPr>
            <w:rFonts w:ascii="arial" w:eastAsia="arial" w:hAnsi="arial" w:cs="arial"/>
            <w:i/>
            <w:color w:val="0077CC"/>
            <w:sz w:val="20"/>
            <w:u w:val="single"/>
            <w:shd w:val="clear" w:color="auto" w:fill="FFFFFF"/>
            <w:lang w:val="en-US" w:eastAsia="en-US" w:bidi="ar-SA"/>
          </w:rPr>
          <w:t>S.O.R./98-282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Ministry of Health Act, </w:t>
      </w:r>
      <w:hyperlink r:id="rId326" w:history="1">
        <w:r>
          <w:rPr>
            <w:rFonts w:ascii="arial" w:eastAsia="arial" w:hAnsi="arial" w:cs="arial"/>
            <w:i/>
            <w:color w:val="0077CC"/>
            <w:sz w:val="20"/>
            <w:u w:val="single"/>
            <w:shd w:val="clear" w:color="auto" w:fill="FFFFFF"/>
            <w:lang w:val="en-US" w:eastAsia="en-US" w:bidi="ar-SA"/>
          </w:rPr>
          <w:t>R.S.B.C. 1996, c. 301, s. 4</w:t>
        </w:r>
      </w:hyperlink>
      <w:r>
        <w:rPr>
          <w:rFonts w:ascii="arial" w:eastAsia="arial" w:hAnsi="arial" w:cs="arial"/>
          <w:color w:val="000000"/>
          <w:sz w:val="20"/>
          <w:lang w:val="en-US" w:eastAsia="en-US" w:bidi="ar-SA"/>
        </w:rPr>
        <w:t>, s. 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4"/>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Holland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Provincial Crown Defendants: S.R. Neary.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Federal Crown Defendants: V. Hola.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Dental Associations: P. Spinks.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4"/>
      <w:bookmarkEnd w:id="97"/>
      <w:r>
        <w:pict>
          <v:line id="_x0000_s1099"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I.C. MEIKLEM J."/>
            <w:bookmarkEnd w:id="98"/>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are my reasons on the applications of the Provincial Government defendants and the Federal Government defendants for orders striking the statement of claim in respect of these defendants, on the grounds that the statement of claim discloses no reasonable cause of action against them, pursuant to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test to be applied on both applications is the well known "plain and obvious" test confirmed by the Supreme Court of Canada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Thus, the test in Canada governing the application of provisions like Rule 19(24)(a) of the British Columbia Rules of Court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threshold required to disclose a cause of action is a low one. The court must read the statement of claim generously and assume the facts as stated can be proved, unless they are obviously not capable of proof. The court must also consider whether deficiencies in the statement of claim are curable by amendment. No evidence is necessary to validate any factual pleading; in fact Rule 19(27) expressly provides that 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 of claim in this action comprises 17 pages and 118 paragraphs and is difficult to summarize succinctly, but the Provincial Crown defendants' written submission fairly characterizes the claim against them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the use of mercury in dental practice is harmful and that the Plaintiffs have suffered injury to their health as a result of the use of mercury by their dentists. They allege that the provincial defendants owed them a private-law duty of care to prohibit or regulate the use of mercury in dental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Provincial Crown defendants' submission is founded upon three propositions: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executive branch of the Provincial Government has never had any legal authority to regulate dental practice, and there can be no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do something that one has no legal right to do;</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executive branch of government had the legal authority to regulate dental practice, it does not owe a private-law duty of care to individuals;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legislature has no duty to legislate, and a failure to legislature is not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Federal Crown defendants fairly described the plaintiffs' claim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crux of the plaintiffs' claim against the Federal Crown Defendants is that they are responsible for the regulation of the dental amalgam and its use in Canada, and in that capacity, the Federal Crown Defendants negligently breached their duties and failed to regulate.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Federal Crown defendants' submissions are based on the following three propositions: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lacks jurisdiction over the named defendants for various reasons. The correct defendant, where proceedings against the Federal Crown are taken, is Attorney General of Canada pursuant to s. 23(1)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S.C. 1990, c. 8. No action lies against a Minister of the Crown in respect of his overall administration and supervision of his department within the authority of the statutes (citing </w:t>
      </w:r>
      <w:r>
        <w:rPr>
          <w:rFonts w:ascii="arial" w:eastAsia="arial" w:hAnsi="arial" w:cs="arial"/>
          <w:b/>
          <w:i/>
          <w:color w:val="000000"/>
          <w:sz w:val="20"/>
          <w:lang w:val="en-US" w:eastAsia="en-US" w:bidi="ar-SA"/>
        </w:rPr>
        <w:t>Van Duyvenbode v. Canada (Attorney General)</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[2007] O.J. No. 2716</w:t>
        </w:r>
      </w:hyperlink>
      <w:r>
        <w:rPr>
          <w:rFonts w:ascii="arial" w:eastAsia="arial" w:hAnsi="arial" w:cs="arial"/>
          <w:color w:val="000000"/>
          <w:sz w:val="20"/>
          <w:lang w:val="en-US" w:eastAsia="en-US" w:bidi="ar-SA"/>
        </w:rPr>
        <w:t>. The Health Products and Food branch of Health Canada, even by its proper name, is not a legal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Canada is correct on all these points, and the appropriate and only defendant in respect of all of the allegations against the Federal Crown or its agencies would be the Attorney General of Canada.)</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plead material facts necessary to establish a cause of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plaintiffs' claims are considered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have no basis in law as the Federal Crown does not in the circumstances owe a private-law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written submission in respect of the Provincial Crown position acknowledges the merit of the argument that the executive branch of the Provincial Government has no legal authority to regulate dental practice, and that the legislature has no duty to legislate. The plaintiff, however, submitted that the Provincial Crown and its agencies are negligent by "not doing that which they set out to do in 1996, and then failed to do in a proper and complete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unable to find any reference in the pleading itself to explain what it is that the plaintiffs say the Province set out to do in 1996, and then failed to do in a proper and complete manner. The only reference in the statement of claim that appears to relate to that time frame is paragraph 75, which deals with Canada's conduct,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Canada has reportedly directed dentists in the mid-1990s to stop using dental amalgams in children and pregnant women, its own agency, Health Products and Food Branch, Health Canada, appears to be not aware of any danger of amalgams containing mercury and appears in practice to.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her oral submissions, however, Ms. Holland referred to the Province undertaking to do something and then failing to do it in respect of the Province's participation of the Canadian Council of Ministers of the Environment ("CCME") which dealt, in September 2001, with the issue of working towards a Canada-wide standard on mercury in dental amalgam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broad issue on both applications before me, then, is whether it is plain and obvious that the statement of claim, which purports to advance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discloses no cause of action with any chance of succeeding against the applicant government defendants. The issue narrows down to whether the plaintiffs have any chance of proving a private law duty of care towards them on the facts pled or as the statement of claim might be amended in the circumstances. The existence of a duty of care turns on foreseeability and proximity of relationship between the parties and in this case the issue narrows further to the question of the provability of a sufficient proximity of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Notwithstanding that Rule 19(27) provides that no evidence is admissible on an application under subrule (24)(a), I permitted the plaintiff to make limited use of some of the publicly available exhibits to her excluded affidavits in formulating submissions on potential amendments that she might make to her pleading. The discussion about potential amendments centred mainly on what might arguably be considered operational actions on the part of the Crown defendants that might relate to the issue of proximity of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discussing the issues, and potential amendments to the statement of claim, I will summarize some of the alleged facts and set out and review various portions of the statement of claim in its present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statement of claim sets out in paragraph 15 that the plaintiff, Zsuzsanna Hegedus, age 17, was taken to a dental clinic for a routine check-up. Paragraphs 16 and 17 of the statement of claim then plead that at all times material, both levels of the Crown had a regulatory duty to ensure the dental profession was using safe, non-toxic substances, and were negligent in allowing the unregulated and unannounced use of mercury as a component in dental amalgams. Notwithstanding the principle that the court must assume on this application that the allegations of fact are capable of proof, where a statutory duty is alleged where no statute is cited and none is known to exist, the court is entitled to consider that pleading incapable of proof. Of course, it is open to the plaintiff to propose an amendment to refer to the statute alleged to create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17, while somewhat contradictory to paragraph 16, is in effect alleging a duty to legislate which the plaintiff acknowledges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24 of the statement of claim pleads that the plaintiff had sixteen posterior and one anterior tooth filled with amalgam filling. In paragraphs 28 and 29, she pleads that she was not informed of the composition of the dental amalgams or proper information as to options for use of anything other than amalgam fillings. In paragraph 30, she alleges that she was not informed of the danger of mercury on her own health or the health of future offspring.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Ms. Holland gave birth to the plaintiff, Jonathon David Holland, on April 18, 1987. (It is to be noted that Jonathon David Holland was, therefore, of the age of majority before this action was commenced, and one of the alternative applications of the Attorney General of Canada includes an order that Ms. Holland does not properly represent the plaintiff, Jonathon David Holland, as his guardian ad litem in light of the recent decision in </w:t>
      </w:r>
      <w:r>
        <w:rPr>
          <w:rFonts w:ascii="arial" w:eastAsia="arial" w:hAnsi="arial" w:cs="arial"/>
          <w:b/>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2008 BCSC 333</w:t>
        </w:r>
      </w:hyperlink>
      <w:r>
        <w:rPr>
          <w:rFonts w:ascii="arial" w:eastAsia="arial" w:hAnsi="arial" w:cs="arial"/>
          <w:color w:val="000000"/>
          <w:sz w:val="20"/>
          <w:lang w:val="en-US" w:eastAsia="en-US" w:bidi="ar-SA"/>
        </w:rPr>
        <w:t>). Ms. Holland gave birth to her second child, Jordan James Holland, on May 21,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statement of claim refers in several paragraphs to health difficulties the plaintiff, Ms. Holland, experienced. In paragraph 31, she mentions chronic fatigue in the latter part of 1985 and early 1996 which disallowed her from completing her education. She refers to anxiety attacks in 1986. In paragraph 34 she refers to Jonathon David Holland developing Crohn's Disease at age 15, which she asserts "is most probably caused by mercury poisoning received while Jonathan David Holland was in the womb." In paragraph 36, she says that "Jordan James Holland is exhibiting what may be the first signs of dyslexia, hypersensitivity and possible Crohn's disease." In paragraph 37, she alleges that all of the aforementioned conditions and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including injury to Plaintiffs and inaction,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government, have been directly and primarily, if not solely caused by the actions of the American Dental Association, Canadian Dental Association, and British Columbia Dental Association in fostering the use of mercury laden dental amalgams, knowing of its danger, compelling the continuing use of a toxic substance known to them to be harmful; the most toxic non-radioactive known to mankind; hiding and suppressing this information from government, and dental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Paragraphs 38 to 52 of the statement of claim appear under the heading "Discovery of the Injury Caused by Mercury Laden Dental Amalgams" and read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morning of 26 July 2005, Plaintiff Zsuzsanna Holland visited the emergency room at the Penticton Regional Hospital with complaints regarding a whiplash injury acquired during a motor vehicle accident in September 2004. The attending physician prescribed a morphine/oradol/gravol injection in spite of Plaintiff's constructive notice as to her being allergic to codeine.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Zsuzsanna Holland was not informed as to the contents of the injection when given.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arriving home, within 10-15 minutes, Plaintiff Zsuzsanna Holland experienced dizziness, ataxia, cognitive impairment, hallucinations, weakness, fatigue, tachycardia, with feelings of imminent loss of consciousness, compelling Plaintiff to call 911 so as to be taken back to the hospital.</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return to the hospital, Plaintiff Zsuzsanna Holland complained of a metallic taste in her mouth and struggled to retain consciousness for approximately four (4) hours. When preparing to leave, Plaintiff developed an allergic reaction and was prescribed and administered Benedryl by another attending physician and nurse. The Plaintiff struggled to retain consciousness for another four (4) hours.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Plaintiff Zsuzsanna Holland's seventeen (17) dental amalgams were 23 years old, corroding, with four (4) amalgam filled root canals which were breaking apart.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Plaintiff Zsuzsanna Holland have any knowledge she had ingested mercury, or that it was building up in her body and brain. None of the medical tests Plaintiff endured between 1982 and 2005 in normal medical consultations could have shown the presence of mercury.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July and September 2005, Plaintiff Zsuzsanna Holland discovered, from several dozen medical examinations, that she had deposits in her fatty tissues.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science student, Plaintiff Zsuzsanna Holland understood this to mean heavy metal poisoning affecting her brain and other organs.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Zsuzsanna Holland thereafter discovered all of her symptoms matched those related to dental amalgam mercury syndrome.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and after 26 July 2005, Plaintiff Zsuzsanna Holland suffered fluctuating, severe episodes of sleep aberrations, hair loss; short term memory loss, slower mental processing, emotional impairment, hypoglycemia, arrythmia, tachycardia, preliminary dementia; visual impairment, ataxia liver and kidney pain; chronic fatigue syndrome and ever increasing and increasingly dangerous low levels of iron (Fe). Plaintiff found she had more than 70 symptoms of the 125 symptoms of mercury poisoning.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has no action against Penticton Regional Hospital or its doctor due to the lack of knowledge of the mercury in Zsuzsanna Holland's body on 26 July 2005,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Zsuzsanna Holland thereupon acted to have the dental amalgams removed from her teeth in September 2005.</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reaction(s) of chemicals introduced into Plaintiff Zsuzsanna Holland's body, in addition to the already saturated body burden, caused loss of employment and resulted in an ongoing disability which continues to this day.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2005 Plaintiff Zsuzsanna Holland was tested for heavy metals, and found to have very elevated levels of mercury poisoning as well as the other components of a dental amalgam.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July 2005, to this date, Plaintiff Zsuzsanna Holland has been on a regime of chelation, used to extract mercury from her body in a slow, painstaking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next heading in the statement of claim is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Province of British Columbia and Canada". Although paragraphs 53 to 66 appear under this heading, several of those paragraphs deal with either the alleged jurisdiction of the court to order various things, including the elimination of mercury-based dental fillings without informed consent, the imposition of sanctions upon dental associations and granting injunctive relief upon dental associations, it is only paragraphs 55 to 57 that allege duties upon the Provincial and Canadian ministries and agencies. Paragraphs 55 and 56 are redundant, so I will simply set out paragraphs 56 and 57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Respondent provincial and Canadian ministries and agencies have a joint and several duty to enforce existing legislation and regulation, to protect the public from the use of amalgams laced with mercury implanted into the body or disposed of into the environment.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Respondent ministries and agencies have joint and several jurisdiction to ensure composition of devices placed into the mouth are safe and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Paragraphs 67 through 76 appear under the heading "Classification of Dental Amalgam". The sub-heading accurately describes the paragraphs up to and including paragraph 72, but paragraphs 73 and 74 reiterate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governments of British Columbia and Canada for not warning Ms. Holland of the risk of giving birth to children while she had leaking and mercury vapour-producing dental amalgams in her mouth, and then in paragraph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governments of British Columbia and Canada relied upon the trade associations, believing they were receiving information well founded in science and given in good faith, the injury suffered by Plaintiffs is mitigated to some extent, with the primary liability resting with the trade associations and their associated quasi-governmental dentistry regulatory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Paragraphs 77 and 78 appear under the heading "Absence of Environmental Impact Policies" and read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and British Columbia and Government of Canada have been jointly negligent in banning mercury from seepage into the environment, yet allowing its use in human beings. One in seven American women of childbearing age has so much mercury in her system that she is at risk of having a brain damaged child; allowing retention of and use of a human toxin and environmental pollutant.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applied to humans as it is applied industrially, the use of mercury would be immediately banned from use under provincial and federal environmental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sentence of paragraph 77 is redundant in light of the many other paragraphs in the statement of claim that say the same thing. The second sentence is irrelevant to the plaintiff's claim, the latter portion of the sentence, while difficult to understand, appears to be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 78 is clearly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Paragraphs 79 to 92 are anecdotal and deal with American litigation. (I note that there are no paragraphs numbered 81 to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Paragraph 93 alleges that provincial and federal ministries and their agencies have either failed to discover mercury amalgams are dangerous to humans,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know of its danger and "have acted to do nothing" in wilful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paragraph is somewhat nonsensical, of course, in speaking of acting to do nothing, but it also contradicts the pleading in paragraph 75 that Canada directed dentists in the mid-1990s to stop using dental amalgams in children and pregnant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Paragraphs 94 to 96 are principally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paragraphs 99 to 107 of the statement of claim appear under the heading "Negligent Acts by the Province of British Columbia and Government of Canada" several of those paragraphs deal only with circumstances in the United States. Paragraphs 100, 101, 102,104, 106 and 107 plead argument. Paragraph 105 is the only paragraph in that section that addresses the cause of action. It reads: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by the US and Canadian federal and state/provincial governments to regulate and ban the use of mercury amalgams constitutes malfeasance and nonfeasance; acts done in bad faith and/or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final sub-heading in the statement of claim is "Causes of Action". The first four paragraphs under that heading; namely, 109 to 112, each commence with the words "Violations of provincial and federal statute and regulation:" The statement of claim provides no hint as to which statutes or regulations are referred to, and these paragraphs also do not specify which defendants are alleged to have violated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Paragraph 109 specifies a violation as "marketing and (sic) encapsulated mercury without classification as to the safety of the contents of the encapsulated amalgam." It is not stated which of the defendants this pleading is directed to, and it would not appear that any of the named defendants could be in the business of marketing amalgam.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110 speaks of allowing mercury to be used in humans without notice of its presence in dental restorative products or dental amalgam. It is not stated which of the defendants this allegation is directed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111 is obviously directed at the governmental defendants in alleging "failure of the government(s) to protect the public health by ensuring that the dental restorative product or dental amalgam is both safe and harmless."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 112 speaks of "failure to undertake and enforce an environmental impact assessment of the effect(s) of unregulated mercury disposal being loosed into the environment." In as much as the plaintiff's claim seems to relate to the mercury in her mouth and the vapours released therefrom, this paragraph appears to be irrelevant to her personal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final paragraph that deals with the federal and provincial Crown defendants is paragraph 113, which I will set out in full:</w:t>
      </w:r>
      <w:r>
        <w:rPr>
          <w:rFonts w:ascii="arial" w:eastAsia="arial" w:hAnsi="arial" w:cs="arial"/>
          <w:sz w:val="20"/>
          <w:lang w:val="en-US" w:eastAsia="en-US" w:bidi="ar-SA"/>
        </w:rPr>
        <w:cr/>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Defendants Province of British Columbia and Government of Canada, and their respective agencies and ministers, have allowed dental patients to suffer injury, by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wilful indifference, by: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ascertain the dangers of dental amalgams containing mercury;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use of dental amalgams containing no life threatening components;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ascertain the potential risks of dental amalgams containing mercury to accumulate mercury in the body over time, resulting from ingestion and lodging of mercury from mercury vapors in the fatty tissues, organs and brain of those poisoned by mercury.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address the use of force and intimidation by the ADA, CDA, and BCDA to stop dentists from removing amalgams where they are in knowledge of the amalgam's threat to health.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address the suppression of information to dental patients of the risk of use of amalgams and the life threatening consequences of the accumulation of mercury from dental amalgams resultant from ingestion and absorption of mercury into the body.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stop their suppression of information to dental patients of the risk of use of amalgams and the life threatening consequences of accumulation of mercury from dental amalgams resulting in ingestion and absorption of mercury into the body.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patients under provincial medical/dental plans of the risk in use of dental amalgams containing mercury.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ascertain, and advise, patients under provincial medical/dental plans of the risk in use of dental amalgams containing mercury.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inform government regulatory agencies as to procedures for disposal of the neuro-toxin (mercury) into the environment by individuals ridding their bodies of mercury ingested from decomposing mercury laden dental amalgams.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inform governmental regulatory agencies in 1982 of the potential harm dental amalgams posed to an unborn child and women of childbearing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note that this paragraph does not allege injury to the plaintiffs specifically, but to "dental patients" generally. I note also that this paragraph also does not place a time frame on the alleged failings. Although the paragraph is clearly amendable to make it specific to the plaintiffs, if that was intended, it is unclear whether or not the plaintiffs perhaps intended this pleading to be purely a representative claim. Considering Ms. Holland's explanation at the hearing of this application that she has not joined the dentist that installed the amalgam in her mouth in 1982 as a defendant because she does not think a dentist can be faulted for not being aware at that early date of the dangers of mercury amalgam, I do not understand her to be asserting that the provincial and federal governments were negligent in the particularized ways in 1982, which would have required them to be both omniscient and prescient. In fact her written submissions state that she would impose a duty on the government defendants to act by 1995. The statement of claim does not set out any facts which would causally connect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governments after 1995 (presumably failure to warn or inform her of the risks posed by mercury amalgam) to the damages she alleges relating to emotional trauma, psychological trauma, loss of income, loss of dignity, temporary brain damage, physiological damage, near loss of life and prospective early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note that the list of failings in paragraph 113 makes new factual allegations by oblique implication, for example: the use of "force and intimidation" by the professional associations to stop dentists from removing amalgams, the suppression of information (without attribution to anyone in particular) of the risk of the use of amalgams, as well as the startling statement that the accumulation of mercury from dental amalgams is life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"Wilful indifference" may be a political fault, or indicia of bad faith in certain contexts, but I am unaware that it is a tort or other cause of action. I do not think that the plaintiff honestly believes that the failure to offer proper extended medical coverage and treatment as specified in paragraph 113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other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Even read generously, as it must be on this application, the statement of claim is an amorphous, rambling and repetitive pleading, and it is devoid of specific reference to the legislation or regulations that Ms. Holland obviously feels should give rise to a statutory duty on the part of the Crown defendants. Nevertheless, I agree with the submissions of the federal Crown that in an effort to read the pleading generously, the court should attempt to identify and consider relevant legislation, even if it is not pleaded. In this regard, counsel for the federal Crown defendants points out that the federal legislation considered in other comparable cases such as </w:t>
      </w:r>
      <w:r>
        <w:rPr>
          <w:rFonts w:ascii="arial" w:eastAsia="arial" w:hAnsi="arial" w:cs="arial"/>
          <w:b/>
          <w:i/>
          <w:color w:val="000000"/>
          <w:sz w:val="20"/>
          <w:lang w:val="en-US" w:eastAsia="en-US" w:bidi="ar-SA"/>
        </w:rPr>
        <w:t>Williams v. Canada (Attorney General</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[2005] O.J. No. 3508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Klein v. American Medical Systems Inc.</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[2006] O.J. No. 5181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[2007] O.J. No. 1744</w:t>
        </w:r>
      </w:hyperlink>
      <w:r>
        <w:rPr>
          <w:rFonts w:ascii="arial" w:eastAsia="arial" w:hAnsi="arial" w:cs="arial"/>
          <w:color w:val="000000"/>
          <w:sz w:val="20"/>
          <w:lang w:val="en-US" w:eastAsia="en-US" w:bidi="ar-SA"/>
        </w:rPr>
        <w:t xml:space="preserve"> has included: the </w:t>
      </w:r>
      <w:r>
        <w:rPr>
          <w:rFonts w:ascii="arial" w:eastAsia="arial" w:hAnsi="arial" w:cs="arial"/>
          <w:b/>
          <w:i/>
          <w:color w:val="000000"/>
          <w:sz w:val="20"/>
          <w:lang w:val="en-US" w:eastAsia="en-US" w:bidi="ar-SA"/>
        </w:rPr>
        <w:t>Department of Health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Canada Health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Food and Drugs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Medical Devices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None of the parties assisted the court with reference to relevant provincial legislation that might be pleaded. The plaintiff, Zsuzsanna Holland, did refer in her submissions to Part 10 of the </w:t>
      </w:r>
      <w:r>
        <w:rPr>
          <w:rFonts w:ascii="arial" w:eastAsia="arial" w:hAnsi="arial" w:cs="arial"/>
          <w:b/>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which creates offences in respect of hazardous waste, storage and disposal, and intentionally causing damage to the environment, or showing wanton or reckless disregard for the lives or safety of other persons. Although not referred to by the plaintiff, s. 5 of the </w:t>
      </w:r>
      <w:r>
        <w:rPr>
          <w:rFonts w:ascii="arial" w:eastAsia="arial" w:hAnsi="arial" w:cs="arial"/>
          <w:b/>
          <w:i/>
          <w:color w:val="000000"/>
          <w:sz w:val="20"/>
          <w:lang w:val="en-US" w:eastAsia="en-US" w:bidi="ar-SA"/>
        </w:rPr>
        <w:t>Environment Management Act</w:t>
      </w:r>
      <w:r>
        <w:rPr>
          <w:rFonts w:ascii="arial" w:eastAsia="arial" w:hAnsi="arial" w:cs="arial"/>
          <w:color w:val="000000"/>
          <w:sz w:val="20"/>
          <w:lang w:val="en-US" w:eastAsia="en-US" w:bidi="ar-SA"/>
        </w:rPr>
        <w:t xml:space="preserve"> sets out the duties of the minister in respect of the environment which is defined as meaning "air, land, water and all other external conditions or influences under which humans, animals and plants live or are developed". Although, as I pointed out in reviewing the statement of claim, it does include allegations in respect of disposal of waste amalgam, quite clearly this is not a representative action and the plaintiff's allegations of injury relate to the dental amalgam placed in her mouth. She makes no allegations of injuries connected to amalgam waste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the absence of assistance from the parties, the only other provincial legislation that my generous reading of the statement of claim suggests might have been pleaded are the </w:t>
      </w:r>
      <w:r>
        <w:rPr>
          <w:rFonts w:ascii="arial" w:eastAsia="arial" w:hAnsi="arial" w:cs="arial"/>
          <w:b/>
          <w:i/>
          <w:color w:val="000000"/>
          <w:sz w:val="20"/>
          <w:lang w:val="en-US" w:eastAsia="en-US" w:bidi="ar-SA"/>
        </w:rPr>
        <w:t>Ministry of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301</w:t>
      </w:r>
      <w:r>
        <w:rPr>
          <w:rFonts w:ascii="arial" w:eastAsia="arial" w:hAnsi="arial" w:cs="arial"/>
          <w:color w:val="000000"/>
          <w:sz w:val="20"/>
          <w:lang w:val="en-US" w:eastAsia="en-US" w:bidi="ar-SA"/>
        </w:rPr>
        <w:t xml:space="preserve"> (which deals with the minister's duties and the purposes and functions of the ministry in s. 4 and 5), and the </w:t>
      </w:r>
      <w:r>
        <w:rPr>
          <w:rFonts w:ascii="arial" w:eastAsia="arial" w:hAnsi="arial" w:cs="arial"/>
          <w:b/>
          <w:i/>
          <w:color w:val="000000"/>
          <w:sz w:val="20"/>
          <w:lang w:val="en-US" w:eastAsia="en-US" w:bidi="ar-SA"/>
        </w:rPr>
        <w:t>Health Act</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R.S.B.C. 1996, c. 179, s. 7</w:t>
        </w:r>
      </w:hyperlink>
      <w:r>
        <w:rPr>
          <w:rFonts w:ascii="arial" w:eastAsia="arial" w:hAnsi="arial" w:cs="arial"/>
          <w:color w:val="000000"/>
          <w:sz w:val="20"/>
          <w:lang w:val="en-US" w:eastAsia="en-US" w:bidi="ar-SA"/>
        </w:rPr>
        <w:t xml:space="preserve"> of which deals with the functions of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Considering the implication in paragraph 54 of the statement of claim that the provincial Crown defendant is negligent in failing "to provide a safe and management [sic] means of disposal of amalgams laced with mercury during chelation." I will also consider that the provisions of the </w:t>
      </w:r>
      <w:r>
        <w:rPr>
          <w:rFonts w:ascii="arial" w:eastAsia="arial" w:hAnsi="arial" w:cs="arial"/>
          <w:b/>
          <w:i/>
          <w:color w:val="000000"/>
          <w:sz w:val="20"/>
          <w:lang w:val="en-US" w:eastAsia="en-US" w:bidi="ar-SA"/>
        </w:rPr>
        <w:t>Ministry of Environment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299</w:t>
      </w:r>
      <w:r>
        <w:rPr>
          <w:rFonts w:ascii="arial" w:eastAsia="arial" w:hAnsi="arial" w:cs="arial"/>
          <w:color w:val="000000"/>
          <w:sz w:val="20"/>
          <w:lang w:val="en-US" w:eastAsia="en-US" w:bidi="ar-SA"/>
        </w:rPr>
        <w:t xml:space="preserve"> might have been pled. Section 4 of that Act deals with the purposes and functions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is no tort of breach of statutory duty in Canada (see: </w:t>
      </w:r>
      <w:r>
        <w:rPr>
          <w:rFonts w:ascii="arial" w:eastAsia="arial" w:hAnsi="arial" w:cs="arial"/>
          <w:b/>
          <w:i/>
          <w:color w:val="000000"/>
          <w:sz w:val="20"/>
          <w:lang w:val="en-US" w:eastAsia="en-US" w:bidi="ar-SA"/>
        </w:rPr>
        <w:t>The Queen v. Saskatchewan Wheat Board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It is common ground between the parties that the plaintiffs' claim against the provincial and federal Crown defendants is properly characterized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dependent upon the establishment of a duty of care toward the plaintiffs on the part of the Crown, or an employee or agency of the Crown. The necessary duty of care requires one to guard against one's acts or omissions causing reasonably foreseeable harm to those persons to whom one stands in a close and direct relationship of proximity or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Both of the Crown applicants assert that it is plain and obvious that the plaintiffs have no chance of succeeding in establishing a duty of care because, on the facts set out in the statement of claim and on a consideration of the statutory duties involved, there is no close and direct relationship of proximity or neighbourhood on the application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as defined and clarified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case dealt with the duty of care of the Registrar of Mortgage Brokers, a statutory regulator. The court held (at para. 43 and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43 In this case, the factors giving rise to proximity, if they exist, must arise from the statute under which the Registrar is appointed. That statute is the only source of his duties, private or public. Apart from that statute, he is in no different position than the ordinary man or woman on the street. If a duty to investors with regulated mortgage brokers is to be found, it must be in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44 In this case, the statute does not impose a duty of care on the Registrar to investors with mortgage brokers regulated by the Act. The Registrar's duty is rather to the public as a whole. Indeed, a duty to individual investors would potentially conflict with the Registrar's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companion case of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the issue was the duty of care of the Law Society of Upper Canada to persons who deposit money into a solicitor's trust account. At para. 9,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9 At the first stage of the Anns test, the question is whether the circumstances disclose reasonably foreseeable harm and proximity sufficient to establish a prima facie duty of care. The focus at this stage is on factors arising from the relationship between the plaintiff and defendant, including broad considerations of policy. The starting point for this analysis is to determine whether there are analogous categories of cases in which proximity has previously been recognized. If no such cases exist, the question then becomes whether a new duty of care should be recognized in the circumstances. Mere foreseeability is not enough to establish a prima facie duty of care. The plaintiff must also show proximity -- that the defendant was in a close and direct relationship to him or her such that it is just to impose a duty of care in the circumstances. Factors giving rise to proximity must be grounded in the governing statute when there is one, as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Klein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against the Attorney General of Canada and the manufacturer and distributor in Canada of a medical device designed to alleviate female incontinence. The divisional court stated at para. 22 -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indicated above, to determine whether a public authority owes a private law duty of care to an individual or a class, the court must apply the two-part test first described by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at 751-52 (H.L) and refined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Since the courts have not previously recognized a private law duty of care on the part of the federal government to individual members of the public with respect to the regulation of medical devices, the question becomes whether a new duty of care should be recognized in the circumstances. In order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plaintiff must therefore demonstrate both foreseeability and proximity. The parties do not dispute the issue of foreseeability.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factors that may satisfy the requirement of proximity are diverse, depend upon the circumstances of each case, and include broad considerations of policy. Such factors include the expectations of the parties, physical closeness, representations, reliance, the nature of the property or interest involved, assumed or imposed obligations, and whether there is a close causal connection between the alleged misconduct and the complaint of harm.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does not follow from a legislative decision to regulate an activity, product or industry that the legislative scheme created for this purpose is intended to protect </w:t>
      </w:r>
      <w:r>
        <w:rPr>
          <w:rFonts w:ascii="arial" w:eastAsia="arial" w:hAnsi="arial" w:cs="arial"/>
          <w:color w:val="000000"/>
          <w:sz w:val="20"/>
          <w:u w:val="single"/>
          <w:lang w:val="en-US" w:eastAsia="en-US" w:bidi="ar-SA"/>
        </w:rPr>
        <w:t>individual</w:t>
      </w:r>
      <w:r>
        <w:rPr>
          <w:rFonts w:ascii="arial" w:eastAsia="arial" w:hAnsi="arial" w:cs="arial"/>
          <w:color w:val="000000"/>
          <w:sz w:val="20"/>
          <w:lang w:val="en-US" w:eastAsia="en-US" w:bidi="ar-SA"/>
        </w:rPr>
        <w:t xml:space="preserve"> users and consumers. The Courts have held that in order for a public authority to be found to owe a private law duty of care: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statutory scheme at issue must be to benefit individual members of an identifiable class or group;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loss at issue must be the type of loss the statute was intended to guard against. As noted by the Federal Court of Canada in </w:t>
      </w:r>
      <w:r>
        <w:rPr>
          <w:rFonts w:ascii="arial" w:eastAsia="arial" w:hAnsi="arial" w:cs="arial"/>
          <w:i/>
          <w:color w:val="000000"/>
          <w:sz w:val="20"/>
          <w:lang w:val="en-US" w:eastAsia="en-US" w:bidi="ar-SA"/>
        </w:rPr>
        <w:t>A.O. Farms Inc. v. Canada</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(2000), 101 A.C.W.S. (3d) 288</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(Q.L.) ("</w:t>
      </w:r>
      <w:r>
        <w:rPr>
          <w:rFonts w:ascii="arial" w:eastAsia="arial" w:hAnsi="arial" w:cs="arial"/>
          <w:i/>
          <w:color w:val="000000"/>
          <w:sz w:val="20"/>
          <w:lang w:val="en-US" w:eastAsia="en-US" w:bidi="ar-SA"/>
        </w:rPr>
        <w:t>A.O. Farms</w:t>
      </w:r>
      <w:r>
        <w:rPr>
          <w:rFonts w:ascii="arial" w:eastAsia="arial" w:hAnsi="arial" w:cs="arial"/>
          <w:color w:val="000000"/>
          <w:sz w:val="20"/>
          <w:lang w:val="en-US" w:eastAsia="en-US" w:bidi="ar-SA"/>
        </w:rPr>
        <w:t>") at para. 11: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government and the governed is not one of individual proximity. Any, perhaps most, government actions are likely to cause harm to some members of the public. That is why government is not an easy matter. Of course, the government owes a duty to the public but it is a duty owed to the public collectively and not individually. The remedy for those who think that duty has not been fulfilled is at the polls and not before the Courts.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Thus, a statute must demonstrate a legislative intent to provide a private remedy to individuals. There can be no private law duty of care where the purpose of the legislative scheme is to facilitate a public authority to act in its discretion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held in </w:t>
      </w:r>
      <w:r>
        <w:rPr>
          <w:rFonts w:ascii="arial" w:eastAsia="arial" w:hAnsi="arial" w:cs="arial"/>
          <w:b/>
          <w:i/>
          <w:color w:val="000000"/>
          <w:sz w:val="20"/>
          <w:lang w:val="en-US" w:eastAsia="en-US" w:bidi="ar-SA"/>
        </w:rPr>
        <w:t>Klein</w:t>
      </w:r>
      <w:r>
        <w:rPr>
          <w:rFonts w:ascii="arial" w:eastAsia="arial" w:hAnsi="arial" w:cs="arial"/>
          <w:color w:val="000000"/>
          <w:sz w:val="20"/>
          <w:lang w:val="en-US" w:eastAsia="en-US" w:bidi="ar-SA"/>
        </w:rPr>
        <w:t xml:space="preserve"> that an analysis of the legislation, using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demonstrated that it was plain and obvious that a sufficient relationship of proximity between the federal government and the plaintiff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Reference is made in the </w:t>
      </w:r>
      <w:r>
        <w:rPr>
          <w:rFonts w:ascii="arial" w:eastAsia="arial" w:hAnsi="arial" w:cs="arial"/>
          <w:b/>
          <w:i/>
          <w:color w:val="000000"/>
          <w:sz w:val="20"/>
          <w:lang w:val="en-US" w:eastAsia="en-US" w:bidi="ar-SA"/>
        </w:rPr>
        <w:t>Klein</w:t>
      </w:r>
      <w:r>
        <w:rPr>
          <w:rFonts w:ascii="arial" w:eastAsia="arial" w:hAnsi="arial" w:cs="arial"/>
          <w:color w:val="000000"/>
          <w:sz w:val="20"/>
          <w:lang w:val="en-US" w:eastAsia="en-US" w:bidi="ar-SA"/>
        </w:rPr>
        <w:t xml:space="preserve"> case to the Ontario Court of Appeal decision in </w:t>
      </w:r>
      <w:r>
        <w:rPr>
          <w:rFonts w:ascii="arial" w:eastAsia="arial" w:hAnsi="arial" w:cs="arial"/>
          <w:b/>
          <w:i/>
          <w:color w:val="000000"/>
          <w:sz w:val="20"/>
          <w:lang w:val="en-US" w:eastAsia="en-US" w:bidi="ar-SA"/>
        </w:rPr>
        <w:t>Eliopoulos v. Ontario</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[2004] O.J. No. 3035</w:t>
        </w:r>
      </w:hyperlink>
      <w:r>
        <w:rPr>
          <w:rFonts w:ascii="arial" w:eastAsia="arial" w:hAnsi="arial" w:cs="arial"/>
          <w:color w:val="000000"/>
          <w:sz w:val="20"/>
          <w:lang w:val="en-US" w:eastAsia="en-US" w:bidi="ar-SA"/>
        </w:rPr>
        <w:t xml:space="preserve">, which found that it was plain and obvious that the Ontario Minister of Health did not owe a private-law duty of care to the plaintiff in implementing a plan it had created to deal with West Nile virus holding that the powers given to the Minister in the </w:t>
      </w:r>
      <w:r>
        <w:rPr>
          <w:rFonts w:ascii="arial" w:eastAsia="arial" w:hAnsi="arial" w:cs="arial"/>
          <w:b/>
          <w:i/>
          <w:color w:val="000000"/>
          <w:sz w:val="20"/>
          <w:lang w:val="en-US" w:eastAsia="en-US" w:bidi="ar-SA"/>
        </w:rPr>
        <w:t>Health Protection and Promotion Act</w:t>
      </w:r>
      <w:r>
        <w:rPr>
          <w:rFonts w:ascii="arial" w:eastAsia="arial" w:hAnsi="arial" w:cs="arial"/>
          <w:color w:val="000000"/>
          <w:sz w:val="20"/>
          <w:lang w:val="en-US" w:eastAsia="en-US" w:bidi="ar-SA"/>
        </w:rPr>
        <w:t xml:space="preserve"> were to be exercised in the general public interest, and were not geared toward protecting the private interest of particular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the Attorney General of Canada has referred me to the following additional cases: </w:t>
      </w:r>
      <w:r>
        <w:rPr>
          <w:rFonts w:ascii="arial" w:eastAsia="arial" w:hAnsi="arial" w:cs="arial"/>
          <w:b/>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[2007] O.J. No. 1744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Drady v. Canada (Minister of Health)</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[2007] O.J. No. 2812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[2007] B.C.J. No. 1461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Attis</w:t>
      </w:r>
      <w:r>
        <w:rPr>
          <w:rFonts w:ascii="arial" w:eastAsia="arial" w:hAnsi="arial" w:cs="arial"/>
          <w:color w:val="000000"/>
          <w:sz w:val="20"/>
          <w:lang w:val="en-US" w:eastAsia="en-US" w:bidi="ar-SA"/>
        </w:rPr>
        <w:t xml:space="preserve"> involved an application to certify a class proceeding which included a claim against government defendants alleged to have failed or refused to properly regulate the use of breast implants distributed and sold in Canada by Dow Corning Corporation. The opposition to the certification turned on the question of whether there was a sufficient cause of action disclosed, invoking the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plain and obvious test.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xml:space="preserve"> cases were cited for the proposition that it was now settled law that where a governing statute is at issue, and a claim of private-law duty of care is made against a government actor, relating to regulatory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duty of care must be found in the statute. At para. 42 of </w:t>
      </w:r>
      <w:r>
        <w:rPr>
          <w:rFonts w:ascii="arial" w:eastAsia="arial" w:hAnsi="arial" w:cs="arial"/>
          <w:b/>
          <w:i/>
          <w:color w:val="000000"/>
          <w:sz w:val="20"/>
          <w:lang w:val="en-US" w:eastAsia="en-US" w:bidi="ar-SA"/>
        </w:rPr>
        <w:t>Attis</w:t>
      </w:r>
      <w:r>
        <w:rPr>
          <w:rFonts w:ascii="arial" w:eastAsia="arial" w:hAnsi="arial" w:cs="arial"/>
          <w:color w:val="000000"/>
          <w:sz w:val="20"/>
          <w:lang w:val="en-US" w:eastAsia="en-US" w:bidi="ar-SA"/>
        </w:rPr>
        <w:t>, Winkler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An allegation that there was a "duty to prohibit" is akin to an allegation that there is a duty to govern in a certain way. By extension that renders the plaintiffs' claim one of failure to regulate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in other words, a failure to govern. That is a manifest policy decision and it is well-settled that, as such, it is immune from civil liability. The underlying reasons for such immunity are well-stated by Hugessen J. in </w:t>
      </w:r>
      <w:r>
        <w:rPr>
          <w:rFonts w:ascii="arial" w:eastAsia="arial" w:hAnsi="arial" w:cs="arial"/>
          <w:i/>
          <w:color w:val="000000"/>
          <w:sz w:val="20"/>
          <w:lang w:val="en-US" w:eastAsia="en-US" w:bidi="ar-SA"/>
        </w:rPr>
        <w:t>A.O. Farms Inc. v. Canada</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at para.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relationship between the government and the governed is not one of individual proximity. Any, perhaps most, government actions are likely to cause harm to some members of the public. That is why government is not an easy matter. Of course, the government owes a duty to the public but it is a duty owed to the public collectively and not individually. The remedy for those who think that duty has not been fulfilled is at the polls and not before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Attis</w:t>
      </w:r>
      <w:r>
        <w:rPr>
          <w:rFonts w:ascii="arial" w:eastAsia="arial" w:hAnsi="arial" w:cs="arial"/>
          <w:color w:val="000000"/>
          <w:sz w:val="20"/>
          <w:lang w:val="en-US" w:eastAsia="en-US" w:bidi="ar-SA"/>
        </w:rPr>
        <w:t>, the court held that proximity could not be established. There was, therefore,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Drady</w:t>
      </w:r>
      <w:r>
        <w:rPr>
          <w:rFonts w:ascii="arial" w:eastAsia="arial" w:hAnsi="arial" w:cs="arial"/>
          <w:color w:val="000000"/>
          <w:sz w:val="20"/>
          <w:lang w:val="en-US" w:eastAsia="en-US" w:bidi="ar-SA"/>
        </w:rPr>
        <w:t xml:space="preserve">, Cullity J. of the Ontario Superior Court of Justice granted the Crown's motion to strike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for failure to disclose a reasonable cause of action.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in that case were nearly identical to the allegations in this case, although in respect of a different product. The issues were approached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various breaches of a duty of care that have been pleaded are premised on the Crown's alleged knowledge that TMJ implants containing silastic created serious dangers to the health of their recipients. In view of this knowledge, it is claimed that the Crown, through its servants, breached a private law duty of care: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 preventing the importation and sale of such implants;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making regulations pursuant to its statutory powers negligently;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 exercising its statutory and regulatory powers to require proper labelling, and compliance with the regulations in other respects;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 warning health care professionals and the potential recipients of the risks attaching to the devices;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 monitoring the consequences of the insertion of the implants;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 "remediating" the injuries suffered.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These breaches of duty are attributed to the Minister of Health and the employees of the department now known as Health Canada in the purported exercise of statutory powers.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accepted that, in determining whether a Minister, or other governmental body exercising statutory powers, has a private law duty of care, the starting point must be a consideration of the provisions of the relevant statutes. While the existence of such a duty need not be stated explicitly in the statute, its provisions must be examined for factors that allow us to evaluate the closeness of the relationship between the plaintiff and the defendant and to determine whether it is just and fair having regard to their relationship to impose a duty of care upon the defendant: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para. 34.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By the same token, such an examination may reveal that a private law duty may be negated by inferences from the statute that any duties that are imposed are owed to the public, and not to private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Satanove J. dealt with an application to strike a third party notice for failing to disclose a reasonable cause of action against the federal Crown. The plaintiff had commenced and received certification of a class proceeding against Imperial Tobacco Canada Limited and Canada. Canada relied on several grounds to support its motion to strike, one of which was the absence of a duty of care to the plaintiff consumers or to the defendant manufacturers. At para. 32, Satanove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It seems clear from reading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xml:space="preserve"> that the Supreme Court of Canada has said that the proximity required to establish a duty of care by a statutory authority to consumers suffering pure economic loss </w:t>
      </w:r>
      <w:r>
        <w:rPr>
          <w:rFonts w:ascii="arial" w:eastAsia="arial" w:hAnsi="arial" w:cs="arial"/>
          <w:b/>
          <w:color w:val="000000"/>
          <w:sz w:val="20"/>
          <w:lang w:val="en-US" w:eastAsia="en-US" w:bidi="ar-SA"/>
        </w:rPr>
        <w:t>must</w:t>
      </w:r>
      <w:r>
        <w:rPr>
          <w:rFonts w:ascii="arial" w:eastAsia="arial" w:hAnsi="arial" w:cs="arial"/>
          <w:color w:val="000000"/>
          <w:sz w:val="20"/>
          <w:lang w:val="en-US" w:eastAsia="en-US" w:bidi="ar-SA"/>
        </w:rPr>
        <w:t xml:space="preserve"> (not may), be found in the legislation which empowers the statutorily appointed official to take the allegedly negligent steps he or she took. Even the cases relied upon by Imperial: </w:t>
      </w:r>
      <w:r>
        <w:rPr>
          <w:rFonts w:ascii="arial" w:eastAsia="arial" w:hAnsi="arial" w:cs="arial"/>
          <w:b/>
          <w:i/>
          <w:color w:val="000000"/>
          <w:sz w:val="20"/>
          <w:lang w:val="en-US" w:eastAsia="en-US" w:bidi="ar-SA"/>
        </w:rPr>
        <w:t>Williams v. Canada (Attorney General)</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(2005), 76 O.R. (3d) 763</w:t>
        </w:r>
      </w:hyperlink>
      <w:r>
        <w:rPr>
          <w:rFonts w:ascii="arial" w:eastAsia="arial" w:hAnsi="arial" w:cs="arial"/>
          <w:color w:val="000000"/>
          <w:sz w:val="20"/>
          <w:lang w:val="en-US" w:eastAsia="en-US" w:bidi="ar-SA"/>
        </w:rPr>
        <w:t xml:space="preserve"> at paras. 68-72 (C.A.) and </w:t>
      </w:r>
      <w:r>
        <w:rPr>
          <w:rFonts w:ascii="arial" w:eastAsia="arial" w:hAnsi="arial" w:cs="arial"/>
          <w:b/>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38 B.C.L.R. (4th) 263</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at para. 40 concede that if the empowering statute does not create a private duty of care to individuals, then the only conduct for which a government official may be held liable is at the operational level where his conduct may be said to fall outside of his statutory powers and within the common law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Satanove J. went on to hold that the </w:t>
      </w:r>
      <w:r>
        <w:rPr>
          <w:rFonts w:ascii="arial" w:eastAsia="arial" w:hAnsi="arial" w:cs="arial"/>
          <w:b/>
          <w:i/>
          <w:color w:val="000000"/>
          <w:sz w:val="20"/>
          <w:lang w:val="en-US" w:eastAsia="en-US" w:bidi="ar-SA"/>
        </w:rPr>
        <w:t>Department of Health Act</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S.C. 1996, c. 8</w:t>
        </w:r>
      </w:hyperlink>
      <w:r>
        <w:rPr>
          <w:rFonts w:ascii="arial" w:eastAsia="arial" w:hAnsi="arial" w:cs="arial"/>
          <w:color w:val="000000"/>
          <w:sz w:val="20"/>
          <w:lang w:val="en-US" w:eastAsia="en-US" w:bidi="ar-SA"/>
        </w:rPr>
        <w:t xml:space="preserve"> and other relevant legislation were directed toward the protection of health interests of the general public or broad constituencies within the public, and she decided that the actions of the government officials involved were proper policy decisions and not justiciable as operational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Crown also referred me to the case of </w:t>
      </w:r>
      <w:r>
        <w:rPr>
          <w:rFonts w:ascii="arial" w:eastAsia="arial" w:hAnsi="arial" w:cs="arial"/>
          <w:b/>
          <w:i/>
          <w:color w:val="000000"/>
          <w:sz w:val="20"/>
          <w:lang w:val="en-US" w:eastAsia="en-US" w:bidi="ar-SA"/>
        </w:rPr>
        <w:t>Williams v. Canada (Attorney General)</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[2005] O.J. No. 3508</w:t>
        </w:r>
      </w:hyperlink>
      <w:r>
        <w:rPr>
          <w:rFonts w:ascii="arial" w:eastAsia="arial" w:hAnsi="arial" w:cs="arial"/>
          <w:color w:val="000000"/>
          <w:sz w:val="20"/>
          <w:lang w:val="en-US" w:eastAsia="en-US" w:bidi="ar-SA"/>
        </w:rPr>
        <w:t>; another decision of Cullity J. This case involved motions by federal Crown, provincial Crown and the City of Toronto to strike a statement of claim, which initiated a class action on behalf of everyone who contracted SARS in Toronto or from a person in Toronto between April and July of 2003. The allegations against the provincial officials were that they prematurely announced that the outbreak was under control, despite the start of a second wave of SARS. The liability to the federal Crown was based on acts or omissions of Health Canada, including the failure to coordinate and integrate the SARS response, failure to limit the outbreak, approval of provincial actions and failure to warn, and the alleged liability of the City of Toronto was based on acts or omissions of the medical officer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Williams</w:t>
      </w:r>
      <w:r>
        <w:rPr>
          <w:rFonts w:ascii="arial" w:eastAsia="arial" w:hAnsi="arial" w:cs="arial"/>
          <w:color w:val="000000"/>
          <w:sz w:val="20"/>
          <w:lang w:val="en-US" w:eastAsia="en-US" w:bidi="ar-SA"/>
        </w:rPr>
        <w:t xml:space="preserve">, the court reviewed s. 4 of the </w:t>
      </w:r>
      <w:r>
        <w:rPr>
          <w:rFonts w:ascii="arial" w:eastAsia="arial" w:hAnsi="arial" w:cs="arial"/>
          <w:b/>
          <w:i/>
          <w:color w:val="000000"/>
          <w:sz w:val="20"/>
          <w:lang w:val="en-US" w:eastAsia="en-US" w:bidi="ar-SA"/>
        </w:rPr>
        <w:t>Department of Health Act</w:t>
      </w:r>
      <w:r>
        <w:rPr>
          <w:rFonts w:ascii="arial" w:eastAsia="arial" w:hAnsi="arial" w:cs="arial"/>
          <w:color w:val="000000"/>
          <w:sz w:val="20"/>
          <w:lang w:val="en-US" w:eastAsia="en-US" w:bidi="ar-SA"/>
        </w:rPr>
        <w:t xml:space="preserve"> which set out the powers, duties and functions of the Minister of Health, and decided that the statute purported to impose duties only to the people of Canada. The duties were not expressed to create private-law duties and were, by themselves, insufficient to create a relationship of proximity. At para. 77,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If I am correct in my conclusion that the provisions of the Department of Health Act provide inadequate support for the existence of a private law duty of care owed to the class members, it is still possible that, having decided to perform its statutory duties in a particular manner, proximity may be established by the conduct of the Minister, or employees of the Ministry, vis a vis particular individuals or classes of individuals in the course of such performance. However, I am satisfied that neither the general allegations, nor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identify conduct of the Minister, or employees of the Ministry that is sufficient to establish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court's decision in respect of the claim against the federal Crown is set out in para. 81 and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absence of any close and direct causal connection between the alleged omissions of the Minister and the harm suffered by class members would, in my judgment, exclude the possibility that a finding that proximity existed between the Federal Crown and members of the class could be made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In my judgment, the plea against the Federal Crown is flawed in that it equates what are conceivably statutory duties owed to the public -- including the duty to develop and implement reasonable and effective health emergency response plans and strategies -- with private law duties of care. There is nothing in the statutes, or in the facts pleaded, to provide the additional requisite element of proximity. I am satisfied that this is not a case where, on the facts as pleaded, the relationship between the Federal Crown and the plaintiff is sufficiently close to make it fair and just to impose a private law duty of care on the Crown, a Minister or other Crown servants and, in consequence, the plaintiff has failed to plead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Federal Crown that has any possibility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Turning to the allegations of fact in the statement of claim against the provincial Crown in </w:t>
      </w:r>
      <w:r>
        <w:rPr>
          <w:rFonts w:ascii="arial" w:eastAsia="arial" w:hAnsi="arial" w:cs="arial"/>
          <w:b/>
          <w:i/>
          <w:color w:val="000000"/>
          <w:sz w:val="20"/>
          <w:lang w:val="en-US" w:eastAsia="en-US" w:bidi="ar-SA"/>
        </w:rPr>
        <w:t>Williams</w:t>
      </w:r>
      <w:r>
        <w:rPr>
          <w:rFonts w:ascii="arial" w:eastAsia="arial" w:hAnsi="arial" w:cs="arial"/>
          <w:color w:val="000000"/>
          <w:sz w:val="20"/>
          <w:lang w:val="en-US" w:eastAsia="en-US" w:bidi="ar-SA"/>
        </w:rPr>
        <w:t>, the court held that it was not plain and obvious that the plaintiff would be unable to establish proximity as against that defendant. The findings are contained in para. 89 and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However, the allegations of fact in this claim are not confined to assertions that the Minister breached duties or abused discretionary powers expressly imposed by the legislation. They include allegations of specific decisions made by the Minister and other Crown employees that were directed specifically at health care precautions to be taken to prevent the transmission of SARS at public hospitals in, or near, the City of Toronto. These included: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by the Minister under the Health Protection and Promotion Act that SARS was a reportable, communicable and virulent disease -- with the effect that public health officers had power to take steps aimed at preventing its transmission by infected persons;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a provincial emergency under the Emergency Management Act and the establishment of a SARS operations centre under the supervision of Ontario's Commissioner of Public Safety and Chief Medical Officer of Health.</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directive by the Minister that hospitals were to offer only essential services;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of directives to hospitals regulating the admission of patients and visitors, and the use of protective clothing and equipment;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premature lifting of the emergency, dismantling of the SARS operations centre, public statements that the outbreak had been contained -- notwithstanding information that further cases continued to be diagnosed;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hospitals to ease their infection control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the face of these allegations, and the allegations of the motivation behind the decisions that led to (e) and (f) above, it is not plain and obvious to me that the plaintiff would be unable to establish proximity between the Provincial Crown and class members. Although, as the Divisional Court held in Mitchell, private law duties may not have arisen solely from the provisions of the statutes, it does not follow that proximity between the Provincial Crown and the class members could not arise from the manner in which policy decisions made pursuant to the statutory powers and duties were implemented. The Minister and other Provincial officials acted specifically to prevent the infection of persons who would otherwise have been at risk of contracting SARS. Arguably, their decision to do this, and their allegedly premature decision to reduce, or withdraw the preventative measures in place, were sufficient to create a relationship of proximity with such persons: cf., Air India, </w:t>
      </w:r>
      <w:hyperlink r:id="rId341" w:history="1">
        <w:r>
          <w:rPr>
            <w:rFonts w:ascii="arial" w:eastAsia="arial" w:hAnsi="arial" w:cs="arial"/>
            <w:i/>
            <w:color w:val="0077CC"/>
            <w:sz w:val="20"/>
            <w:u w:val="single"/>
            <w:shd w:val="clear" w:color="auto" w:fill="FFFFFF"/>
            <w:lang w:val="en-US" w:eastAsia="en-US" w:bidi="ar-SA"/>
          </w:rPr>
          <w:t>[1987] O.J. No. 903</w:t>
        </w:r>
      </w:hyperlink>
      <w:r>
        <w:rPr>
          <w:rFonts w:ascii="arial" w:eastAsia="arial" w:hAnsi="arial" w:cs="arial"/>
          <w:color w:val="000000"/>
          <w:sz w:val="20"/>
          <w:lang w:val="en-US" w:eastAsia="en-US" w:bidi="ar-SA"/>
        </w:rPr>
        <w:t xml:space="preserve"> at pages 138-9; Jane Doe, </w:t>
      </w:r>
      <w:hyperlink r:id="rId342" w:history="1">
        <w:r>
          <w:rPr>
            <w:rFonts w:ascii="arial" w:eastAsia="arial" w:hAnsi="arial" w:cs="arial"/>
            <w:i/>
            <w:color w:val="0077CC"/>
            <w:sz w:val="20"/>
            <w:u w:val="single"/>
            <w:shd w:val="clear" w:color="auto" w:fill="FFFFFF"/>
            <w:lang w:val="en-US" w:eastAsia="en-US" w:bidi="ar-SA"/>
          </w:rPr>
          <w:t>[1989] O.J. No. 471</w:t>
        </w:r>
      </w:hyperlink>
      <w:r>
        <w:rPr>
          <w:rFonts w:ascii="arial" w:eastAsia="arial" w:hAnsi="arial" w:cs="arial"/>
          <w:color w:val="000000"/>
          <w:sz w:val="20"/>
          <w:lang w:val="en-US" w:eastAsia="en-US" w:bidi="ar-SA"/>
        </w:rPr>
        <w:t xml:space="preserve"> at page 26 (S.C.J.) and 522 (Div. Ct.). The alleged causal connection between the conduct of the officials and the harm suffered by class members was significantly closer and more direct than that between the acts and omissions of the Federal Crown and such members. The facts are, I believe, nearer to those in Eliopoulos than those in Mitchell, </w:t>
      </w:r>
      <w:hyperlink r:id="rId343" w:history="1">
        <w:r>
          <w:rPr>
            <w:rFonts w:ascii="arial" w:eastAsia="arial" w:hAnsi="arial" w:cs="arial"/>
            <w:i/>
            <w:color w:val="0077CC"/>
            <w:sz w:val="20"/>
            <w:u w:val="single"/>
            <w:shd w:val="clear" w:color="auto" w:fill="FFFFFF"/>
            <w:lang w:val="en-US" w:eastAsia="en-US" w:bidi="ar-SA"/>
          </w:rPr>
          <w:t>[2004] O.J. No. 3084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respect of the claims against the City of Toronto, the court accepted the submission that there was no statutory basis for a finding that the city had the duties attributed to it in the statement of claim, and that the responsibility for the management of public health rested elsewhere; namely, with the local boards of health and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Counsel for the provincial Crown referred me to the recent case of </w:t>
      </w:r>
      <w:r>
        <w:rPr>
          <w:rFonts w:ascii="arial" w:eastAsia="arial" w:hAnsi="arial" w:cs="arial"/>
          <w:b/>
          <w:i/>
          <w:color w:val="000000"/>
          <w:sz w:val="20"/>
          <w:lang w:val="en-US" w:eastAsia="en-US" w:bidi="ar-SA"/>
        </w:rPr>
        <w:t>McMillan v. Canada Mortgage and Housing Corp.</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[2007] B.C.J. No. 2143</w:t>
        </w:r>
      </w:hyperlink>
      <w:r>
        <w:rPr>
          <w:rFonts w:ascii="arial" w:eastAsia="arial" w:hAnsi="arial" w:cs="arial"/>
          <w:color w:val="000000"/>
          <w:sz w:val="20"/>
          <w:lang w:val="en-US" w:eastAsia="en-US" w:bidi="ar-SA"/>
        </w:rPr>
        <w:t xml:space="preserve">. That case provides a well-organized and lucid review of the law and most of the cases that I have already mentioned, including several paragraphs discussing the </w:t>
      </w:r>
      <w:r>
        <w:rPr>
          <w:rFonts w:ascii="arial" w:eastAsia="arial" w:hAnsi="arial" w:cs="arial"/>
          <w:b/>
          <w:i/>
          <w:color w:val="000000"/>
          <w:sz w:val="20"/>
          <w:lang w:val="en-US" w:eastAsia="en-US" w:bidi="ar-SA"/>
        </w:rPr>
        <w:t>Eliopoulos</w:t>
      </w:r>
      <w:r>
        <w:rPr>
          <w:rFonts w:ascii="arial" w:eastAsia="arial" w:hAnsi="arial" w:cs="arial"/>
          <w:color w:val="000000"/>
          <w:sz w:val="20"/>
          <w:lang w:val="en-US" w:eastAsia="en-US" w:bidi="ar-SA"/>
        </w:rPr>
        <w:t xml:space="preserve"> case (a claim put forth by the estate of a man who died as a result of complications from treatment for West Nile virus). The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case involved a claim by plaintiffs to recover damages from CMHC for breach of an alleged duty to the plaintiffs and other owners and prospect purchasers of leaky condominium to pass on its knowledge, and to take reasonable steps to ensure that housing incorporating a specified design were not built on the west coast. The court held that the statutes under which the defendant existed gave it no regulatory responsibility with respect to the construction of housing in British Columbia, and there was nothing in the legislation which created a duty of care on the part of the defendant to individual home owners, and there was insufficient proximity between the parties to create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also relies on the </w:t>
      </w:r>
      <w:r>
        <w:rPr>
          <w:rFonts w:ascii="arial" w:eastAsia="arial" w:hAnsi="arial" w:cs="arial"/>
          <w:b/>
          <w:i/>
          <w:color w:val="000000"/>
          <w:sz w:val="20"/>
          <w:lang w:val="en-US" w:eastAsia="en-US" w:bidi="ar-SA"/>
        </w:rPr>
        <w:t>Williams</w:t>
      </w:r>
      <w:r>
        <w:rPr>
          <w:rFonts w:ascii="arial" w:eastAsia="arial" w:hAnsi="arial" w:cs="arial"/>
          <w:color w:val="000000"/>
          <w:sz w:val="20"/>
          <w:lang w:val="en-US" w:eastAsia="en-US" w:bidi="ar-SA"/>
        </w:rPr>
        <w:t xml:space="preserve"> case, and particularly on the following comments in para. 72 thereof: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note, in particular, that, although the starting point in a case like this must be the statutes that impose duties, or confer powers, on the Crown, the issue of proximity is not dependent on finding a specific legislative intention to impose a private law duty of care owed to the plaintiffs. If, on the construction of the statute, such an intention appears, that will be the end of the inquiry but proximity will not be excluded by the fact that the statute is silent on the question. Similarly, a legislative intention to create duties owed to the public will not necessarily preclude a finding of proximity unless, as in Cooper, it appears that only such duties were intended to be imposed. Even where legislation imposes duties that are owed only to the public -- or confers powers exercisable only in the public interest -- a relationship of proximity may arise from the manner in which the duties or powers are exercised: Pearson v. Inco Ltd., </w:t>
      </w:r>
      <w:hyperlink r:id="rId345" w:history="1">
        <w:r>
          <w:rPr>
            <w:rFonts w:ascii="arial" w:eastAsia="arial" w:hAnsi="arial" w:cs="arial"/>
            <w:i/>
            <w:color w:val="0077CC"/>
            <w:sz w:val="20"/>
            <w:u w:val="single"/>
            <w:shd w:val="clear" w:color="auto" w:fill="FFFFFF"/>
            <w:lang w:val="en-US" w:eastAsia="en-US" w:bidi="ar-SA"/>
          </w:rPr>
          <w:t>[2001] O.J. No. 4990</w:t>
        </w:r>
      </w:hyperlink>
      <w:r>
        <w:rPr>
          <w:rFonts w:ascii="arial" w:eastAsia="arial" w:hAnsi="arial" w:cs="arial"/>
          <w:color w:val="000000"/>
          <w:sz w:val="20"/>
          <w:lang w:val="en-US" w:eastAsia="en-US" w:bidi="ar-SA"/>
        </w:rPr>
        <w:t xml:space="preserve"> (S.C.J.), at para. 30. Statutory duties of Ministers to make policy decisions are quintessentially duties owed to the public and not to private individuals but, as the cases where liability is found in respect of operational decisions illustrate, an implementation of decisions made in the exercise of such powers or duties can create a relationship of proximity with persons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An example of a situation where both the chambers judge and the British Columbia Court of Appeal found a high degree of closeness of relationship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assessed as operational is presented in the case of </w:t>
      </w:r>
      <w:r>
        <w:rPr>
          <w:rFonts w:ascii="arial" w:eastAsia="arial" w:hAnsi="arial" w:cs="arial"/>
          <w:b/>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where the Court of Appeal upheld R.D. Wilson J's certification of an action as a class proceeding. The circumstances were that the plaintiff and other employees lost their jobs due to a sawmill closure, and alleged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Minister of Forests and/or his staff in inadvertently removing from a tree farm license a provision previously included which would have prevented the mill from being closed without the Minister's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to be noted that the plaintiff, Zsuzsanna Holland, alleges that she has suffered emotional trauma, psychological trauma, loss of income, loss of dignity, temporary brain damage, physiological damage, near loss of life and prospective early death. I note also that in argument, she says that thirteen years have passed since the most conservative bench mark for foreseeability of prospective injury, a time frame that she has chosen because Health Canada commissioned a report known as the Richardson Report which was made in 1995. The Richardson Report is dated August 18, 1995. Following a peer review and consultation with a stakeholder review committee, Health Canada developed and issued a deposition paper in August 1996, on the health risks associated with dental amalgam. This paper made recommendations to dentists, including risk information that should be given to dental patients by their dentists, and Health Canada advised dentists to avoid using amalgam in treating children with primary teeth, pregnant women, people with impaired kidney function and people with allergies or metal sensitivities.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Zsuzsanna Holland, in making submissions about amendments that she could possibly make to the statement of claim to allege operational actions by the federal Crown, made reference to the pleadings of the Attorney General of Canada in a pending Ontario action, </w:t>
      </w:r>
      <w:r>
        <w:rPr>
          <w:rFonts w:ascii="arial" w:eastAsia="arial" w:hAnsi="arial" w:cs="arial"/>
          <w:b/>
          <w:i/>
          <w:color w:val="000000"/>
          <w:sz w:val="20"/>
          <w:lang w:val="en-US" w:eastAsia="en-US" w:bidi="ar-SA"/>
        </w:rPr>
        <w:t>Wilson v. Attorney General of Canada et al.</w:t>
      </w:r>
      <w:r>
        <w:rPr>
          <w:rFonts w:ascii="arial" w:eastAsia="arial" w:hAnsi="arial" w:cs="arial"/>
          <w:color w:val="000000"/>
          <w:sz w:val="20"/>
          <w:lang w:val="en-US" w:eastAsia="en-US" w:bidi="ar-SA"/>
        </w:rPr>
        <w:t>, Ontario Court General Division, File No. 98-CV-144855 CP, wherein Health Canada pleaded that it took steps to implement the recommendations and informed the public of its findings by sending a letter to every dentist in Canada, publishing the letter in the September 15, 1996 edition of the Canadian Medical Association Journal, and publishing the position paper, the Richardson Report, the stakeholder committee report and other Health Canada documents on the amalgam study on the Health Canada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reproduced a 12-page print-out of the article on the Health Canada website relating to the safety of dental amalgam. For those interested, the website address is www.hc-sc.gc.ca, and the report is viewable by following the link "Drugs (Health Products)", followed by the link to "Medical Devices", followed by the link to "Application Information", followed by the link to "Reports". The date on the report on "The Safety of Dental Amalgam" is 2002-08-12.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Health Canada report contains the following conclusions, considerations and recommendations: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Dental amalgam contributes detectable amounts of mercury to the body, and is the largest single source of mercury exposure for average Canadians. However, this exposure is not causing illness in the general population.</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evidence does not indicate that mercury contributes to Alzheimer's Disease, Amyotrophic Lateral Sclerosis, Multiple Sclerosis or Parkinson's Disease.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Mercury can cross the placental barrier, and can impair kidney function at sub-clinical levels of exposure. Therefore it is advisable to avoid procedures involving amalgam in pregnant women or individuals with kidney disease.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environmental policies of Canada favour a reduction in the use of mercury in all products. It is prudent to reduce human exposure to mercury where safe and practical alternatives exist.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Canada report, </w:t>
      </w:r>
      <w:r>
        <w:rPr>
          <w:rFonts w:ascii="arial" w:eastAsia="arial" w:hAnsi="arial" w:cs="arial"/>
          <w:i/>
          <w:color w:val="000000"/>
          <w:sz w:val="20"/>
          <w:lang w:val="en-US" w:eastAsia="en-US" w:bidi="ar-SA"/>
        </w:rPr>
        <w:t>Assessment of Mercury Exposure and Risks from Dental Amalgam</w:t>
      </w:r>
      <w:r>
        <w:rPr>
          <w:rFonts w:ascii="arial" w:eastAsia="arial" w:hAnsi="arial" w:cs="arial"/>
          <w:color w:val="000000"/>
          <w:sz w:val="20"/>
          <w:lang w:val="en-US" w:eastAsia="en-US" w:bidi="ar-SA"/>
        </w:rPr>
        <w:t xml:space="preserve"> by Dr. Mark Richardson is a useful research study, but currently available clinical data are not reliable enough to permit making a confident estimate of a Tolerable Daily Intake for mercury from amalgam.</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does not warrant the removal of existing amalgam fillings from individuals who have no indications of adverse effects.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dental amalgam is the single largest source of mercury exposure for average Canadians, current evidence does not indicate that dental amalgam is causing illness in the general population. However, there is a small percentage of the population which is hypersensitive to mercury and can suffer severe health effects from even a low exposure.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ban on amalgam is not considered justified. Neither is the removal of sound amalgam fillings in patients who have no indication of adverse health effects attributable to mercury exposure.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general principle, it is advisable to reduce human exposure to heavy metals in our environment, even if there is no clinical evidence of adverse health effects, provided the reduction can be achieved at reasonable cost and without introducing other adverse effects.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Canada advises dentists to take the following measures: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Non-mercury filling materials should be considered for restoring the primary teeth of children where the mechanical properties of the material are suitable.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Whenever possible, amalgam fillings should not be placed in or removed from the teeth of pregnant women.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Amalgam should not be placed in patients with impaired kidney function.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placing and removing amalgam fillings, dentists should use techniques and equipment to minimize the exposure of the patient and the dentist to mercury vapour, and to prevent amalgam waste from being flushed into municipal sewage systems.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Dentists should advise individuals who may have allergic hypersensitivity to mercury to avoid the use of amalgam. In patients who have developed hypersensitivity to amalgam, existing amalgam restorations should be replaced with another material where this is recommended by a physician.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 amalgam fillings should not be placed in contact with existing metal devices in the mouth such as braces.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Dentists should provide their patients with sufficient information to make an informed choice regarding the material used to fill their teeth, including information on the risks and benefits of the material and suitable alternatives.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Dentists should acknowledge the patient's right to decline treatment with any dental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One of the potential amendments that could theoretically be considered is a pleading that the commissioning of the Richardson Report and the subsequent publication of advice and mailing direct recommendations to dentists were operational activities of Health Canada that influenced the plaintiff, or upon which she as an identifiable person relied or could be expected to rely, and which therefore increased the level of proximity or neighbourhood in the relations between the federal government and the plaintiff sufficiently to create a duty of care. I think that is a tenuous argument but not necessarily one that is plainly and obviously bound to fail. The difficulty with treating it as a potentially curative amendment is that Ms. Holland clearly placed no reliance on the report or Health Canada's recommendations, and does not allege that she did. She takes the position that it was too little, too late to the extent that it was correct and that it was largely wrong in understating the risks. Not only did she not rely on the report or the recommendations, she arguably acted against the report's advice by having all her amalgam fillings removed once she became belatedly aware in 2005 that she had mercury amalgam fillings. Therefore the hypothetical amendment does not suit the circumstances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am not able to find in the statement of claim any factual allegations of any operational acts or omissions on the part of either the federal Crown or the provincial Crown that would establish a relationship of proximity sufficient to support a private-law duty of care to the plaintiffs. The facts in </w:t>
      </w:r>
      <w:r>
        <w:rPr>
          <w:rFonts w:ascii="arial" w:eastAsia="arial" w:hAnsi="arial" w:cs="arial"/>
          <w:b/>
          <w:i/>
          <w:color w:val="000000"/>
          <w:sz w:val="20"/>
          <w:lang w:val="en-US" w:eastAsia="en-US" w:bidi="ar-SA"/>
        </w:rPr>
        <w:t>Williams</w:t>
      </w:r>
      <w:r>
        <w:rPr>
          <w:rFonts w:ascii="arial" w:eastAsia="arial" w:hAnsi="arial" w:cs="arial"/>
          <w:color w:val="000000"/>
          <w:sz w:val="20"/>
          <w:lang w:val="en-US" w:eastAsia="en-US" w:bidi="ar-SA"/>
        </w:rPr>
        <w:t xml:space="preserve"> (as against the provincial Crown) and in </w:t>
      </w:r>
      <w:r>
        <w:rPr>
          <w:rFonts w:ascii="arial" w:eastAsia="arial" w:hAnsi="arial" w:cs="arial"/>
          <w:b/>
          <w:i/>
          <w:color w:val="000000"/>
          <w:sz w:val="20"/>
          <w:lang w:val="en-US" w:eastAsia="en-US" w:bidi="ar-SA"/>
        </w:rPr>
        <w:t>James</w:t>
      </w:r>
      <w:r>
        <w:rPr>
          <w:rFonts w:ascii="arial" w:eastAsia="arial" w:hAnsi="arial" w:cs="arial"/>
          <w:color w:val="000000"/>
          <w:sz w:val="20"/>
          <w:lang w:val="en-US" w:eastAsia="en-US" w:bidi="ar-SA"/>
        </w:rPr>
        <w:t xml:space="preserve"> serve as useful examples of operational activity that does establish sufficient proximity, but the distinction between the facts of those cases and the case before me is clear and stark. The facts and allegations in this case are much more comparable to those of </w:t>
      </w:r>
      <w:r>
        <w:rPr>
          <w:rFonts w:ascii="arial" w:eastAsia="arial" w:hAnsi="arial" w:cs="arial"/>
          <w:b/>
          <w:i/>
          <w:color w:val="000000"/>
          <w:sz w:val="20"/>
          <w:lang w:val="en-US" w:eastAsia="en-US" w:bidi="ar-SA"/>
        </w:rPr>
        <w:t>Attis, Drady, Klein,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Eliopoulos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Counsel was dutiful in warning me that the decisions in </w:t>
      </w:r>
      <w:r>
        <w:rPr>
          <w:rFonts w:ascii="arial" w:eastAsia="arial" w:hAnsi="arial" w:cs="arial"/>
          <w:b/>
          <w:i/>
          <w:color w:val="000000"/>
          <w:sz w:val="20"/>
          <w:lang w:val="en-US" w:eastAsia="en-US" w:bidi="ar-SA"/>
        </w:rPr>
        <w:t>Attis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Drady</w:t>
      </w:r>
      <w:r>
        <w:rPr>
          <w:rFonts w:ascii="arial" w:eastAsia="arial" w:hAnsi="arial" w:cs="arial"/>
          <w:color w:val="000000"/>
          <w:sz w:val="20"/>
          <w:lang w:val="en-US" w:eastAsia="en-US" w:bidi="ar-SA"/>
        </w:rPr>
        <w:t xml:space="preserve"> are under appeal. These Ontario cases are not binding upon me of course, but pending a successful appeal, I find them persuasive and believe they correctly apply the law as it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the burden of persuasion on the applications to strike rests with the applicants, it is incumbent upon the plaintiff to propose amendments that might pass the test of setting out a viable cause of action. The plaintiff has not persuaded me that there are additional factual allegations regarding operational activities of the government actors that could be added by amendment that would have the potential to establish the proximity necessary to give rise to a private-law duty of care toward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To the extent that the statement of claim could be amended to make reference to the ways in which the federal and provincial Ministers of the Environment have directed efforts to establishing Canada-wide standards for reducing environmental releases of dental amalgam waste, these are planning and policy-related activities which have done nothing to establish any closer relationship of proximity between the plaintiffs and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do not find in any of the legislation that might have been pleaded, and which I have mentioned above, any intention to impose a private-law duty of care upon any federal or provincial ministers or agencies. Nor do I find that any of that legislation sets out duties of government officials or employees or prescribes a specific regulatory or administrative scheme that could be found to establish a relationship of proximity between the parties sufficient to justify imposing a private law duty of care on the part of government defendants toward the plaintiffs or any other specific individual. In the interests of economy I will not set out the text of the relevant provisions which I have previously identified, as they are readily available to the parties and any other reader, but suffice it to say that to the extent that any of the provisions set out duties, they are in each jurisdiction, duties owed to the public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conclude that it is plain and obvious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set out in the statement of claim against the provincial Crown defendants and the federal Crown defendants, even read generously and considering the amendments that have been suggested, have no chance of success. Consequently, the following portions of the writ of summons and statement of claim should be struck out; namely:</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references in the style of cause to Her Majesty the Queen in Right of the Province of British Columbia and all of the other provincial defendants and Her Majesty the Queen in Right of Canada, and the other federal defendants;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paragraphs of the statement of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paragraphs 4-11, 16, 17, 20, and 21;</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phrase in paragraph 37 "... and inaction,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government";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heading on page 7,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Province of British Columbia and Canada";</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55, 56, 57, 73, 77, and 93;</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heading on page 11 "Negligent Acts by the Province of British Columbia and Government of Canada";</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101, 102, 105, 108, 111, 112, 113, and 118(b).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other portions of the statement of claim that arguably are objectionable for various reasons other than those germane to the applications before me, some of which I have mentioned in my review of the pleading. I will not concern myself with those in this decision, other than to point out the obvious fact that paragraph 118(c) violates Rule 19(29), which provides that where general damages are claimed, the amount of the general damage claim shall not be set out in the originating process or any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parties have liberty to apply to correct any perceived errors or omissions that I may have made in my listing of struck portions of the statement of claim, in the sense that my list is inconsistent with the thrust of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have been successful and are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Hunter v. Anderson, [2010] I.L.R. para. G-2342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July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S052951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G-2342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B.C.J. No. 1485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BCSC 1037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Hunter v. Anderson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 xml:space="preserve">Occupier's liability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tenant slipped and fell on stairs to her apartment — Plaintiff had voluntarily assumed some of the defendant landlord's duties in exchange for rent reduction — Issue was whether the assumption of obligations negated the landlord's duties — Defendant landlord's failure to inspect the premises engaged her liability under the legislation, subject to the plaintiff's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tenant was 75 per cent liable for her accident, and defendant landlord was 25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2"/>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claimed damages for injuries she sustained in a slip and fall accident on the front stairs to her rental accommodation. The defendant was her landlady. The plaintiff alleged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occupier, or in the alternative was caused by a breach of the residential tenancy agreement. The plaintiff had voluntarily assumed some of the defendant landlord's duties in exchange for rent reduction. She was also the only person who used the front steps, as the defendant had a separate entrance to her basement apartment, and the plaintiff had assumed responsibility for cleaning snow off her own steps. The issue therefore was whether in doing so the plaintiff obviated the defendant's potential liability under either the tenancy agreement or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noted that it was not referred to any direct authority on whether a tenant, by voluntarily assuming a landlord's obligation, negates the landlord's liability for any injuries resulting from the inadequate performance of the obligation. The Court concluded that such conduct by a tenant seeking redress would found a claim in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noted that in this case not only did the plaintiff voluntarily assume the duty, but she also received compensation in the form of a rent reduction. The Court concluded that the defendant's failure to inspect the premises to ensure that there was no ice or snow engaged her liability under the Act, subject to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remove the snow and/or wear adequate shoes. In the result, the Court held that plaintiff was 75 per cent liable and the defendant was 25 per cent liable. The plaintiff was awarded general damages of $9,127.25 (25 per cent of $25,000), a past wage loss award of $11,179, and special damages of $329.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Counsel_15"/>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Andersen for the plaintiff; L.C. Boulton and V. Rossos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5"/>
      <w:bookmarkEnd w:id="103"/>
      <w:r>
        <w:pict>
          <v:line id="_x0000_s1103"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A.F. CULLEN J."/>
            <w:bookmarkEnd w:id="104"/>
            <w:r>
              <w:rPr>
                <w:rFonts w:ascii="arial" w:eastAsia="arial" w:hAnsi="arial" w:cs="arial"/>
                <w:b/>
                <w:color w:val="000000"/>
                <w:sz w:val="30"/>
                <w:lang w:val="en-US" w:eastAsia="en-US" w:bidi="ar-SA"/>
              </w:rPr>
              <w:t>A.F. 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Shannon Hunter, claims damages for injuries said to have resulted from slipping and falling on the front stairs to her rental accommodation at 3131 Raleigh Street, in Port Coquitlam on January 7, 2004. The defendant, Flora Anderson, was the plaintiff's landlady at the material time. The plaintiff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occupier contrary to the terms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alternative claim is that "the accident was caused by the breach of a residential tenancy agreement executed by the parties in which the defendant ... is the landlord and the plaintiff ... is the tenant" and that "in breach of the tenancy agreement, the landlord failed to provide premises that complied with the Coquitlam building bylaw and the B.C.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injuries to her elbow and to her left shoulder were caused by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denies liability, asserting in her pleadings that "at all material times, the plaintiff was the occupier of the premises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and she denies any breach or non-compliance with the residential tenancy agreement, the Coquitlam building bylaws or the 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while admitting the slip and fall occurred,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denies that the plaintiff suffered any injury, and pleads in the alternative that if the plaintiff did suffer injuries, they "were in whole or in part caused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case consisted of her evidence; the evidence of her son Chris Hunter; her friends, Darla Nordin and Giselle Hedrick; Carlene Lucke, a former tenant at 3131 Raleigh Street; the medical report and cross-examination of her general practitioner, Dr. Jennifer Fyfe; the reports and cross-examination of an orthopaedic surgeon who treated her, Dr. Farhad Moola; the reports and cross-examination of Natalie Allende, an occupational therapist who assessed the plaintiff and calculated her cost of future care; the report and cross-examination of William Stanus, a vocational consultant who assessed the plaintiff and who provided the court with an opinion as to the impact of the slip and fall on her future earning capacity; and the reports of Granville Airton, P. Eng, a "Forensic Engineer" who assessed the stairs on which the slip and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various clinical records, consultation reports and miscellaneous records were admitted including the clinical records of Dr. Fyfe's predecessor, Dr. Horvat; clinical records of Dr. Fyfe; clinical records of Eagle Ridge Hospital dated January 7, 2004 to June 22, 2007; clinical records and a consultation report from Dr. Bertrand Perey; clinical records and consultation reports of Dr. Moola; a consultation report from Dr. Andrew Hepburn dated November 30, 2004; clinical records of Royal Columbian from April 5, 2002 - April 13, 2007; and various income tax, WorkSafe BC, employment, MSP and PharmaNet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Evidence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41 years old. She has two sons, Chris who is now 18 and Tyler who is now 13. She works at three jobs: for School District 43 (Coquitlam) as a Special Education Assistant, teaching living skills to developmentally disabled people through Simon Fraser Community Living Society, and teaching living skills to an autistic person who lives in a basement suite in the house which she presently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met the defendant in February of 2003 when she agreed to rent the premises from her at 3131 Raleigh Street. The rental premises consist of the upper floor of the house on Raleigh, which includes three bedrooms. At the relevant time, the defendant lived in a basement suite in the same house. The parties entered into a tenancy agreement dated February 26, 2003. Under the agreement, the plaintiff paid $1,000 a month rent and a proportion of the utilities. She testified that she negotiated a reduction in the rent from $1,100 per month to $1,000 by agreeing to look after the front yard - mowing the lawn. Her access to and from the premises was only through the front door of the house which involved use of the front stairs, which is where the slip and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the plaintiff, the day before the incident, on January 6, 2004 it had been snowing and the defendant asked her son Chris if he would shovel the walks and the stairs. The defendant was off work because of a bad knee and she gave Chris $5.00 and a shovel to do the job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not gone to work on January 6, 2004 and she called into work on the morning of January 7, 2004 to indicate that she would not be into work that day either because of a cold she was suffering from. She testified that she took the dog out the front door and when she stepped down onto the first step, she slipped and fell, striking her left elbow. She testified she was in "excruciating pain" and called for her sons to get the defendant to help her because she felt she was going to pass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said that in taking the dog out, she didn't use her own shoes, but used her son Chris' running shoes. She said they fit her; the shoes were Nike running shoes and they were made an exhibit at the trial, having been produced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she called her sons, they came to the front door and then went downstairs to get the defendant from her suite to help. According to the plaintiff, she pulled herself to the middle stair and then woke up to find the defendant patting her and telling her to wake up. She said the defendant told Chris to get some salt and put it on the stairs and then assisted her to her feet so that she could go into the house. The plaintiff asked the defendant if she would drive the boys to school and then come back, pick her up and take her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she did not know if there was ice on the stair or not when she slipped and fell. She testified that she told people at the hospital that she had slipped and fell and was suffering pain from her left elbow and her shoulder which had seized up. She said she got morphine for the pain and was x-rayed to determine the nature and extent of the injury to her elbow. She testified that when she returned home from the hospital, the defendant helped her in and then made dinner for the boys when they got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family doctor at the time was Dr. Horvat. He subsequently closed his practice and moved to another community and she then became a patient of Dr. Fyfe's, starting in September 2004. The plaintiff went to see Dr. Horvat the next day and was sent to Dr. Perey's clinic where she had a cast put on her left arm. She testified her arm was in a cast for about a week and the cast was then removed, but her arm was in a sling. She explained that Dr. Perey tried to examine her arm but she was still having quite a bit of pain and it was tender to the touch, so he gave her mobility exercises "to loosen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testified that the next event concerning her injury took place on March 12, 2004 when Dr. Perey, who is an orthopaedic surgeon "repaired the ulnar nerve" in her left elbow. She was placed under a general anaesthetic for that operation. According to the plaintiff, Dr. Perey told her that it appeared her shoulder was frozen and he did a manipulation. After her surgery, she had a bandage and her arm was in a sling for about a week. She then went into Dr. Perey's office, had the staples removed and underwent what she described as intensive physiotherapy to try and get the mobility of her arm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10, 2004 she was "given the ok"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before the slip and fall, the defendant had given notice to the plaintiff to end the tenancy. According to the plaintiff, it was because the defendant wanted the upper floor available for her daughter to live in. She testified the notice came in the form of a letter on January 1, 2004 and it asked her to vacate by March 31, 2004. In the result, she left and rented a basement suite at 1910 Homer Street. She denied receiving notice to vacate by reason of failing to pay her rent on time and being in arrears for utilities, although she agreed that she had been late in paying her February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she had been referred to an orthopaedic surgeon, Dr. Andrew Hepburn in November 2004 concerning her shoulder injury. She testified Dr. Hepburn referred her back to Dr. Perey, who then referred her to Dr. Moola who diagnosed her with a frozen shoulder and prescribed both physiotherapy and a cortisone shot. She testified that the shot gave her short-term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was asked in chief about any previous injuries she suffered and she testified to "catching" her elbow on a box while helping her girlfriend move in October of 2003 but she said that injury did not impair her ability to work or enjoy any activities. She testified that on an earlier occasion in 2001, she was kicked in the neck area by one of her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2003 she suffered the effects of a fall down some stairs while helping her brother's girlfriend who had had too much to drink. She testified she hit her lower back on the stairs and was injured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the slip and fall, she testified it had been raining on January 7th and the lower stairs and lower landing were slush, but the top two stairs and upper landing were dry. She agreed she signed a type-written statement dated January 22, 2004 which had been prepared by the defendant's daughter, Georgina. The statement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Wednesday, January 7/04, around 8:00 a.m. I Shannon Hunter went to walk my dog. It was raining at the time. I put on my son's skateboard shoes. On the first step I slipped and my right leg went out from under me. I was holding an umbrella in my left hand and the dogs leash in my right hand. I caught myself with my left elbow and sustained injury to my left elbow (Medical details can be provided). I slid down to the landing and called my sons to call Flora who lives downstairs. I used my legs to leverage myself up to the middle step. I told my son Chris to get Flora because I knew that I was going to pass out. I have no recollection past that point until Flora arrived. Flora picked me up and helped me inside. My son Chris salted the stairs then walked the dog. I asked Flora to drive my boys to school. She did, and then drove me to Eagle Ridge Hospital. My son Chris and I had shoveled [sic] the steps and landing the day before. I did not know that there was black ice under a layer of snow that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declare that the above statement is true to the best of my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denied knowing what the purpose of the statement was but said it described what had happened to the best of her knowledge. She said she was told there was black ice under the snow on the stairs when she was travelling to the hospital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testified that although she returned to work on May 10, 2004 and stayed to the end of the school year in June 2004, she did not return to work in September 2004 and remained off work until October 2005. She attributed her absence from work to "having issues" with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returning to work in October 2005 she worked until April 2007. On April 3rd she described a student coming to the special education assistance room and banging on the door. She reached for the door and at the same time, the student swung it open, which caused her to extend her arm and cause pain. She didn't take any time off work as a result of that, but two days later, on April 5, 2007 she fell while stepping over a log at the edge of the school parking lot. She fell on her left arm. As a result of that fall, she was taken to Royal Columbian Hospital, where she remained for thirteen days. She had an MRI and a CT scan of her neck and Dr. Moola prescribed two more cortisone shots for her shoulder. She testified she was off on WCB benefits until July 1, 2007, when WCB ended those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July 18th, 2007 she underwent a capsular release of her shoulder and also did two months of physiotherapy. She returned to work in September 2007 and has worked consistently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testified the capsular release conducted on July 18, 2007 solved the majority of her shoulder problems, but she still experiences stiffness and pain in her shoulder and elbow and can't fully extend her arm. She testified she doesn't work with the same children as she did before and she does not play the same sports including volleyball, basketball, tennis or skiing and she does not ride a bike or water ski as she did prior to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testified that she does not dance to the same extent she did before and is limited in the home repairs that she can do. She testified she is unable to reach to her full ability and finds it harder to clean or do any heavy lifting. She does cook and teaches others life skills, but she testified her boys do quite a bit of the cooking for the family. She said that certain tasks, such as vacuuming, take more time than they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Hunter presented evidence of her pecuniary damages including her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sought special damages of $329.98 representing the cost of prescription drugs including Tylenol #3, Naproxen, Triamcinalone and oxycocet which were used to alleviate her symptoms from the injury from January 7, 2004 to April 23, 2009, a clavicle strap purchased on August 25, 2004 and the cost of physiotherapy treatments received on October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testified she had other physiotherapy expenses but had lost the receipts and so therefore wasn't claiming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Hunter also made an "in trust" claim on behalf of her brother, Trevor Hunter, who, she testified, purchased groceries, phone cards and prescriptions for her between September 2004 and October 2005, totalling $460.97.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also made an "in trust" claim for her friend, Darla Nordin in the amount of $2,729.88 for payment of food ($1,842.57), clothing ($823.11), prescriptions ($39.20) and a phone card ($25) which, she testified, were incurred in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Hunter also claimed a past wage loss of $28,500 as a result of being off work from January 7, 2004 to May 10, 2004 and again between September 2004 to October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the plaintiff's credibility and the reliability of her evidence were challenged, both in relation to the issue of liability and as to the nature and extent of the injuries she asserted were caused by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acknowledged the stairs were used by her and her sons and not by Ms. Anderson and she acknowledged that Ms. Anderson had knee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has a Grade 12 education; she receives $1,210 a month in support for her two sons and for the past year, has worked about 60 hours a week at her three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agreed she has been diagnosed with Attention Deficit Hyperactivity Disorder (ADHD) and was prescribed medications for that condition at the time of the accident. She also suffered from depression which arose out of her breakup with a boyfriend in the fall of 2003 and she was charged criminally as a result of a confrontation with her boyfriend and his new partner. She testified she was ultimately ordered subject to a peace bond as a result of the incident. She agreed she was on medication for depression at the time of the incident. It was pointed out to her that the occupational therapist who assessed her, noted in a report dated December 11,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Hunter indicated that she had suffered from depression during </w:t>
      </w:r>
      <w:r>
        <w:rPr>
          <w:rFonts w:ascii="arial" w:eastAsia="arial" w:hAnsi="arial" w:cs="arial"/>
          <w:color w:val="000000"/>
          <w:sz w:val="20"/>
          <w:u w:val="single"/>
          <w:lang w:val="en-US" w:eastAsia="en-US" w:bidi="ar-SA"/>
        </w:rPr>
        <w:t>the year following</w:t>
      </w:r>
      <w:r>
        <w:rPr>
          <w:rFonts w:ascii="arial" w:eastAsia="arial" w:hAnsi="arial" w:cs="arial"/>
          <w:color w:val="000000"/>
          <w:sz w:val="20"/>
          <w:lang w:val="en-US" w:eastAsia="en-US" w:bidi="ar-SA"/>
        </w:rPr>
        <w:t xml:space="preserve"> her accident since she was off work and had significant financial difficulties. She reported that she attended a few counselling sessions in 2005. She indicated she no longer feels depressed.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Hunter was asked if she told Ms. Allende of her earlier distress and depression before the accident and she responded that she "knew" because she had been on efflexor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Hunter was questioned as to her medical history. She was shown a School District Employee Incident Report and a Workers' Compensation Board claim which she made in 2000 claiming a fracture to her left wrist when it was caught in a car door. She testified that she had injured her left hand two years prior to that incident when she fell while running to catch a bus. She testified she was not off work as a result of either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agreed she was off work for six months between September 24, 2001 and March 5, 2002 following an incident when she was kicked in her shoulder/neck/face area by a student. She agreed the injury included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testified that when she returned to work from that incident it was on the condition that she would not work with children exhibiting extreme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Two months later, in May 2002 she made another Workers' Compensation Board claim resulting from an injury when she was in the school gym and reaching above her head. She "felt a pop between [her] shoulder blades". Her claim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subsequently made another Workers' Compensation Board claim a day or two later, complaining of headaches and soreness from hanging balloons for a birthday party. That claim was denied as well. Ms. Hunter was off work for June 2002 and collected Employment Insurance during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summer of 2002 she testified her activities included casual pick-up baseball with her sons, basketball with her children, but no wakeboarding or waterskiing. She testified she bicycled with her children and could dance "somewhat". She agreed when shown a document that she applied for benefits from the School District #43 (Coquitlam) and CUPE Local 561 Joint Sick Leave Benefit Plan on June 21, 2002 but had "no idea" what she was applying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returned to work in September 2002, but on October 16, 2002 she signed a form applying for a disability pension. She testified she did not remember why she applied for that disability pension and she did not remember if she had a doctor assisting her in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Hunter agreed that she met the defendant in early 2003 through her friend, Darla Nordin. The defendant and Ms. Nordin worked together at a home for disabled people where the plaintiff had worked for a period as well. Carlene Lucke, who was called as a witness for the plaintiff and who had previously rented the premises at 3131 Raleigh, also worked at the home, but the plaintiff asserted she had not met her while working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she was seeing Dr. Horvat in January 2003 and was on several medications at that time. She testified it was in that period that she was in the midst of her break-up, and suffering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she rented the premises from the defendant, she expressed no concerns about the property and she agreed that the lease she signed contained a provision that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AREAS. The tenants are responsible to properly cut and water the lawns, and for weeding the flower beds. All balconies/patios must be kept clean and tidy. The tenant shall not misuse areas of the residential property, but shall use them prudently, safely and equitably. All such use shall be at the risk of the tenant, and the tenant's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agreed that she told the defendant she was handy and would do work around the house for a reduction in her rent. She testified however that that was limited to cutting the lawn, which she estimated would take about one-half hour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moved into the property at the end of March 2003. She agreed that she earned $21,000 from employment in 2003, but she did not work in the summer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denied the suggestion that she told the defendant or any of her friends that she believed she had won the Reader's Digest Sweepstakes in 2003. She could not recall whether she purchased a new vehicle, but agreed that she bought a Ford Explorer at some point. She couldn't recall how expensive it was, or what the payments were that she made for it. She testified that she traded in the Explorer for a car that was two years older because she couldn't afford the Explorer and did not have it for long. She agreed that she signed up for a course in traffic control, which turned out to be a "scam" and she agreed that in 2003 she asked the defendant and her daughter, Georgina, to help her create a new resume. She testified however it was to get a second job, not a replacement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agreed that she fell down some stairs and injured her lower back for which she took Tylenol, but she did not recall requiring physiotherapy for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agreed she returned to work in September 2003 and testified that she was struggling financially and was unable to pay for her efflexor medication, so she got free samples from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denied the suggestion that she had a conversation with the defendant in late 2003 about solving her financial struggles by making a claim for an injury or that she talked about severing a finger or falling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agreed that she got notice from the defendant on January 1, 2004 but denied that she was behind in her rent at that point. She testified she was upset at getting the notice, but she understood the defendant wanted her daughter to move in. She agreed that she did not return to work after the Christmas holidays ended in 2003/04 because she had a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agreed that in her examination for discovery she testified that the defendant had previously cleared snow off the stairs, but she agreed with the suggestion put to her in cross-examination at the trial that it had not previously snowed while she had been at the Raleigh Street premises. She did not believe it snowed again before she left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also agreed that at her examination for discovery she testified she could not recall if there was snow on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agreed that when she went out on January 7th to take the dog out, she had a leash in one hand and an umbrella in the other and her son's "skate shoes" on. She testified the top landing was dry, the top step was wet, the bottom and middle step were slushy. She "couldn't recall ice". She testified her foot slipped on the first step down and she could not say why. She did not know if there was ice on the stairs or not. She testified she couldn't recall telling the hospital staff on January 7, 2004 that she fell on "icy stairs" or that she told that to Dr. Perey or Dr. Hepburn or Dr. Moola, although each of them reported that that is what she told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repeated that she and her son had completely shovelled the snow off the stairs the night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denied the suggestion that she had her sons get the defendant to witness her lying on the stairs to advance her claim, saying that she asked them to get the defendant because she "knew [she] was going to pass out". She testified she did pass out from the pain in her arm and was awakened by the defendant, telling her to wake up and tapping her on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agreed that she did not call or have anyone call 911 for assistance and she agreed that she asked the defendant to take the boys to school before she herself was given a ride to the hospital, despite being in "excruciating pain". She testified that was "just the way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agreed that according to the hospital records, she was diagnosed with a soft tissue injury and an x-ray of her elbow showed no break. She testified that the following day she got an appointment through her doctor at the casting clinic and got a cast put on her arm. The cast was only on for about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agreed she saw Dr. Horvat again on January 15, 2004 and that in his clinical notes, she was reported as having told him that she had passed out when she tried to stand up. She testified that what happened was that when she was pulling herself upstairs, she felt as though she was going to pass out. She did not recall telling Dr. Horvat she had passed out when she tried to stand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agreed she took Tylenol #3's for five to six days following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agreed that in the January 22, 2004 statement which she had signed, it said she did not realize there was black ice under the snow. She also agreed that she made no mention of her shoulder being injured at the time of the January 22nd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agreed she did not have physiotherapy after the accident, but when she saw Dr. Perey on January 19th, 2004, he gave her a rotation exercise to do and then she had surgery scheduled for March 12, 2004. She agreed she told Dr. Perey about an injury to her elbow in October 2003 and that from that injury she "had low grade numbness to her left ring and little finger" and was unable to completely extend her elbow. She agreed that she did not allow Dr. Perey to touch her elbow during his examination of her. She agreed she saw Dr. Perey again on February 5, 2004 and still did not complain of her shoulder. She agreed that Dr. Perey reported that a nerve conduction study performed on her elbow showed "very mild slowing about ulnar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the March 12th surgery, she returned to work on May 10, 2004, but the next day on May 11, 2004 she went back to Dr. Perey, who reported that she made "multiple complaints about her left upper extremity with pain and stiffness to her left shoulder along with sensitivity to the medial aspect of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Perey further reported as follows in connection with the Ulnar Transposition he performed on March 12,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under anesthesia revealed a very stiff left shoulder and I suspect she has a significant frozen shoulder. Her whole upper extremity problem is more in keeping with an autonomic dysfunction such as complex regional pain syndrome. I think she is slowly improving and I have asked that she undergo formal physiotherapy for aggressive range of motion and strengthening exercises to her shoulder. The sensitivity over her incisional site will continue to improve with time. I expect her prognosis to be favorable.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reassess her in two months. My best 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testified she could not remember the May 11th, 2004 visit to Dr. Perey or making the complaints that he reported. She testified she finished off the school year, but had one incident at school when she injured her elbow by hitting it on a bookcase. She testified she saw Dr. Perey the same day, but she took no time off work. She did not remember having any therapy over the course of the summer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Hunter first saw Dr. Fyfe, her new family doctor on September 4, 2004. That was the Saturday before school started and before she was to return to work. According to Dr. Fyfe's clinical notes, the plaintiff told her she "broke her arm" and "dislocated her shoulder" and had surgery in March. She also reported there was a law suit arising from the slip and fall. The plaintiff was asked whether she told Dr. Fyfe about breaking her arm and dislocating her shoulder and she testified she did not know whether she told her that or not. She could not remember. She agreed that no doctor had ever diagnosed her with a dislocated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agreed that at that visit she told Dr. Fyfe she "had had difficulty since returning to work", but clarified in her evidence that she was referring to her return to work in the past May and June, not September as she had not yet commenced working for the school year. She did not return to work as she was scheduled to do on September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testified she again applied for CPP benefits and benefits from the Health Care Trust, but her claims were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acknowledged that in her application to the Joint Sick Leave Trust Benefit Plan, which was dated October 28, 2004,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 January 7th/04 fell and broke elbow. In March had surgery to fix it. At that time, the doctor realized that shoulder was dislocated (due) to fall and went unnoticed for three months and now waiting to have more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also wrote in her application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Fell on front steps due to unknown black ice. Broke left elbow. At time when treated at RCH x-rays were only done for elbow. In August went to doctor the pain in shoulder continued to be increasing and extremely more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said the medications she was on at the time - dexedrine and efflexor - caused her to believe "weird things", like there was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agreed she did not return to work until October 2005, over a year later. She also agreed she was going through significant emotional/psychological difficulties throughout that period. Dr. Fyfe noted in her clinical records on September 23, 2004 that the plaintiff was "histrionic and scattered" and there was "more to this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 of Dr. Fyfe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Fyfe noted in her medical legal report dated October 17, 2005 that "Ms. Hunter returned on September 23, 2004, complaining of a rash on her finger and requesting refills on medication she had not previously disclosed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Fyfe had an x-ray done of Ms. Hunter's shoulder following her appointment on September 4, 2004. The x-ray report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suggestion of some mild narrowing of the shoulder joint, and some minimal osteophyte formation at the inferior aspect of the glenoid acetabulum, suggestive of, but not diagnostic of, early degenerative change. No other significant bony or joint abnormality is demonstrated. The acromio-clavicular joint has not been well visualized.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dislocation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Fyfe referred the plaintiff to Dr. Andrew Hepburn, an orthopaedic surgeon who saw her on November 30, 2004. In his consultation report, Dr. Hepburn noted that the plaintiff said "she dislocated her shoulder when she fell down some icy steps in January 2004". He noted that it was impossible to examine her "as she felt any movement of any kind in her shoulder was too painful to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astonishing to me that Shannon's shoulder was dislocated for three months. I am not sure what happened at the time of surgery when Dr. Perey reduced it, nor am I certain as to why Shannon was not followed up by Dr. Perey.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Hepburn concluded a referral back to Dr. Perey was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Fyfe in her evidence agreed that the plaintiff's presentation was "unusual". She agreed that the existence of a law suit is something to be aware of in light of the presentation of the plaintiff and that there can be other issues of "secondary gain" which inspire complaints such as care, attention and sympathy from family and friends as well as medical attention. She agreed "work avoidance" can sometimes be a motivation in a patient's presentation, or the seeking of some accommodation, disability payments, reduced expectations for under performance, and as well, if there is a psychological problem which is difficult to talk about, a person may feel it is easier to "sell" a physical problem rather than a psychiatric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Fyfe described that latter factor as "a very common presentation in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also agreed the prospect of financial compensation through litigation could be a motivator for injury/pain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Fyfe noted in her clinical notes of September 23, 2004 that the plaintiff was "histrionic and scattered" and she expressed concern that she did not have the complete story. She agreed that the plaintiff was on Efflexor, an antidepressant drug and Dexedrine, for ADHD, and that she advised the plaintiff to stop the Dexedrine as she was not sure whether it was a cause of her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noted by the end of October that the plaintiff was getting worse emotionally and by mid November, she was having some psychotic episodes, to the point where a friend of hers called, concerned about her psychological state. She agreed that throughout this period all of the plaintiff's complaints related to her psychological issues and she did not bring forward any muscular skeletal complaints between September 2004 and June 2005. She reported that her emotional difficulties stemmed from a break-up with 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Fyfe agreed that the plaintiff was not capable of working for much of that timeframe due to her emotional and psychological state. She believed she filled out a CPP disability form for the plaintiff relating to her mental health in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far as her muscular skeletal complaints were concerned, an MRI conducted in September 2005 disclosed "no significant abnormalities". The last reference to her psychological issues in Dr. Fyfe's clinical notes was on September 15, 2005 when the plaintiff reported she "was obsessed with bugs last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September 2005 the plaintiff also showed a good range of movement in her left arm. Dr. Fyfe last saw the plaintiff in 2005 on November 14th and did not see her again until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she next saw her in January 2006, it was on January 9th, the day the plaintiff received a cortisone injection from Dr. Moola. The plaintiff reported increased pain and some numbness in her left arm. She saw her several more times in 2006, but the plaintiff did not make any muscular skeletal complaints. She did not see her at all in 2007, saw her several times in 2008, but had no discussions with her concerning any muscular skeletal issues. In 2009 there were no muscular skeletal complaints from the plaintiff. In August and September 2009 on examination, the plaintiff had full range of movement of her left arm and shoulder, reporting a little bit of tenderness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Fyfe testified in cross-examination that it was very rare for a person to pass out solely from "excruciating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called several witnesses in support of her version of how the slip and fall took place and its consequences to her. Her now 18 year old son Chris Hunter testified that he recalled the incident where she fell on the front stairs. He heard his mother call, and went outside to find her lying on the stairs. She then asked him to go and get the defendant, Ms. Anderson. Later, after the defendant assisted his mother to get up and go in the house, she told him to get some salt to spread on the stairs, so he got some table salt and threw it on the stairway. He said at the time he recalled it raining and he saw no snow on the stairs and testified that he had shovelled the snow off of the stairs at the defendant's request the previous day for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denied owning any skateboard shoes and testified his mother was wearing his Nike running shoes. After she was injured, he helped her take the shoes off so he could wear them to school and he helped her put her shoes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testified that she was on the couch when he returned from school that afternoon and had problems with her left arm. He recalled that she was in a cast and then had her arm in a sling. He testified he did some of the household chores after the accident, such as preparing food, doing the laundry and cleaning the house. He also testified that after the accident, his mother did not play baseball or basketball with him and his younger brother or do bike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cross-examination, he agreed that his mother had read to him from some statements concerning the slip and fall, but he couldn't remember if what she read to him was from her statement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agreed he didn't hear his mother screaming, he just heard her call his name and that her eyes were open when he saw her. He was uncertain as to why she was wearing his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testified he didn't have much recollection of shovelling snow off of the stairs, but recalled there was snow on all the stairs all the way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When he first saw his mother she was laying on the landing with "her legs over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testified his mother was "passed out" when he returned to the scene with the defendant and it was while the defendant was assisting his mother to go inside that he put salt on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Carlene Lucke testified that she was a previous tenant at 3131 Raleigh from April 2001 to February of 2002 in the premises subsequently occupied by the plaintiff. She testified that while she lived there, her relationship with Ms. Anderson became complicated, because Ms. Anderson accused her of abuse and neglect of her foster children and threatened to call the Ministry. She testified that there was no neglect or abuse, but the accusations were the main reason she left the house in February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She testified to difficulties with the front stairs of the premises, if they were wet or if there was snow or ice on them. She said the stairs became slippery and caused her daughter to slip and fall the day they moved in and caused others to fall over the course of her tenancy. She testified she suggested to the defendant that she paint the stairs or put rubber adhesives on to avoid the slipperiness.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she agreed that she knew the plaintiff's friend Darla Nordin, having previously worked with her, but had not spoken to her since 2003 or 2004 and had not spoken to her about the incident. She agreed that despite the fact that people fell on the stairs, she herself took no steps to render them safer. She just told her children to be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Darla Nordin testified that she and the plaintiff had been friends since 1994. She heard about the slip and fall about a day later, when the plaintiff telephoned her. She testified the plaintiff could not do a lot for herself, so Ms. Nordin helped her by buying clothing for the boys and helping with her monthly bills and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testified that in previous years, the plaintiff had visited with her and her husband at their cabin and had gone wakeboarding and tubing behind their boat. She testified that although the plaintiff visited their cabin in the summer of 2004, she "couldn't do that stuff". According to Ms. Nordin, the plaintiff has continued to complain of pain in her left arm, but it has "probably [become] better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testified that in November of 2004 she took the plaintiff to the hospital after receiving a telephone call from the plaintiff's then landlord, who reported she was "acting weird". She went over to the plaintiff's and discovered she was complaining of seeing "bugs" and did not "seem healthy", so she took her to the hospital. She testified that that condition continued for a period, but has since settled and she has seen no further signs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testified the plaintiff has not yet repaid her the sum she spent to help her out after the accident. She was aware the plaintiff had psychological problems arising from a breakdown of her relationship in 2003. She believed that Ms. Hunter's psychological problems which arose in November 2004 lasted about a year, but since then she has "picked herself up" and has been doing well, particularly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plaintiff's friend, Giselle Hedrick also testified. She picked her up from the hospital emergency ward on January 7, 2004 after her slip and fall and took her home. She saw her from time to time after the accident and noted that she couldn't use her arm to do the things she previously was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did not remember any earlier occasion when the plaintiff was off work due to an injury. She testified she helped the plaintiff out for about two months after the injury. She did not spend much time with her beyond the fall of 2004 because of the plaintiff's psychological problems. She re-kindled the relationship a few years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Engineering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tendered two reports from Granville Airton, P. Eng. of Consulco Engineering Inc., addressing the issue of the role, if any, which the stairs to the complainant's suite played in the accident at issue. The reports are dated October 11, 2006, and February 2, 2007,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Airton visited the scene of the slip and fall initially in 2005 and later, on December 31, 2006. On his first visit, he was denied access to the stairs to measure the rises and runs to determine if they were reasonably similar in size and to test the treads and the stoop with his slip resistance tester, to see if they were "reasonably slip resistant". In the result, he was unable to conduct his test. He noted the surface of the stoop and stair treads consisted of red ceramic tile. He noted that at the time of his second attendance, the stairs and mid landing had wooden guardrails around them and two of the treads had what appeared "to be cementitious material on them", all of which was installed after his initial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noted that when built, the stairs would have been subject to the National Building Code, which provided: "Treads and risers shall have uniform rise and run in any one flight."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His opinion was that a variation in rise and run of 5 mm or 3/16 of an inch is a reasonable tolerance for a difference in size, as absolute uniformity is an unachievable standard. He hypothesized that the cementitious material was added to the first and third treads of the stair, either because the stairs were perceived to be slippery, or that there was "a substantial difference in height between the associated risers and the ones adjacent."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to the hand rail, he noted the relevant National Building Code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hand rail shall be provided on at least one side of stairs less than 44 inches in width; and on two sides of stairs 44 inches in width or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second report, Mr. Airton noted that when he re-attended the scene of the slip and fall on December 31, 2006 and was permitted access to the stairs, he attempted to measure the rises and runs of the stairs. He did not conduct any tests to measure the slip resistance of the red ceramic tile surface of the stairs not covered by the cementitious material. He noted that because of the application of the layer of cementitious material, it was "impossible to measure the original rises and runs on the stair" using the tools he had. What he did instead was to measure "the rise height adjacent to the riser itself" and the thickness of the cementitious material (which varied along the length of the treads) at the left side. He suggested based on his various measurements "a variance between the top and second riser ... was about 1 1/4 inches, between the second and third from the top, 1 3/8 inches and between the bottom and second from bottom, also about 1 3/8 inches." He stressed the measurements were only approximate and recommended a removal of the layers of cementitious material to enable an accurate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variation between some of the risers on the stair was in the range of 1 1/4" which is very substantial and makes the stairs unsafe. However I stress this is based on only approximate measurements. As a result I very strongly recommend that in order for me to be able to do an accurate check of the uniformity of the risers and runs prior to the installation of the layers of cementitious material, the layers be removed, if this is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 of Dr. Moola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Farhad O. Moola is an orthopaedic surgeon with a specialty in shoulder and upper extremity surgery, who began his clinical practice in September 2005 and first saw the plaintiff on October 5, 2005. He continued treating her in relation to her left shoulder complaints until the end of July 2007. He prepared a medical legal report dated May 20, 2007 and subsequently re-examined and re-evaluated the plaintiff on December 18, 2009 for the purpose of a second updated medical legal report, prepared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his first report, Dr. Moola noted that the plaintiff was referred to him by Dr. Bertrand Perey, who performed surgery on her elbow on March 12, 2004, following which she complained of left shoulder pain. Dr. Moola noted that the plaintiff had "pre-existing medial sided left elbow pain" which was exacerbated "when she fell down some icy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Moola's initial examination showed a limited range of motion of the left shoulder "with acute tenderness both anteriorly and posteriorly within the shoulder to light touch." He diagnosed "a primary frozen shoulder secondary to the trauma sustained on January 7, 2004" and prescribed cortisone shots and physiotherapy. An initial cortisone shot was administered on February 7, 2007. Dr. Moola reviewed its effects on April 3, 2007 with the plaintiff, who told him the injection provided no relief. Two days later, Ms. Hunter was admitted to Royal Columbian Hospital, complaining of severe shoulder pain. Dr. Moola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at work, a child with special needs swung a door open, which she was holding with the handle. Her left shoulder was thus forcefully abducted and externally rotated, causing severe debilitating pain. Ms. Hunter reports passing out due to the severity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According to Dr. Moola, he visited the plaintiff in hospital and ordered a repeat left shoulder distention arthrogram, which was performed resulting in a considerable improvement in her symptoms. She carried on with physiotherapy until June 7, 2007, "making excellent gains" until her improvement plateaued. On July 18, 2007 Dr. Moola performed "a diagnostic arthroscopy of the shoulder with manipulation and capsular release." She was referred back to physiotherapy, "to maintain range of motion improvements realized during the surgical procedure." Dr. Moola predicted significant improvement following the surgical intervention noting "no further pathology was found ... to suggest a further source of continued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second report dated December 18, 2009, Dr. Moola noted that the plaintiff was admitted to Royal Columbian Hospital on April 5, 2007 after she fell in the school parking lot when she tripped over a log, two days after the incident when the child swung the door open which she had her hand on. He noted that Ms. Hunter was able to return to work after her July surgery in September 2007, but that from April 5, 2007 to July 1, 2007 she was covered by WorkSafe BC, when it was judged she had returned to her pre (parking lot) injury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Moola noted the plaintiff reported issues of "cold weather intolerance" problems with repetitive motions such as sweeping, vacuuming, lifting over her head and fully extending her arm. She reported that her range of motion "has been plateaued for two years", but the surgery improved it and lessened her pain "quite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noted she reported that she has occasional bouts of numbness and tingling in her hand and increased pain if she bumps her elbow. She reported taking Advil nine times daily and the occasional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Moola noted that the plaintiff was initially diagnosed "with ulnar neuritus and underwent a submuscular transposition of the ulnar nerve." In the result, her elbow had "a residual function loss of motion" with "no weakness in the hand". He concluded she "developed a secondary frozen shoulder which responded temporarily to ... distention arthograms and ultimately required surgical release of the capsular adhesion. This has resulted in approximately 90 to 95% recovery in shoulder range of motion and she has considerably less pain in the shoulder than she did two years previously." He recommended further physiotherapy but no further surgical intervention regarding her shoulder or elbow. He did not foresee the development or arthritis or a future inability to earn an income "as long as she can continue to work at this job and they continue to accommodate for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agreed with counsel for the defendant that ulnar neuritis is a condition involving irritation or inflammation, not necessarily damage. He agreed there was never an indication that the plaintiff had broken her arm. He agreed a dislocated shoulder is usually associated with considerable pain and would present immediately. He noted that in his report of September 13, 2005, Dr. Perey noted the plaintiff "appears to have abnormally increased pain behaviour with motion about her elbow". He agreed that patients will show pain behaviour for a variety of non-medical reasons, one of which is the presence of litigation. He concluded that, notwithstanding her report to Dr. Hepburn in November 2004, the plaintiff did not have a dislocated shoulder. He agreed the MRI of her shoulder was normal. In his consultation report dated April 3, 2007, Dr. Moola agreed he added an addendum when he learned of the plaintiff's admission to Royal Columbian Hospital on April 5, 2007, reporting that the emergency physician who admitted her, opined that the pain she reported "was out of proportion to what one might expect". Dr. Moola agreed the plaintiff's admission to Royal Columbian Hospital for 15 days was a long stay, given the nature of her complaints, but the purpose was to investigate the cause of her pain, or try to find a way to control it. He agreed the reason for her admission was "an inability to cope with the pain". He also agreed she got relief from the cortisone injection he gave her on April 17, 2007 and was discharged on the following day. He saw her again on April 24th and was "trying to put together her complaints" as "there was no structural abnormality to explain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Ultimately, on July 18, 2007, Dr. Moola performed the surgical procedure which gained her some twenty percent of forward movement in her shoulder. He agreed there was a tear caused by the manipulation under anaesthetic which was a necessary effect of improving her range of motion. He saw her again on August 28, 2007 when she reported she was back to work and the pain "was manageable". He saw her again on January 24, 2008 and she appeared to be doing extremely well. He testified she perhaps had some residual problems but was primarily seeking reassurance. He did not see her again until December 18, 2009 to evaluate her in support of a medical 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the time he wrote the December 18, 2009 medical legal report, he had read Dr. Fyfe's report of October 17, 2005 and was aware of the plaintiff's psychological difficulties and knew that she had incorrectly reported to Dr. Fyfe that she had broken her arm and dislocated her shoulder. He agreed she displayed no motor strength loss to her left hand and would not, as reported by Ms. Allende, as a result of her testing, be in the first percentile for hand strength.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 of Natalie Allende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Natalie Allende is an occupational therapist who conducted a physical capacity evaluation on Ms. Hunter to determine her physical strengths and limitations regarding employability. She submitted a report on her findings dated December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Allende also conducted a cost of future care assessment and submitted a second report reflecting her conclusions dated January 13,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conducting her evaluations of Ms. Hunter, Ms. Allende relied in part on the information contained in the medical reports of Dr. Moola and Dr. Fyfe and the history provided to her by Ms. Hunter. She assumed the information from those sources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Allende's evaluations of Ms. Hunter were based partly on her complaints of pain and reports of what she could and could not do and partly on what she observed in the two sessions, the first of which was on November 30, 2009 for the physical capacity evaluation. That session was for a period of 6 hours and 40 minutes. The second session relating to the cost of future care assessment took place on December 2, 2009 for 3 hours and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Allende noted that the plaintiff reported pain increases in her wrist (right more than left), neck, left shoulder, both elbows, mid back, low back, knees, ankles and feet, while performing reaching tasks at all levels. She noted the plaintiff reported lower extremity pain associated with crouching and fatigue in her right shoulder with overhead reaching.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"desk top reaching" she reported pain in her left shoulder and elbow, and pain in her neck while looking down at her work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Allende noted that the plaintiff demonstrated poor grip strength with both hands, with scores placing her in the 15th percentile in the right hand, and below the 1st percentile in the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Testing of her lifting capacity "was limited due to reports of left elbow locking, increased pain and reaching self-perceived maximum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Allende noted that the plaintiff told her that she "suffered from depression during the year following her accident since she was off work and had significant financial difficulties". She was not aware of any issues of depression suffered by the plaintiff before January of 2004 or of any psychological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Allende concluded Ms. Hunter was "employable" as opposed to "competitive". She defined those terms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Competitive: There are no physical activity factor limitations which restrict the individual's ability to access job titles. They would therefore be expected to work in any occupation for which they are qualified within their strength category.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Employable: The individual meets most of the requirements of work within given strength categories, but has limitations which restrict access to the full range of occupations for which they are otherwise qualified. They may require a sympathetic employer, modified work hours or environmental/ergonomic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found a number of restrictions which placed Ms. Hunter in the employable category, which she set forth as follows: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Bending. Ms Hunter is restricted to performing repetitive bending on an occasional basis.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Crouching. Ms. Hunter is restricted to performing repetitive and prolonged crouching on an occasional basis.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Ladder climbing. Ms. Hunter is restricted from ladder climbing on any basis. She is also restricted from performing activities that require higher level balance skills.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Reaching. Ms. Hunter is restricted to performing reaching on an occasional basis.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Handling. Ms. Hunter is restricted to performing handling on an occasional basis.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Strength. Ms. Hunter is restricted from handling weights heavier than the Limited NOC, i.e. 0-5 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Hunter does not meet the requirements for strength or upper limb coordination that is required for the Teacher's Aide position. She does, however, meet the standard for sitting, standing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Hunter is currently working 30 hours per week in this position and has done so since September 2007. It is the evaluator's opinion that Ms. Hunter is able to work in this position because the student that she works with does not require physical assistance and she consumes significant amounts of pain medication on a daily basis, i.e., 9 Advil per day. Ms. Hunter would be unable to work with a child who requires physical assistance such as transferring in and out of a wheelchair. In addition, she would be unable to work with a child who may need to be restrained because of her difficulties with forceful use of her left arm and hand. The evaluator also notes that she has poor dynamic balance and this could interfere with her ability to safely restrain someone.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Ms. Hunter's part-time employment at the group home as well as within her own home as part of the "Home Share" program, the position is classified in the National Occupational Classification Systems as a Community and Social Service Worker, #4212 which is considered within the limited strength category and primarily requires sitting and negligible amounts of limb coordination. Ms. Hunter meets the physical job demands of this job. Based on this evaluator's experience, workers in this type of job are sometimes required to assist clients with their transfers as well as push and pull manual wheelchairs. Based on Ms. Hunters left shoulder and elbow limitations, she would be unable to safely assist with transfers or perform heavy pushing and pulling of wheelchairs. This is consistent with the type of work that Ms. Hunter is performing at the group home and as part of the "Home Share"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detailed analysis of the job titles for which Ms. Hunter would qualify, within her physical abilities and restrictions, and with consideration to other factors such as her interests, education and aptitudes, can be provided by a Vocational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Hunter's feasibility for competitive employability as outlined is based on her present physical capacity. her prognosis is documented in the report of Dr. Moola (August 20, 2007) wherein he states that his expectation "... is for significant improvements following the surgical intervention [diagnostic arthroscopy of the shoulder with manipulation an capsular release]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Allende's cost of future care report was based on an interview with Ms. Hunter on December 2nd, 2009 at her home "to assess her activities of daily living and review her abilities in the context of her home". The evaluation took place over 3 hours and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She based her evaluation on what Ms. Hunter reported to her and the medical information she had from Dr. Fyfe's 2005 report and Dr. Moola's two reports. She was aware Ms. Hunter was working approximately 60 hours per week at the time of her assessment. She agreed that Ms. Hunter's restrictions and what she could and could not do, might alter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agreed that the recommendation she made for Ms. Hunter's future care were partly based on what Ms. Hunter told her, but also on her assessment of her while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Allende's recommendations were extensive and partly based on a "pain disability index" which in turn was based on a questionnaire outlining seven activities and seeking Ms. Hunter's evaluation of the extent to which she was disabled from those activities. She also relied on a role checklist in which Ms. Hunter identified the roles which were most valuable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connection with those aspects of her report, Ms. Allende recorded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ROLE CHECKLIST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Hunter was given a questionnaire outlining 13 roles. She was asked to identify the major roles in her life, her perceived ability to participate in those roles presently and her plan to participate in these roles in the future. She identified her present roles as worker, volunteer, care giver, family member, friend, housekeeping, and hobbyist/amateur. She identified that, in the future, she would like to participate in the roles of volunteer, care giver, partner/spouse, family member, friend, housekeeper, home maintainer, and hobbyist/amateur.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identified the roles of volunteer, care giver, family member, and hobbyist/amateur as being very valuable to her at the present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PAIN DISABILITY INDEX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questionnaire outlining 7 activities was presented to Ms. Hunter. She was asked to rate her ability to complete these activities on a 10-point scale, with no disability being identified as 0 and total disability being identified as 10. Ms. Hunter described that she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40-percent disabled in self-care activities;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40-percent disabled in life-support activities, which includes sleeping, eating and breathing;</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50-percent disabled in social activities and sexual behavior;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60-percent disabled in family/home responsibilities. This category includes all activities related to home or family;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70-percent disabled in recreational activities. This category includes hobbies, sports and other similar leisure interests;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70-percent disabled in occupational responsibilities. This category includes all activities related to one's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Allende also relied on the plaintiff's self-report on tasks associated with personal care, home management, leisure activities and performing various functions. Ms. Hunter also completed a report on her pain scale reflecting her pain levels before and after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Allende also made observations of Ms. Hunter performing functional activities including transfers, bed mobility, personal care and house cleaning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result she made her extensive recommendations for services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EQUIPMENT: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Personal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 handled body brush. This evaluator recommends that Ms. Hunter continue to utilize a long handled body brush in order to compensate for her decreased left shoulder and left elbow range of motion and difficulties with reaching. This item can be purchased at London Drugs (www.londondrugs.ca, November 2009) at a cost of $4.99 - $6.99 plus G.S.T. and P.S.T. Replacement time is estimated to be 5 years.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Easy grip nail clippers. This evaluator recommends that Ms. Hunter purchase nail clippers with a built up handle to facilitate her ability to cut her toe nails. Her grip strength is limited and a built up handle would reduce the amount of force that she would have to exert in order to cut her nails. This item can be purchased at Sammons Preston Canada (www. sammonspreston.ca, December 2009) at a cost of $31.05 plus G.S.T. and P.S.T. Replacement time is estimated to be 10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Mobility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Grab bars. Ms. Hunter would benefit from the installation of two grabs in her shower to improve her safety with transferring and while bathing. These could be purchased and installed through The Rehab Shop (604-434-8300) at a cost of $28.00 to $47.00 plus $40.00 installation cost per bar (November 2009). The total cost for this would therefore be $118.00 to $134.00. These bars would need to be replaced in the event that Ms. Hunter was to move residences.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Home Management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Shopping cart. This evaluator recommends that Ms. Hunter utilize a personal shopping cart with climber wheels that she could use to move groceries and other items from her car to her house. The wheels would be beneficial because of the flight of stairs she would climb from the ground level to the kitchen. This item can be purchased from Canadian Tire (www.canadiantire.ca, November 2009) at a cost of $44.99 plus G.S.T. and P.S.T. Replacement time is estimated to be 8 years.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Food processor. This evaluator recommends that Ms. Hunter utilize a food processor to facilitate chopping of food. A mid-range food processor ranges in cost from $49.99 - $99.99 plus G.S.T. and P.S.T. (www.canadiantire.ca, November 2009) at a cost of $19.99 plus G.S.T. and P.S.T. Replacement time is estimated to be 10 years.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Jar opener. This evaluator recommends that Ms. Hunter utilize an automatic jar opener in consideration of her decreased left wrist strength and poor grip strength. This item can be purchased from Canadian Tire (www.canadiantire.ca, December 2009) at a cost of $19.99 plus G.S.T. and P.S.T. Replacement time is estimated to be 8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Leisure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pass. Ms. Hunter would benefit from participating in an independent cardiovascular and strengthening exercise program on an ongoing basis. A gym pass would also allow her to have access to a hot tub which she has reported helps her to manage her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Community-based fitness centres such as the local recreation centres, the YMCA, Fitness World et cetera range in price from $350.00 - $600.00, including G.S.T.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Pain Management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Hot/Cold Pack. Ms. Hunter reported decreased pain with the use of a heating pad and cold pack. It is reasonable to assume that she will continue to use this as a pain management strategy. A hot/cold pad can be purchased from London Drugs (as per web site, November 2009). The cost for this item is $25.99 plus G.S.T. and P.S.T. Replacement time is estimated to be 2 to 3 years.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pillow. Ms. Hunter reported that she began sleeping with a water pillow in 2005 as recommended by her physiotherapist. This evaluator recommends that she continue to utilize this pillow for comfortable sleep positioning and management of her symptoms.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water pillow can be purchased from Regency Medical Supplies (www.regencymed.com, January 2010) for a cost of $69.99 plus G.S.T. and P.S.T. Replacement time is estimated to be 2 to 3 years for hygiene considerations.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foam. Ms. Hunter reported that she purchased a memory foam overlay for her mattress in 2007 and has found this item to be helpful for positioning and support during sleep. This evaluator recommends that she continue to utilize a memory foam overlay for comfortable sleep positioning and management of her symptoms.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2" inch memory foam overlay can be purchased from The Foam Shop (604-464-7411, January 12, 2010 for a cost of $349.00 plus G.S.T. Replacement time is estimated at 8 - 10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SUPPLIES: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 Based on Ms. Hunter's present use of non-prescription medication, consisting of nine Advil (200 mg) per day and one Melatonin (90 mg) tablet per night, and using costs provided by London Drugs (www.londondrugs.ca, January 2010), it is calculated that the yearly cost for Ms. Hunter at this time is $364.83 plus G.S.T.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for me to predict Ms. Hunter's future needs for non-prescription medication. I recommend that a physician be consulted.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Medications. Based on Ms. Hunter's present use of prescription medication, consisting of Tylenol 3, and using costs provided by Shopper's Drug Mart (604-468-8814), the yearly cost for Ms. Hunter at this time is calculated as ranging from $18.74 - $37.48.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NOTE: This is without any Pharmacare subsidy. In order to calculate the cost with Pharmacare subsidy, Ms. Hunter's annual net family income needs to be taken into consideration, and reference made to the tables below. The actual cost to Ms. Hunter cannot be calculated without knowing her actual anticipated future yearly income, as would be recorded on an Income Tax Return (Net Income, as recorded on line 236). This calculation could be completed by an Economist, once Ms. Hunter's anticipated future yearly income is known.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qualified to predict Ms. Hunter's future needs for prescription medication. I recommend that a physician be consulted.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Pharmacare policy is as follows (and a more specific calculator can be found at the BC Government web site) http://www.health.gov.bc.ca/ pharmacare/plani/calculator/ calculator.html.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She attached a price summary as Appendix B to her report, which summarized the cost of the services and equipment that she identified Ms. Hunter would require as a result of her physical disabilities.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 of William Stanus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William Stanus has a degree in psychology and is pursuing his M.A. in that field. He performed a vocational assessment of Ms. Hunter by interviewing her and having her complete a vocational test battery on January 4, 2010. He also read the report of Dr. Fyfe dated October 17, 2005 and Dr. Moola, dated October 20, 2007, and he read and relied on the physical capacity evaluation done by Ms. Allende on December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agreed in cross-examination that he did not question the plaintiff about her report to Dr. Fyfe that she had broken her arm and dislocated her shoulder and he did not question her reliability based on that apparent misreport. He assumed that she was off work in 2004 and 2005 because of her elbow and shoulder injuries and had no indication it was for any other reason. He noted that Ms. Hunter reported ongoing pain in her left shoulder and arm which was aggravated when she engaged in repetitive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According to Mr. Stanus' report, the plaintiff was administered an IQ test and her results put her in the low/average range. Mr. Stanus reported "the scores suggest the plaintiff will likely experience difficulty with post-secondary training which is consistent with her diagnosis of dyslexia."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Stanus concluded on the basis of his assessment that the plaintiff's "employability has been compromised by the sequelae of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agreed he took into account Ms. Allende's report and that that report referred to limitations on Ms. Hunter which were apparently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noted that Ms. Hunter told him that she could not work with children with high physical needs or students with behavioural difficulties. He testified he thought that limitation began in September 2007 after the surgery on her shoulder. He agreed that in January 2010 when he interviewed Ms. Hunter she was working about 62 hours a week, which was about twice as many hours as she had been working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report, Mr. Stanus made no recommendations for retraining in light of Ms. Hunter's plans to remain in her present jobs and her expressed lack of intent to pursue further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testified on her own behalf. She is 61 years old and has been on disability insurance since 2003 as a result of health issues. She previously worked with mentally and physically challenged adults through an agency called "Young and Husband". She bought 3131 Raleigh Street in 1999 and initially lived there with her daughter, Georgina.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Since owning the house, she neither experienced nor heard of any problems relating to the stairs to the main entry. She denied that they were slippery and was not aware of any problem with the rise and/or the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She knew Carlene Lucke from work and rented the upper floor of the premises to her, but according to the defendant, Ms. Lucke fell into arrears and moved out without notice and without paying her arrears in 2002. She denied expressing concern about Ms. Lucke's daughter or foster children or reporting her to Social Services. She denied ever having any conversation with Ms. Lucke concerning the stairs being slippery or requiring a non-slip surface to be applied. She testified she was not adverse to fixing problems with the house and would have fixed the stairs, had any defects been brought to her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She first met the plaintiff shortly before she signed the lease on February 26,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When the plaintiff rented the premises, the defendant was suffering from a torn meniscus in her right knee, and also did not have full use of her right arm. As a result, she agreed to discount the rent to Ms. Hunter by $100 per month when Ms. Hunter told her she was handy and agreed to do chores around the property. She testified the stairs at issue were exclusively used by the plaintiff and her boys. The defendant had a separate entrance on the side of the house to the suite she occupied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the summer of 2003 the defendant and her daughter helped the plaintiff draft her resume. It was her understanding the plaintiff was looking for an office type job at that time. She had recently broken up with her boyfriend and was upset and distraught about that. That was why she moved into the premises at 3131 Raleigh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At some point, the plaintiff told the defendant that she had won the Reader's Digest Sweepstakes and she traded in her vehicle for a brand new truck, which the plaintiff said cost over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Later, it appeared that the plaintiff was struggling to make ends meet and she talked about hurting herself to make a claim for insurance. She apparently talked about severing her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 testified that she told the plaintiff she "didn't want to do that", but the plaintiff said she was desperate.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She agreed that she gave notice to the plaintiff on January 1, 2004 ostensibly because Georgina was moving in, but that that was not true. The next tenant was in fact a young woman who was related to the defendant and whose marriage had broken up. She did not move in until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She said she gave notice to the plaintiff because there was always concern about rent and she was concerned that the plaintiff was not taking care of the premises. She testified that when the plaintiff got the notice, she was upset and told the defendant she "wasn't going to be nice 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agreed that it snowed the evening of January 6, 2004, but she denied that she asked the plaintiff or her son to clean off the stairs, or that she gave Chris $5 to do so. She testified she did not even think about the stairs and testified that during the ten months she had lived there, the plaintiff never suggested that the stairs were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On the morning of January 7, 2004 the defendant heard someone banging on the door to her suite, at the bottom of the stairway from the main entrance to the front door. Chris asked her to go upstairs because his mother was "lying down on the stairs". It took her about three to five minutes to get there. When she got there, the boys were upstairs, but they had not helped their mother up. She was lying on the landing. The landing was wet and there was ice and snow on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She testified the plaintiff's eyes were closed and she did not respond to the defendant calling her name, so the defendant gave her a firm pat on the cheek. She testified the plaintiff responded immediately and said she had slipped on the stairs. The defendant testified that the plaintiff did not seem confused or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She testified that she helped the plaintiff up by lifting her under her arms. The plaintiff did not complain of pain. She went into the house and sat on the stairs leading up to the main floor. She was wearing skater shoes with the heels flattened down. They had no tread. They were not the Nike running shoes which were produced by the plaintiff and made an exhibit at the trial. She testified that Chris did not take the shoes off of her and put them on himself. She testified the plaintiff asked her to drive the boys to school, but she did not ask her to call 911 or to drive her to the hospital enroute to the school. She said at the time she left with the boys to drive them to school, the plaintiff was in her pyjamas and housecoat. When the defendant returned, the plaintiff was dressed and ready to go in a jacket with a different pair of shoes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commented to the plaintiff that she was handling it well and she said "oh, I must be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did not ask her for assistance in the next few weeks. On January 22, 2004 the defendant obtained the statement from the plaintiff because she was concerned about the details of what the plaintiff was saying had occurred and wanted to get it written down. The plaintiff dictated and the defendant's daughter Georgina typed and printed out the statement and the plaintiff signed it after reading it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 testified the plaintiff told her everything was fine, now she would not have to move out, and all the defendant had to do was to support her in her lawsuit. The defendant told her it did not work that way. She said a person named Dave Cardwell was there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She testified she notified her insurance company and they got her to do some things to the stairs, including putting in a railing and making the rise and run equal for each step. The repairs were done before her next tenant moved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cross-examination, Ms. Anderson was asked about her relationship with Ms. Lucke and testified it was good until Ms. Lucke moved out without paying her arrears of rent. She agreed that after the accident her insurer required her to bring the stairs into compliance with the building code by adding about half an inch to the rise of the stairs and building railings. She said she achieved "over compliance" with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She agreed that in addition to the January 1, 2004 eviction notice, she also gave the plaintiff another notice, based on her failure to pay rent. Although it was dated January 3, 2004, she agreed that she gave the plaintiff a receipt for her January rent on January 1, 2004. She thought she must have given the plaintiff the second notice based on her failure to pay rent in February 2004, not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agreed she would move out at the end of February. The defendant did not have much contact with the plaintiff after January 7, 2004 and did not see Darla Nordin or her brother coming over to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Anderson was cross-examined about her suspicions of the plaintiff's claim, but she agreed she did not report her suspicions to the insurer and "would have told them" that Ms. Hunter had hurt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She agreed she helped the plaintiff by taking the boys to school and then returned home and drove the plaintiff to hospital and stayed with her for 20 - 30 minutes, until she went into the Emergency Department. She agreed she had a friend of her daughter's take photographs of the shoes the plaintiff was wearing when she fell, because she "was concerned that things weren't as they should be" but she threw away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She said the ice on the stairs was not her responsibility and denied asking or paying Chris to clean them off. She denied seeing the plaintiff or Chris the night before at all. She testified she was sick in bed and was too ill to do anything about the stairs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 agreed that when Ms. Hunter gave her version of the events, which was reduced to writing on January 22, 2004, she was present and heard her say that she and her son shovelled the stairs the night before and that after the fall, her son Chris salted the stairs. She agreed that she did not challenge the plaintiff's version of the events because that was what she said had happened. She signed the statement as a witness, not to attest to its veracity. She did not see the plaintiff the night before or see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She was cross-examined about prior evidence given in her examination for discovery to the effect that she gave the plaintiff notice on January 3, 2004 because of a failure to pay rent, but testified the date she put on the notice and her recollection must have been wrong because it was February when the plaintiff failed to pay her rent 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the present case, the plaintiff asserts that the defendant's liability rests on two alternate foundations. The first is that the defendant was negligent in her failure to comply with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particularized in her further amended statement of claim as follows in para. 4:</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occupier contrary to the terms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particulars of which are as follows: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leaving a hazard or failing to maintain the stairway in such a condition as it may be safely used by users including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ensure the stairs were constructed or maintained in compliance with the building code;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ensure there was a hand rail in place;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ensure the stairs were in good repair;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warn the Plaintiff of any hazards;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ensure that snow and ice did not create a hazard by which the Plaintiff could be injured;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repair the stairs at 3131 Raleigh Street when she knew or had cause to know they were dangerous;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provide a safe alternative means of access/egress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asserts the second basis for the defendant's liability and damages is for breach of the tenancy agreement, arising from a failure to comply with the Coquitlam Building Bylaw and the BC Building Code by failing to include handrails, by having stairs built in an irregular fashion which were non-compliant as to tread surface, height of riser, depth of tread, and constituted an unsafe walking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terms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relied on by the plaintiff so far as applicable, read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3(4), and sections 4 and 9, this Act determines the care that an occupier is required to show ...</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present case, as earlier noted, the tenancy agreement imposes a contractual duty on the landlord in paragraph 12(a):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REPAIRS.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Landlord Duties: The landlord must provide and maintain the residential premises and residential property in a reasonable state of decoration and repair, making the residential premises ... suitable for occupation by a reasonable tenant. The landlord must comply with health, safety and housing standards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That contractual duty comports with the statutory duties set forth in s. 32(1)(a) and (b)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32(1) A landlord must provide and maintain residential property in a state of decoration and repair that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the health, safety and housing standards required by law,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location of the rental unit, makes it suitable for occupation by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Section 32(5)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32(5) A landlord's obligations under subsection (1)(a) apply whether or not a tenant knew of a breach by the landlord of that subsection at the time of entering into the tenancy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tenancy agreement also provided as follows in para. 12(b)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12(b) Tenant's Duties: The tenant must maintain ordinary health, cleanliness and sanitary standards throughout the residential premises and residential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must take the necessary steps to repair damage to the residential premises and residential property caused by a wilful or negligent act or omission of the tenant or invited guests of the tenant. The tenant is not responsible for reasonable wear and tear to the residential premises. If the tenant does not comply with the above duties the landlord may discuss the matter with the tenant and may seek a monetary order through arbitration under the Residential Tenancy Act for the cost of repairs, serve a Notice to End a Residential Tenancy, or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AREAS. The tenants are responsible to properly cut and water the lawns, and for weeding the flower beds. All balconies/patios must be kept clean and tidy. The tenant shall not misuse areas of the residential property, but shall use them prudently, safely and equitably. All such use shall be at the risk of the tenant, and the tenant's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the present case, the plaintiff has, in effect, advanced several possible causes for her slip and fall and consequent injury or injuries. Although unable to describe why she fell, she contends either that the stair treads were inherently slippery, or that the lack of conformity in their rise, or run, or that the presence of ice on them were, individually, or in combination, causative factors in her fall, and that the absence of a railing prevented her from avoiding the fall altogether or in stopping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 on the other hand, contends that there is no objective evidence that the stairs were inherently slippery as the plaintiff's expert declined to test them; that the lack of uniformity of the rise of the stairs could have no effect on the plaintiff as she fell on the first step down and was not therefore subjected to the irregularity asserted in the rise of the stairs; that there was no evidence of an irregular or non-compliant run; that if the cause of the fall was the ice on the stairs, that was entirely the plaintiff's doing as she [and her son] by their own evidence, assumed responsibility for clearing the stairs of snow the night before; and, given that the plaintiff had her dog's leash in one hand and an umbrella in the other, it is unlikely, at best, that she would have, or could have used a railing if one existed to prevent her slip or stop herself from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 submits, given the state of the evidence, the cause of the plaintiff's fall is entirely speculative and is just as likely a result of her wearing inappropriate footwear and losing her balance, or otherwise being the cause of her own collapse on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the plaintiff in this case advances several possible causes of her slip and fall, the only specific cause which she identified in her January 22, 2004 statement, in ongoing communication with her medical care givers, and in subsequently applying for disability benefits, was that she slipped on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While there are variations in the evidence of the plaintiff and her son Chris on the one hand, and the defendant on the other, all agree that it snowed the night before the fall and the defendant does not dispute the plaintiff's and Chris' evidence that they shovelled snow off of the stairs the previous evening or that Chris put salt on the stairs after the fall. The difference in the evidence is whether the defendant paid $5 to Chris to clean the stairs and whether the plaintiff was wearing her son's Nike running shoes or skateboard type shoes with the heels flattened down at the time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balance, I accept the defendant's versions of the event over that of the plaintiff and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find the plaintiff's evidence generally to be problematic as concerns both the causes and the effects of her slip and fall. Her present uncertainty about the condition of the stairs and the cause of her fall is in contrast to her various contemporaneous and ongoing assertions to medical caregivers in her applications for disability payments and in her written statement of January 22, 2004 that she slipped on ice. In addition, her tendency to exaggerate or embellish the nature and effects of her injuries by mis-describing them as a broken arm and a dislocated shoulder, her apparently anomalous reaction to them, including passing out from the pain, and her exaggerated reactions to asserted exacerbations reduced her reliability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While the way the plaintiff presented herself may have been influenced by the difficult and unfortunate emotional and psychological stresses she was experiencing at the time, that does not ameliorate the problematic nature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defendant, on the other hand, was relatively straight forward in her evidence and although there were some inconsistencies concerning when and why she gave the plaintiff notice to quit the premises and some issues as to when she first raised her suspicions about the legitimacy of the plaintiff's claim to her insurer and why she raised that issue, her evidence on the condition of the stairs and her interaction with the plaintiff was not compromised by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Insofar as Chris is concerned, it seems likely that while he may well be describing what he honestly believes to have happened, he was influenced by the fact that his mother at some point read to him from statements made by either herself or other witnesses in connection with what happened on January 7, 2004, six years before he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addition, the steps at issue were exclusively used by the plaintiff and her sons and their guests. They did not lead to a common entrance to the premises used by the defendant or her guests. The defendant had and used an entirely different entrance. That the plaintiff would assume responsibility for cleaning the snow off of her own steps accords with logic and common sense, particularly in light of the defendant's knee injury and the fact that the plaintiff received a discount in her rent for agreeing to take on some of the chores associated with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For similar reasons I have difficulty accepting the plaintiff's and Chris's evidence over that of the defendant as to the shoes she was wearing at the time of the slip and fall. While I accept that the shoes she produced at trial likely belonged to her son at the material time, they do not appear consistent with the plaintiff's description of them in her January 22, 2004 statement as "skateboard shoes". The defendant's description of what she saw on the plaintiff's feet at the time on the other hand does appear more consistent with a description of skateboard shoes. I thus accept that the likely primary cause of the plaintiff's fall was the residual ice and snow on the stairs, a cause which may have been contributed to by the plaintiff's footwear and her manner of wearing them. I am not able to conclude the inherent slipperiness of the stair treads or an irregular rise or run were causative factors in the slip and fall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contending that the defendant has liability for the plaintiff's slip and fall as a result of the residual ice and snow on the stairs, the plaintiff relies on the judgment of Voith J. in </w:t>
      </w:r>
      <w:r>
        <w:rPr>
          <w:rFonts w:ascii="arial" w:eastAsia="arial" w:hAnsi="arial" w:cs="arial"/>
          <w:i/>
          <w:color w:val="000000"/>
          <w:sz w:val="20"/>
          <w:lang w:val="en-US" w:eastAsia="en-US" w:bidi="ar-SA"/>
        </w:rPr>
        <w:t>O'Leary v. Rupert,</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2010 BCSC 240</w:t>
        </w:r>
      </w:hyperlink>
      <w:r>
        <w:rPr>
          <w:rFonts w:ascii="arial" w:eastAsia="arial" w:hAnsi="arial" w:cs="arial"/>
          <w:color w:val="000000"/>
          <w:sz w:val="20"/>
          <w:lang w:val="en-US" w:eastAsia="en-US" w:bidi="ar-SA"/>
        </w:rPr>
        <w:t xml:space="preserve">. In that case, Justice Voith found liability against a landlord where the plaintiff slipped and fell after getting out of her vehicle on the icy driveway to her home. She lived in a basement suite of premises in which the defendant landlord occupied the main floor. Voith J. considered the issue of the defendant landlord's liability in light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and a standard form tenancy agreement with terms identical to those in paras. 12(a) and 12(b) of the tenancy agreement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the course of his reasons, Justice Voith noted that neither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imposed a higher standard of care than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Jakobsons v. Wall Financial Corp.,</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[1998] B.C.J. No. 1641</w:t>
        </w:r>
      </w:hyperlink>
      <w:r>
        <w:rPr>
          <w:rFonts w:ascii="arial" w:eastAsia="arial" w:hAnsi="arial" w:cs="arial"/>
          <w:color w:val="000000"/>
          <w:sz w:val="20"/>
          <w:lang w:val="en-US" w:eastAsia="en-US" w:bidi="ar-SA"/>
        </w:rPr>
        <w:t xml:space="preserve"> (S.C.) at para. 18, and </w:t>
      </w:r>
      <w:r>
        <w:rPr>
          <w:rFonts w:ascii="arial" w:eastAsia="arial" w:hAnsi="arial" w:cs="arial"/>
          <w:i/>
          <w:color w:val="000000"/>
          <w:sz w:val="20"/>
          <w:lang w:val="en-US" w:eastAsia="en-US" w:bidi="ar-SA"/>
        </w:rPr>
        <w:t>Tolea v. Ialungo,</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2008 BCSC 395</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69 R.P.R. (4th) 142</w:t>
        </w:r>
      </w:hyperlink>
      <w:r>
        <w:rPr>
          <w:rFonts w:ascii="arial" w:eastAsia="arial" w:hAnsi="arial" w:cs="arial"/>
          <w:color w:val="000000"/>
          <w:sz w:val="20"/>
          <w:lang w:val="en-US" w:eastAsia="en-US" w:bidi="ar-SA"/>
        </w:rPr>
        <w:t xml:space="preserve"> at para. 26. He further noted that a breach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does not in and of itself give rise to an action in tort or create a claim for breach of statutory duty, citing </w:t>
      </w:r>
      <w:r>
        <w:rPr>
          <w:rFonts w:ascii="arial" w:eastAsia="arial" w:hAnsi="arial" w:cs="arial"/>
          <w:i/>
          <w:color w:val="000000"/>
          <w:sz w:val="20"/>
          <w:lang w:val="en-US" w:eastAsia="en-US" w:bidi="ar-SA"/>
        </w:rPr>
        <w:t>Tolea</w:t>
      </w:r>
      <w:r>
        <w:rPr>
          <w:rFonts w:ascii="arial" w:eastAsia="arial" w:hAnsi="arial" w:cs="arial"/>
          <w:color w:val="000000"/>
          <w:sz w:val="20"/>
          <w:lang w:val="en-US" w:eastAsia="en-US" w:bidi="ar-SA"/>
        </w:rPr>
        <w:t xml:space="preserve"> at para. 43 and </w:t>
      </w:r>
      <w:r>
        <w:rPr>
          <w:rFonts w:ascii="arial" w:eastAsia="arial" w:hAnsi="arial" w:cs="arial"/>
          <w:i/>
          <w:color w:val="000000"/>
          <w:sz w:val="20"/>
          <w:lang w:val="en-US" w:eastAsia="en-US" w:bidi="ar-SA"/>
        </w:rPr>
        <w:t>MacLeod v. Yong,</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[1997] B.C.J. No. 2108</w:t>
        </w:r>
      </w:hyperlink>
      <w:r>
        <w:rPr>
          <w:rFonts w:ascii="arial" w:eastAsia="arial" w:hAnsi="arial" w:cs="arial"/>
          <w:color w:val="000000"/>
          <w:sz w:val="20"/>
          <w:lang w:val="en-US" w:eastAsia="en-US" w:bidi="ar-SA"/>
        </w:rPr>
        <w:t xml:space="preserve"> (S.C.), aff'd </w:t>
      </w:r>
      <w:hyperlink r:id="rId358" w:history="1">
        <w:r>
          <w:rPr>
            <w:rFonts w:ascii="arial" w:eastAsia="arial" w:hAnsi="arial" w:cs="arial"/>
            <w:i/>
            <w:color w:val="0077CC"/>
            <w:sz w:val="20"/>
            <w:u w:val="single"/>
            <w:shd w:val="clear" w:color="auto" w:fill="FFFFFF"/>
            <w:lang w:val="en-US" w:eastAsia="en-US" w:bidi="ar-SA"/>
          </w:rPr>
          <w:t>1999 BCCA 249</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67 B.C.L.R. (3d) 355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went on to say as follows in para. 33 and 34 of his reasons:</w:t>
      </w:r>
      <w:r>
        <w:rPr>
          <w:rFonts w:ascii="arial" w:eastAsia="arial" w:hAnsi="arial" w:cs="arial"/>
          <w:sz w:val="20"/>
          <w:lang w:val="en-US" w:eastAsia="en-US" w:bidi="ar-SA"/>
        </w:rPr>
        <w:cr/>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interplay of these various statutory provisions has been considered and addressed on several occasions. In </w:t>
      </w:r>
      <w:r>
        <w:rPr>
          <w:rFonts w:ascii="arial" w:eastAsia="arial" w:hAnsi="arial" w:cs="arial"/>
          <w:i/>
          <w:color w:val="000000"/>
          <w:sz w:val="20"/>
          <w:lang w:val="en-US" w:eastAsia="en-US" w:bidi="ar-SA"/>
        </w:rPr>
        <w:t>Zavaglia v. Maq Holdings Ltd.</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(1983), 50 B.C.L.R. 204</w:t>
        </w:r>
      </w:hyperlink>
      <w:r>
        <w:rPr>
          <w:rFonts w:ascii="arial" w:eastAsia="arial" w:hAnsi="arial" w:cs="arial"/>
          <w:color w:val="000000"/>
          <w:sz w:val="20"/>
          <w:lang w:val="en-US" w:eastAsia="en-US" w:bidi="ar-SA"/>
        </w:rPr>
        <w:t xml:space="preserve"> (Co. Ct.), the court said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then, s. 30(1) of the </w:t>
      </w:r>
      <w:r>
        <w:rPr>
          <w:rFonts w:ascii="arial" w:eastAsia="arial" w:hAnsi="arial" w:cs="arial"/>
          <w:i/>
          <w:color w:val="000000"/>
          <w:sz w:val="20"/>
          <w:lang w:val="en-US" w:eastAsia="en-US" w:bidi="ar-SA"/>
        </w:rPr>
        <w:t>Landlord and Tenant Act</w:t>
      </w:r>
      <w:r>
        <w:rPr>
          <w:rFonts w:ascii="arial" w:eastAsia="arial" w:hAnsi="arial" w:cs="arial"/>
          <w:color w:val="000000"/>
          <w:sz w:val="20"/>
          <w:lang w:val="en-US" w:eastAsia="en-US" w:bidi="ar-SA"/>
        </w:rPr>
        <w:t xml:space="preserve"> [now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imposes a duty on the landlord to make repairs to ensure that the demised premises meet safety standards required by law. This duty is not subject to the tenant notifying the landlord of the defect. Section 6(3)(c)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incorporates this statutory duty into the tenancy agreement. Thus, the landlord, with respect to residential property, has the responsibility to make repairs relating to safety. This is a duty he owes the occupier of the premises. The defendant in this instance failed in his duty to repair the property, that is, to install the railing. This default in duty gives rise to an action in tort by the visitor of the tenant against the landlord, pursuant to s. 6(1)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which gives a visitor the same right of action as the occupier.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concluded that the landlord owes a duty of care to the plaintiff, the next question is whether he has failed to meet the standard of care imposed on him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owed by the landlord pursuant to s. 6(1)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set out in s. 3(1) which provides: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his property, on the premises, and property on the premises of a person, whether or not that person himself enters on the premises, will be reasonably safe in using the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is an objective test, namely, that of a reasonable man. The learned author, Mr. Di Castri, at p. 217 of his book outlined several factors that courts have considered in applying this test; they are: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in the light of his own knowledge, exercised reasonable care for his own safety;</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occupier's conduct accorded with an accepted standard of practice;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occupier's system of inspection or supervision was commensurate with the risk, the length of time the danger was allowed to exist being highly relevant;</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steps necessary to remove the danger and the consequent burden on the occupier; and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the danger was foreseeable in accordance with the principle enunciated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(H.L.).</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in </w:t>
      </w:r>
      <w:r>
        <w:rPr>
          <w:rFonts w:ascii="arial" w:eastAsia="arial" w:hAnsi="arial" w:cs="arial"/>
          <w:i/>
          <w:color w:val="000000"/>
          <w:sz w:val="20"/>
          <w:lang w:val="en-US" w:eastAsia="en-US" w:bidi="ar-SA"/>
        </w:rPr>
        <w:t>Tolea</w:t>
      </w:r>
      <w:r>
        <w:rPr>
          <w:rFonts w:ascii="arial" w:eastAsia="arial" w:hAnsi="arial" w:cs="arial"/>
          <w:color w:val="000000"/>
          <w:sz w:val="20"/>
          <w:lang w:val="en-US" w:eastAsia="en-US" w:bidi="ar-SA"/>
        </w:rPr>
        <w:t xml:space="preserve">, and in referring to </w:t>
      </w:r>
      <w:r>
        <w:rPr>
          <w:rFonts w:ascii="arial" w:eastAsia="arial" w:hAnsi="arial" w:cs="arial"/>
          <w:i/>
          <w:color w:val="000000"/>
          <w:sz w:val="20"/>
          <w:lang w:val="en-US" w:eastAsia="en-US" w:bidi="ar-SA"/>
        </w:rPr>
        <w:t>Zavaglia</w:t>
      </w:r>
      <w:r>
        <w:rPr>
          <w:rFonts w:ascii="arial" w:eastAsia="arial" w:hAnsi="arial" w:cs="arial"/>
          <w:color w:val="000000"/>
          <w:sz w:val="20"/>
          <w:lang w:val="en-US" w:eastAsia="en-US" w:bidi="ar-SA"/>
        </w:rPr>
        <w:t>, Mr. Justice Silverman said, at para. 61:</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landlord's obligation is to not only provide but to maintain buildings in a state of repair that complies with the housing standards required by law.</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an occupiers duty of care on a landlord where there is "a tenancy under which a landlord is responsible for the maintenance or repair of the premises".</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repair is as set out in both the tenancy agreement and the </w:t>
      </w:r>
      <w:r>
        <w:rPr>
          <w:rFonts w:ascii="arial" w:eastAsia="arial" w:hAnsi="arial" w:cs="arial"/>
          <w:i/>
          <w:color w:val="000000"/>
          <w:sz w:val="20"/>
          <w:lang w:val="en-US" w:eastAsia="en-US" w:bidi="ar-SA"/>
        </w:rPr>
        <w:t>RTA.</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inspect is part of the duty to provide and maintain residential premises in a reasonably suitable state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as well as part of a landlord's duty to take reasonable care in carrying out the responsibility for repair of the premises under s. 6 of the </w:t>
      </w:r>
      <w:r>
        <w:rPr>
          <w:rFonts w:ascii="arial" w:eastAsia="arial" w:hAnsi="arial" w:cs="arial"/>
          <w:i/>
          <w:color w:val="000000"/>
          <w:sz w:val="20"/>
          <w:lang w:val="en-US" w:eastAsia="en-US" w:bidi="ar-SA"/>
        </w:rPr>
        <w:t>OLA.</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 with a duty to repair under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has a duty to make reasonable inspections of the premises for defects, regardless of whether he or she has notice or actual knowledge of defects.</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 duty of reasonable inspection on both the landlord and tenant. The standard of reasonableness for each party must be determined according to their respective positions and responsibilities. The standard of reasonable inspection imposed on a landlord will likely be elevated above that imposed on a tenant where the following factors occur:</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observed the evolution of a residence through multiple tenancies and repairs and alterations;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the legal responsibility for maintaining and repairing the premises;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area of concern relates to a structural defect that existed prior to the current tenancy.</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tenant's duty will likely be limited to the reporting of defects or damages discoverable by reasonable inspection in the circumstances, not apparent upon ordinary visual observation: </w:t>
      </w:r>
      <w:r>
        <w:rPr>
          <w:rFonts w:ascii="arial" w:eastAsia="arial" w:hAnsi="arial" w:cs="arial"/>
          <w:i/>
          <w:color w:val="000000"/>
          <w:sz w:val="20"/>
          <w:lang w:val="en-US" w:eastAsia="en-US" w:bidi="ar-SA"/>
        </w:rPr>
        <w:t>Klajch (Guardian ad litem of) v. Jongeneel,</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174 B.C.A.C. 184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Klajch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Zavaglia.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Justice Voith rejected the defendant's contention in the case before him that because the tenancy agreement expressly provided for parking for the plaintiff, the obligation to clear and maintain the area fell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He reasoned thus, in paras. 36 - 39 of 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First, s. 10 of the Tenancy Agreement under the heading "Repairs"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Landlord's obligations: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must provide and maintain the residential property in a reasonable state of decoration and repair, suitable for occupation by a tenant. The landlord must comply with health, safety and housing standards required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in s. 1, defines "residential property"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residential property</w:t>
      </w:r>
      <w:r>
        <w:rPr>
          <w:rFonts w:ascii="arial" w:eastAsia="arial" w:hAnsi="arial" w:cs="arial"/>
          <w:color w:val="000000"/>
          <w:sz w:val="20"/>
          <w:lang w:val="en-US" w:eastAsia="en-US" w:bidi="ar-SA"/>
        </w:rPr>
        <w:t>" means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building, a part of a building or a related group of buildings, in which one or more rental units or common areas are located,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parcel or parcels on which the building, related group of buildings or common areas are located,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unit and common areas,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structure located on the parcel or parcels;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obligation of the Ruperts under the Tenancy Agreement was to "maintain the residential property in a reasonable state of .... decoration and repair." Conversely, the obligation of Ms. O'Leary under s. 10 of the Tenancy Agreement was to "maintain reasonable health, cleanliness and sanitary standards." In saying this, I recognize that as a matter of practice Mrs. O'Leary swept and shovelled the stairs and pathway leading to her suite.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Second, as I have said, it is common ground that the Ruperts maintained and shovelled the whole of their driveway without ever suggesting to Mrs. O'Leary that this obligation properly fell to her. Liability may be imposed on a party who has voluntarily undertaken to do something they were not otherwise obligated to do: see </w:t>
      </w:r>
      <w:r>
        <w:rPr>
          <w:rFonts w:ascii="arial" w:eastAsia="arial" w:hAnsi="arial" w:cs="arial"/>
          <w:i/>
          <w:color w:val="000000"/>
          <w:sz w:val="20"/>
          <w:lang w:val="en-US" w:eastAsia="en-US" w:bidi="ar-SA"/>
        </w:rPr>
        <w:t>Goodwin v. Goodwin</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2007 BCCA 81</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64 B.C.L.R. (4th) 280</w:t>
        </w:r>
      </w:hyperlink>
      <w:r>
        <w:rPr>
          <w:rFonts w:ascii="arial" w:eastAsia="arial" w:hAnsi="arial" w:cs="arial"/>
          <w:color w:val="000000"/>
          <w:sz w:val="20"/>
          <w:lang w:val="en-US" w:eastAsia="en-US" w:bidi="ar-SA"/>
        </w:rPr>
        <w:t>, at para. 26. Where that voluntary task is performed negligently and causes foreseeable harm to a plaintiff, liability may arise. Once the Ruperts undertook to maintain and shovel the whole of their driveway, regardless of whether they were under a legal obligation to do so, they had a duty not to perform this task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the present case, of course, I have found that the plaintiff and not the defendant undertook to shovel the stairs. The issue that presents itself in this case, unlike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is whether in doing so, the plaintiff obviated the defendant's potential liability either under the tenancy agreement 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To put it in the context of the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case, would the defendant there have been liable if Ms. O'Leary had slipped and fallen on the stairs and pathway leading to her suite, which she "as a matter of practice" swept and shovelled?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 was not referred to, nor was I able to find, any direct authority on the issue of whether a tenant, by voluntarily assuming an obligation of the landlord imposed either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or a tenancy agreement negates the landlord's liability for any injuries sustained as a result of the inadequate performance of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It seems likely that such conduct by a tenant seeking redress against a landlord would found a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it would implicate the tenant in a claim by a third party. The question for determination here however is whether as between the landlord and the tenant only, the tenant's assumption of the obligation vitiates the potential liability of the landlord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acknowledged that she received a reduction of her rent of $100 per month to undertake some of the additional work around the premises. Although she testified that that only involved mowing the lawn, that seems to me unlikely as that task was one of her obligations under s. 25 of the standard form tenancy agreement governing the parties in any event. Thus, this is a case where the tenant not only voluntarily assumed some of the defendant landlady's obligations, but she also did so for remuneration - a reduction in her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For the plaintiff to succeed in her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she must prove on the balance of probabilities that the defendant was an occupier of the premises where and when the accident occurred, that the defendant breached a duty of care owed to the plaintiff, that the defendant's breach caused the plaintiff's injury, and that the plaintiff suffered damage. See </w:t>
      </w:r>
      <w:r>
        <w:rPr>
          <w:rFonts w:ascii="arial" w:eastAsia="arial" w:hAnsi="arial" w:cs="arial"/>
          <w:i/>
          <w:color w:val="000000"/>
          <w:sz w:val="20"/>
          <w:lang w:val="en-US" w:eastAsia="en-US" w:bidi="ar-SA"/>
        </w:rPr>
        <w:t>Hare v. Onofrychuk,</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1999 ABPC 93</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252 A.R. 279</w:t>
        </w:r>
      </w:hyperlink>
      <w:r>
        <w:rPr>
          <w:rFonts w:ascii="arial" w:eastAsia="arial" w:hAnsi="arial" w:cs="arial"/>
          <w:color w:val="000000"/>
          <w:sz w:val="20"/>
          <w:lang w:val="en-US" w:eastAsia="en-US" w:bidi="ar-SA"/>
        </w:rPr>
        <w:t xml:space="preserve"> at para. 44; Eric Wagner, </w:t>
      </w:r>
      <w:r>
        <w:rPr>
          <w:rFonts w:ascii="arial" w:eastAsia="arial" w:hAnsi="arial" w:cs="arial"/>
          <w:i/>
          <w:color w:val="000000"/>
          <w:sz w:val="20"/>
          <w:lang w:val="en-US" w:eastAsia="en-US" w:bidi="ar-SA"/>
        </w:rPr>
        <w:t>Annotated British Columbia Occupiers Liability Act 2010,</w:t>
      </w:r>
      <w:r>
        <w:rPr>
          <w:rFonts w:ascii="arial" w:eastAsia="arial" w:hAnsi="arial" w:cs="arial"/>
          <w:color w:val="000000"/>
          <w:sz w:val="20"/>
          <w:lang w:val="en-US" w:eastAsia="en-US" w:bidi="ar-SA"/>
        </w:rPr>
        <w:t xml:space="preserve"> at p. B-4. In this case the defendant concedes that she owed a duty of care to the plaintiff under the combined effect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the Supreme Court of Canada considered the nature of the duty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R.S.O. 1980, c. 322. Mr. Justice Iacobucci held as follows at p. 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all, the statutory duty on occupiers is framed quite generally as indeed it must be. That duty is to take reasonable care in the circumstances to make the premises safe. That duty does not change but the factors which are relevant to an assessment of what constitutes reasonable care will necessarily be very specific to each fact situation - thus the proviso "such care as in all the circumstances of the case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Where, as here, the plaintiff has by implicit agreement with the defendant undertaken the acts underlying the duty "to take that care that ... is reasonable to see that a person ... on the premises ... will be reasonably safe in using the premises" by shovelling snow off the stairs, is there justification for the view that the defendant has discharged her duty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Creighton,</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McLachlin J. (as she then was) held as follows at paras. 138 - 139: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138 This is not to say that the question of guilt is determined in a factual vacuum. While the legal duty of the accused is not particularized by his or her personal characteristics short of incapacity, it is particularized in application by the nature of the activity and the circumstances surrounding the accused's failure to take the requisite care. As McIntyre J. pointed out in </w:t>
      </w:r>
      <w:r>
        <w:rPr>
          <w:rFonts w:ascii="arial" w:eastAsia="arial" w:hAnsi="arial" w:cs="arial"/>
          <w:i/>
          <w:color w:val="000000"/>
          <w:sz w:val="20"/>
          <w:lang w:val="en-US" w:eastAsia="en-US" w:bidi="ar-SA"/>
        </w:rPr>
        <w:t>R. v. Tutton,</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[1989] 1 S.C.R. 1392</w:t>
        </w:r>
      </w:hyperlink>
      <w:r>
        <w:rPr>
          <w:rFonts w:ascii="arial" w:eastAsia="arial" w:hAnsi="arial" w:cs="arial"/>
          <w:color w:val="000000"/>
          <w:sz w:val="20"/>
          <w:lang w:val="en-US" w:eastAsia="en-US" w:bidi="ar-SA"/>
        </w:rPr>
        <w:t>, the answer to the question of whether the accused took reasonable care must be founded on a consideration of all the circumstances of the case. The question is what the reasonably prudent person would have done in all the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139 The matter may be looked at in this way. The legal standard of care is always the same - what a reasonable person would have done in all the circumstances.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or implied standard of care, however, may vary with the activity in question and the circumstances in the particular case. The law of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helpful in understanding this distinction. In </w:t>
      </w:r>
      <w:r>
        <w:rPr>
          <w:rFonts w:ascii="arial" w:eastAsia="arial" w:hAnsi="arial" w:cs="arial"/>
          <w:i/>
          <w:color w:val="000000"/>
          <w:sz w:val="20"/>
          <w:lang w:val="en-US" w:eastAsia="en-US" w:bidi="ar-SA"/>
        </w:rPr>
        <w:t>Salmond and Heuston on the Law of Torts</w:t>
      </w:r>
      <w:r>
        <w:rPr>
          <w:rFonts w:ascii="arial" w:eastAsia="arial" w:hAnsi="arial" w:cs="arial"/>
          <w:color w:val="000000"/>
          <w:sz w:val="20"/>
          <w:lang w:val="en-US" w:eastAsia="en-US" w:bidi="ar-SA"/>
        </w:rPr>
        <w:t xml:space="preserve"> (20th ed 1992), at pp. 227-28, the authors explain that the 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will be different in different cases, for a reasonable person will not show the same anxious care when handling an umbrella as when handling a loaded gun. [</w:t>
      </w:r>
      <w:r>
        <w:rPr>
          <w:rFonts w:ascii="arial" w:eastAsia="arial" w:hAnsi="arial" w:cs="arial"/>
          <w:i/>
          <w:color w:val="000000"/>
          <w:sz w:val="20"/>
          <w:lang w:val="en-US" w:eastAsia="en-US" w:bidi="ar-SA"/>
        </w:rPr>
        <w:t>Beckett v. Newalls Insulation Co. Ltd.,</w:t>
      </w:r>
      <w:r>
        <w:rPr>
          <w:rFonts w:ascii="arial" w:eastAsia="arial" w:hAnsi="arial" w:cs="arial"/>
          <w:color w:val="000000"/>
          <w:sz w:val="20"/>
          <w:lang w:val="en-US" w:eastAsia="en-US" w:bidi="ar-SA"/>
        </w:rPr>
        <w:t xml:space="preserve"> [1953] 1 W.L.R. 8, at p. 17] ... </w:t>
      </w:r>
      <w:r>
        <w:rPr>
          <w:rFonts w:ascii="arial" w:eastAsia="arial" w:hAnsi="arial" w:cs="arial"/>
          <w:color w:val="000000"/>
          <w:sz w:val="20"/>
          <w:u w:val="single"/>
          <w:lang w:val="en-US" w:eastAsia="en-US" w:bidi="ar-SA"/>
        </w:rPr>
        <w:t xml:space="preserve">But this is a different thing from recognising different legal standards of care; the test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is the same in all cases.</w:t>
      </w:r>
      <w:r>
        <w:rPr>
          <w:rFonts w:ascii="arial" w:eastAsia="arial" w:hAnsi="arial" w:cs="arial"/>
          <w:color w:val="000000"/>
          <w:sz w:val="20"/>
          <w:lang w:val="en-US" w:eastAsia="en-US" w:bidi="ar-SA"/>
        </w:rPr>
        <w:t xml:space="preserve"> So a learner driver must comply with the same objective and impersonal standard as any other driver. [</w:t>
      </w:r>
      <w:r>
        <w:rPr>
          <w:rFonts w:ascii="arial" w:eastAsia="arial" w:hAnsi="arial" w:cs="arial"/>
          <w:i/>
          <w:color w:val="000000"/>
          <w:sz w:val="20"/>
          <w:lang w:val="en-US" w:eastAsia="en-US" w:bidi="ar-SA"/>
        </w:rPr>
        <w:t>Nettleship v. Weston,</w:t>
      </w:r>
      <w:r>
        <w:rPr>
          <w:rFonts w:ascii="arial" w:eastAsia="arial" w:hAnsi="arial" w:cs="arial"/>
          <w:color w:val="000000"/>
          <w:sz w:val="20"/>
          <w:lang w:val="en-US" w:eastAsia="en-US" w:bidi="ar-SA"/>
        </w:rPr>
        <w:t xml:space="preserve"> [1971] 2 Q.B. 691] So also must a driver who is old or infirm, as distinct from totally unconscious. [</w:t>
      </w:r>
      <w:r>
        <w:rPr>
          <w:rFonts w:ascii="arial" w:eastAsia="arial" w:hAnsi="arial" w:cs="arial"/>
          <w:i/>
          <w:color w:val="000000"/>
          <w:sz w:val="20"/>
          <w:lang w:val="en-US" w:eastAsia="en-US" w:bidi="ar-SA"/>
        </w:rPr>
        <w:t>Roberts v. Ramsbottom</w:t>
      </w:r>
      <w:r>
        <w:rPr>
          <w:rFonts w:ascii="arial" w:eastAsia="arial" w:hAnsi="arial" w:cs="arial"/>
          <w:color w:val="000000"/>
          <w:sz w:val="20"/>
          <w:lang w:val="en-US" w:eastAsia="en-US" w:bidi="ar-SA"/>
        </w:rPr>
        <w:t>, [1980] 1 W.L.R. 823].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added by McLachlin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an Australian case, </w:t>
      </w:r>
      <w:r>
        <w:rPr>
          <w:rFonts w:ascii="arial" w:eastAsia="arial" w:hAnsi="arial" w:cs="arial"/>
          <w:i/>
          <w:color w:val="000000"/>
          <w:sz w:val="20"/>
          <w:lang w:val="en-US" w:eastAsia="en-US" w:bidi="ar-SA"/>
        </w:rPr>
        <w:t>Imbree v. McNeilly,</w:t>
      </w:r>
      <w:r>
        <w:rPr>
          <w:rFonts w:ascii="arial" w:eastAsia="arial" w:hAnsi="arial" w:cs="arial"/>
          <w:color w:val="000000"/>
          <w:sz w:val="20"/>
          <w:lang w:val="en-US" w:eastAsia="en-US" w:bidi="ar-SA"/>
        </w:rPr>
        <w:t xml:space="preserve"> [2008] HCA 40, 236 C.L.R. 510, the appellant plaintiff had allowed the defendant respondent to drive his vehicle knowing that the respondent had little driving experience, was unlicensed, and held no learner's permit. The respondent lost control of the vehicle which overturned, and the appellant/plaintiff was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issue on appeal was whether the standard of care owed by a novice driver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a supervising passenger is "that which is reasonably to be expected of an unqualified and inexperienced driver in the circumstances in which the pupil is placed". In </w:t>
      </w:r>
      <w:r>
        <w:rPr>
          <w:rFonts w:ascii="arial" w:eastAsia="arial" w:hAnsi="arial" w:cs="arial"/>
          <w:i/>
          <w:color w:val="000000"/>
          <w:sz w:val="20"/>
          <w:lang w:val="en-US" w:eastAsia="en-US" w:bidi="ar-SA"/>
        </w:rPr>
        <w:t>Cook v. Cook</w:t>
      </w:r>
      <w:r>
        <w:rPr>
          <w:rFonts w:ascii="arial" w:eastAsia="arial" w:hAnsi="arial" w:cs="arial"/>
          <w:color w:val="000000"/>
          <w:sz w:val="20"/>
          <w:lang w:val="en-US" w:eastAsia="en-US" w:bidi="ar-SA"/>
        </w:rPr>
        <w:t xml:space="preserve"> (1986), 162 C.L.R. 376 (Aust. H.C.), the court had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personal skill or characteristics of the individual driver are not directly relevant to a determination of the content or standard of the duty of care owed to a passenger, special and exceptional facts may so transform the relationship between driver and passenger that it would be unreal to regard the relevant relationship as being simply the ordinary one of driver and passenger and unreasonable to measure the standard of skill and care required of the driver by reference to the skill and care that are reasonably to be expected of an experienced and competent driver of that kind of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Imbree</w:t>
      </w:r>
      <w:r>
        <w:rPr>
          <w:rFonts w:ascii="arial" w:eastAsia="arial" w:hAnsi="arial" w:cs="arial"/>
          <w:color w:val="000000"/>
          <w:sz w:val="20"/>
          <w:lang w:val="en-US" w:eastAsia="en-US" w:bidi="ar-SA"/>
        </w:rPr>
        <w:t xml:space="preserve"> overruled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holding as follows in paras. 69 - 72: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The common law recognizes many circumstances in which the standard of care expected of a person takes account of some matter that warrants identifying a class of persons or activities as required to exercise a standard of care different from, or more particular than, that of some wholly general and "objective community ideal". Chief among those circumstances is the profession of particular skill. A higher standard of care is applied in those cases. That standard may be described by reference to those who pursue a certain kind of occupation, like that of medical practitioner, or it may be stated, as a higher level of skill, by reference to a more specific class of occupation such as that of the specialist medical practitioner. At the other end of the spectrum, the standard of care expected of children is attenuated.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But what distinguishes the principle established in </w:t>
      </w:r>
      <w:r>
        <w:rPr>
          <w:rFonts w:ascii="arial" w:eastAsia="arial" w:hAnsi="arial" w:cs="arial"/>
          <w:i/>
          <w:color w:val="000000"/>
          <w:sz w:val="20"/>
          <w:lang w:val="en-US" w:eastAsia="en-US" w:bidi="ar-SA"/>
        </w:rPr>
        <w:t>Cook v. Cook</w:t>
      </w:r>
      <w:r>
        <w:rPr>
          <w:rFonts w:ascii="arial" w:eastAsia="arial" w:hAnsi="arial" w:cs="arial"/>
          <w:color w:val="000000"/>
          <w:sz w:val="20"/>
          <w:lang w:val="en-US" w:eastAsia="en-US" w:bidi="ar-SA"/>
        </w:rPr>
        <w:t xml:space="preserve"> from cases of the kind just mentioned is that </w:t>
      </w:r>
      <w:r>
        <w:rPr>
          <w:rFonts w:ascii="arial" w:eastAsia="arial" w:hAnsi="arial" w:cs="arial"/>
          <w:i/>
          <w:color w:val="000000"/>
          <w:sz w:val="20"/>
          <w:lang w:val="en-US" w:eastAsia="en-US" w:bidi="ar-SA"/>
        </w:rPr>
        <w:t>Cook v. Cook</w:t>
      </w:r>
      <w:r>
        <w:rPr>
          <w:rFonts w:ascii="arial" w:eastAsia="arial" w:hAnsi="arial" w:cs="arial"/>
          <w:color w:val="000000"/>
          <w:sz w:val="20"/>
          <w:lang w:val="en-US" w:eastAsia="en-US" w:bidi="ar-SA"/>
        </w:rPr>
        <w:t xml:space="preserve"> requires the application of a different standard of care to the one defendant in respect of the one incident yielding the same kind of damage to two different persons, according to whether the plaintiff was supervising the defendant's driving or not. In all other cases in which a different level of care is demanded, the relevant standard of care is applied uniformly. No distinction is drawn according to whether the plaintiff was in a position to supervise, even instruct, the defendant although, of course, if the plaintiff was in that position, a failure to supervise or instruct may be of great importance in deciding whether the plaintiff was contributorily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There is no warrant for the distinction that was drawn in </w:t>
      </w:r>
      <w:r>
        <w:rPr>
          <w:rFonts w:ascii="arial" w:eastAsia="arial" w:hAnsi="arial" w:cs="arial"/>
          <w:i/>
          <w:color w:val="000000"/>
          <w:sz w:val="20"/>
          <w:lang w:val="en-US" w:eastAsia="en-US" w:bidi="ar-SA"/>
        </w:rPr>
        <w:t>Cook v. Cook. Cook v. Cook</w:t>
      </w:r>
      <w:r>
        <w:rPr>
          <w:rFonts w:ascii="arial" w:eastAsia="arial" w:hAnsi="arial" w:cs="arial"/>
          <w:color w:val="000000"/>
          <w:sz w:val="20"/>
          <w:lang w:val="en-US" w:eastAsia="en-US" w:bidi="ar-SA"/>
        </w:rPr>
        <w:t xml:space="preserve"> should no longer be followed in this 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The principle adopted in </w:t>
      </w:r>
      <w:r>
        <w:rPr>
          <w:rFonts w:ascii="arial" w:eastAsia="arial" w:hAnsi="arial" w:cs="arial"/>
          <w:i/>
          <w:color w:val="000000"/>
          <w:sz w:val="20"/>
          <w:lang w:val="en-US" w:eastAsia="en-US" w:bidi="ar-SA"/>
        </w:rPr>
        <w:t>Cook v. Cook</w:t>
      </w:r>
      <w:r>
        <w:rPr>
          <w:rFonts w:ascii="arial" w:eastAsia="arial" w:hAnsi="arial" w:cs="arial"/>
          <w:color w:val="000000"/>
          <w:sz w:val="20"/>
          <w:lang w:val="en-US" w:eastAsia="en-US" w:bidi="ar-SA"/>
        </w:rPr>
        <w:t xml:space="preserve"> departed from fundamental principle and achieved no useful result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An application of that reasoning to the present case yields a conclusion that the duty of care owed by the defendant to the plaintiff through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no different than the duty owed by the defendant to a third party on the premises such as a person delivering mail or attending at the house for some other reason. In those circumstances, I find the defendant's failure to inspect the premises to ensure that there was no residual ice or snow engages her liability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both of which and in combination, place an obligation on her to ensure that the premises are reasonably safe. That liability is of course subject to a determination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remove the snow and/or ice and in wearing inappropriate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Insofar as the plaintiff's claim against the defendant for breach of the tenancy agreement for failing to comply with the Coquitlam building bylaw and the B.C. Building Code is concerned, I have already concluded that neither the inherent slipperiness of the stair treads nor an irregular rise or run were causative factors in the slip and fall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to the absence of a railing as required by the applicable Bylaw, I am not satisfied that is a causative factor in connection with the slip and fall. The plaintiff's evidence is that she was descending the stairs with an umbrella in one hand and her dog's leash in the other and that she slipped on the first step. In those circumstances, it is speculation at best to assert the plaintiff would not have slipped or fallen had there been a handrail installed. While the defendant may have indeed been in breach of her contractual or statutory duty to the plaintiff by not installing a railing, I am simply not satisfied on the balance of probabilities that that was in any way causative of the fall and whatever ensuing injury or damage was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issue of causation in the context of claims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 tenancy agreement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canvassed by Bouck J. in </w:t>
      </w:r>
      <w:r>
        <w:rPr>
          <w:rFonts w:ascii="arial" w:eastAsia="arial" w:hAnsi="arial" w:cs="arial"/>
          <w:i/>
          <w:color w:val="000000"/>
          <w:sz w:val="20"/>
          <w:lang w:val="en-US" w:eastAsia="en-US" w:bidi="ar-SA"/>
        </w:rPr>
        <w:t>Ellington v. Rodgers</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[1986] B.C.J. No. 2020</w:t>
        </w:r>
      </w:hyperlink>
      <w:r>
        <w:rPr>
          <w:rFonts w:ascii="arial" w:eastAsia="arial" w:hAnsi="arial" w:cs="arial"/>
          <w:color w:val="000000"/>
          <w:sz w:val="20"/>
          <w:lang w:val="en-US" w:eastAsia="en-US" w:bidi="ar-SA"/>
        </w:rPr>
        <w:t xml:space="preserve"> (S.C.). The circumstances at issue in that case were set forth at pp. 1-2 of Bouck J.'s judgment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Ellington and his wife got up early on the morning of 2 March, 1983 to go to Bellingham, U.S.A. He had been off work for some time and intended to resume employment at a fish packing plant. He holds joint Canadian and American citizenship. As he was coming down the stairs to go outside, he slipped and fell from the top of the landing to the bottom of the staircase. There were four stairs leading down from this particular landing to the other level. At the top of the landing, his crepe soled shoe on his right foot became stuck to the shag rug which covered the stairs. Because he could not move it immediately, he started to fall. As he fell, his foot was in a twisted position. Somehow or other he fractured his right ankle. It is not altogether clear whether the ankle broke during the course of the fall or when he collapsed at the foot of the staircase.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particular set of stairs was installed by the defendants in 1977 when they were in the process of renovating the house. At that time they did not bother to get a building permit from the municipal authorities although one was required. The building code in force in 1977 and in 1983 required the set of stairs in question to have a railing down one side for safety purposes. Apparently, the defendants were not aware of the requirement and no railing was in fact installed.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the contention of the plaintiff that if the railing had been placed on the on the stairs as the law provided, he would have been able to stop his fall and the injury to his ankle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 result, Bouck J. found no evidence of causation, concluding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causal relation between the failure to install the handrail and the injury was not made out but was left to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my view, the same reasoning prevails in the present case. It follows that the defendant's liability rests only on her failure to ensure that the stairs were competently cleared of ice and snow, which in the circumstances engages consideration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is the plaintiff's contention that she suffered significant and ongoing injuries to her right elbow and left shoulder as a result of the slip and fall, which resulted in two operations, several medical procedures and some exacerbations through mishaps connected to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submits she has a permanent deformity and restriction of movement in her elbow, and continues to have pain and restriction of movement in her left shoulder, despite the improvement resulting from the capsular release performed by Dr. Moola in July 2007. The plaintiff submits her condition is likely permanent and limits her ability to access all forms of employment for which she is qualified. The plaintiff further contends that her injuries engage a consideration not only of non-pecuniary damages for pain and suffering which she submits falls in the range of $75,000, but also special damages for medications amounting to $329.98, damages for past wage loss from January 7, 2004 to May 10, 2004 and from September 2004 to October 2005 amounting to $29,500, damages for loss of earning capacity, and damages reflecting cost of future care as set forth in Natalie Allende's January 13, 2010 report. The plaintiff also makes an "in trust" claim for her brother and Darla Nordin who made payments on her behalf while she was absent from work in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defendant submits that the plaintiff's damages are minimal. The defendant says this is a case, in light of the plaintiff's evidence, that invokes the caution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where Chief Justice McEachern observed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just be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Although conceding in her pleadings that the slip and fall occurred, the defendant submits the court should scrutinize the plaintiff's evidence of the nature and effects of the slip and fall carefully in light of the evidence of her ruminations about injuring herself to obtain a financial settlement prior to the slip and fall. The defendant submits the only injury arising from the slip and fall is the injury to the plaintiff's elbow, that "the causation of her shoulder problems remains a mystery", and that any residual complaints she has do not relate to the slip and fall. The defendant says based on the nature and duration of the injury an award for non-pecuniary damages should be nominal and subject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So far as the past wage loss is concerned, the defendant submits that the plaintiff is not entitled to any wage loss for the period she was off work due to her unrelated psychological problems between September 2004 and October 2005, but that if she is entitled to damages for past wage loss it should be limited to the period between January 7, 2004 and May 10, 2004 when she was cleared to return to work. The defendant submits this award should be based on the plaintiff's earnings of $657.59 weekly and would amount to $11,179.03.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 submits that the plaintiff's loss of earning capacity claim should be dismissed as the evidence falls short of proving a real and substantial possibility of a future income loss. The defendant submits there is no evidence the effects of the slip and fall deprived the plaintiff of her ability to work with aggressive children and that the accommodation for her was not made until 2009, some five years post accident, not in 2007 as Mr. Stanus believed. The defendant notes that the plaintiff is presently working double the hours she was before the accident and she has essentially worked steadily since 2005 except for the period of her WCB claim in the spring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So far as the cost of future care is concerned, the defendant submits that claim should be dismissed as there is a lack of evidence that they are expenses the plaintiff will be likely to incur.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 submits the plaintiff's "in trust" claims are not reasonable and do not relate to the plaintiff's injuries suffered from the slip and fall, but rather relate to her psychological problems which overtook her in the fall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I have previously indicated, I found the plaintiff's evidence as to the nature and effects of her slip and fall to be problematic and beset by exaggeration and embellishment. In particular, the evidence that she passed out from excruciating pain after summoning her son to call the defendant is unlikely, given the evidence of Dr. Fyfe and Dr. Moola. Similarly, her unwillingness to let Dr. Perey even touch her elbow when he examined her on January 19, 2004 and her anomalous "pain behaviour" when she was admitted to Royal Columbian Hospital on April 5, 2007 after falling over the log at the school parking lot, is in my view, of a piece with her mischaracterization of her injuries to various people as a broken arm and a dislocated shoulder that went untreated for three months. In my view, the plaintiff has demonstrated a tendency to exaggerate the nature and extent of her injuries to a significant degree. A relatively recent example of that exaggeration can be found in the evidence of Ms. Allende, contrasted with that of Dr. Moola. Ms. Allende noted the plaintiff demonstrated "poor grip strength" with scores placing her in the fifteenth percentile in her right hand and "below the first percentile in the left hand" in her assessment which was conducted in December 2009. On the other hand, Dr. Moola noted in his December 18, 2009 examination and report that Ms. Hunter showed "no motor weakness" in her left hand. The contrast is stark.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As well, Ms. Allende reported that the plaintiff attributed the depression she suffered from in 2004/2005 to the accident, when there was evidence that it was a pre-existing condition and arose from her break-up with her common-law spouse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As far as the plaintiff's left shoulder is concerned, while I accept Dr. Moola's diagnosis of it as a primary frozen shoulder secondary to the trauma sustained on January 7, 2004, the plaintiff displayed few symptoms and made no complaints about it until May 11, 2004, after it was diagnosed by Dr. Perey during the ulnar nerve transposition on March 12, 2004, and after she was cleared to return to work. Before that, the plaintiff's only reference to her shoulder was on January 7, 2004, when she reported to the Emergency Department at Eagle Ridge Hospital that it was "tightening up". Later, on April 7, 2004, after the operation performed by Dr. Perey on her elbow, and after she had been diagnosed with a frozen shoulder, she told her general practitioner, Dr. Horvat that her shoulder was "one hundred percent better". In those circumstances, while I accept the slip and fall had some consequences to Ms. Hunter's left shoulder, I am not satisfied that her subsequent complaints of shoulder pain following the incidents on April 3 and April 5, 2007 are reliable, or relate to the January 7, 2004 incident. I find in her subjective complaints of shoulder pain and in her extreme reactions to the events of April 3rd and April 5th the same level of exaggeration that coloured her evidence of the effects of the slip and fall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As earlier noted, I accept the likelihood that the plaintiff's perception and presentation of her injuries may have been influenced by the difficult and unfortunate psychological stresses she was undergoing in the period leading up to and following the slip and fall. As noted, however, that does not overcome the problematic nature of her evidence and I conclude that the effects of the slip and fall, although involving her elbow and left shoulder, are neither as extensive nor as disabling as she has presented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In particular, I am not satisfied that the effects of the slip and fall engage any past wage loss beyond May 10, 2004, nor do I accept that they justify a finding that the costs of future care as identified by Ms. Allende are reasonably necessary on the medical evidence, in light of the findings I have made: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84 B.C.L.R. (4th) 220</w:t>
        </w:r>
      </w:hyperlink>
      <w:r>
        <w:rPr>
          <w:rFonts w:ascii="arial" w:eastAsia="arial" w:hAnsi="arial" w:cs="arial"/>
          <w:color w:val="000000"/>
          <w:sz w:val="20"/>
          <w:lang w:val="en-US" w:eastAsia="en-US" w:bidi="ar-SA"/>
        </w:rPr>
        <w:t>. I accept that Ms. Hunter experienced pain and discomfort to her elbow and some stiffness to her left shoulder. I accept that the elbow injury necessitated an operation and that she was compelled to be off work until May 10, 2004. I accept Dr. Moola's opinion that in relation to her elbow, there is a permanent restriction in the elbow flexion/extension arc, but that "her resulting disability is currently manageable although the deformity is obvious". I note Dr. Moola's opinion that he does "not anticipate that she would suffer from a future inability to earn income as long as she can continue to work at this job and they continue to accommodate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conclude on the whole of the evidence that an appropriate award of damages for pain and suffering as a result of Ms. Hunter's elbow injury and shoulder condition is $25,000. I accept the consequent necessity of her missing work between January 7, 2004 and May 10, 2004 and I would award her past wage loss of $11,179.03. I am not satisfied that her absence from work between September 2004 and October 2005 was caused by the effects of her slip and fall and I would not award her any past wage loss for that period, as I consider it a result of the psychological difficulties she was experiencing. This loss is not causally related to the effects of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similarly find that the plaintiff's in trust claims on behalf of her brother and Darla Nordin are not causally related to the slip and fall, but arose from the psychological and emotional difficulties she was experiencing in 2004 an 2005. I therefore dismiss that aspect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dealing with the plaintiff's claim for a loss of earning capacity, I have regard to the decision of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In that case, Finch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last or impaired asset is to be assessed varies of course from case to case. Some of the considerations to take into account in making that assessment include whether: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Both Ms. Allende and Mr. Stanus note there are a number of factors at play in connection with the plaintiff and which are unrelated with the slip and fall of January 7, 2004 that may have an impact on her future earning capacity. In the present case, the plaintiff argues, in effect, that her loss of earning capacity arises from the fact that she needs to be accommodated to some extent in her present chosen profession and that that accommodation may not always be available to her. My task in assessing this aspect of the plaintiff's claim is set out succinctly by Donald J.A. for the court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this case I have evidence that notwithstanding her asserted disability, the plaintiff has made significant achievements in increasing her working capacity to double what it was prior to the slip and fall on January 7, 2004. While I accept the logic of the plaintiff's contention that a need to be accommodated may render an employee less marketable or attractive to potential employers, I do not find, in the circumstances of this case, a real and substantial possibility that her income will be reduced as a result of the effects of the slip and fall. On the evidence before me, I regard it as more of a speculative possibility than a substantial one. In the result, I would not award the plaintiff any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is entitled to $329.98 as special damages for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This is a case which requires consideration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have found that the primary cause of the slip and fall was the residual ice and snow left on the stairs after the plaintiff and her son cleared them the previous evening. I have also found that the footwear worn by the plaintiff and the way she wore them likely was a contributing cause. In the result, although because of the defendant's status as an occupier and as a landlady on whom an obligation rests to ensure the premises were reasonably safe for persons using them, I have found her liable, the circumstances of this case compel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Weighing the parties' respective fault in accordance with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and the factors summarized by Groves J.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62 - 63, rev'd on other grounds, </w:t>
      </w:r>
      <w:hyperlink r:id="rId36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in all the circumstances, I conclude there should be a finding that the plaintiff is 75% liable for the accident and the defendant is 25%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the result, the plaintiff is entitled to an award of $9,127.25 representing 25% of general damages of $25,000, past wage loss of $11,179.03 and special damages of $329.98. She is entitled to interest on that proportion of the award relating to her past wage loss and special damages. The plaintiff is awarded costs and disbursements unless there is some matter of which I am unaware and in which case the parties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Jennings v. John Doe, [2010] B.C.J. No. 2212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M123836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2010 BCSC 1595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90 C.C.L.I. (4th) 297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[2011] I.L.R. I-5072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2010 CarswellBC 3054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4 M.V.R. (6th) 55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194 A.C.W.S. (3d) 1020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Alan Jennings, Plaintiff, and John Doe, Jane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Insurance law — Automobile insurance — Compulsory government schemes — Claims against parties unknown — Action for personal injuries suffered in a motor vehicle accident allowed — Court accepted plaintiff's evidence that he was forced into ditch by an unknown driver who entered plaintiff's lane of traffic — Plaintiff's father attempted to find the other vehicle after the accident — Identities of the unknown driver and owner were not ascertainable.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injuries suffered in a motor vehicle accident allowed — Plaintiff drove into hydro pole — Plaintiff alleged he was forced off the road by a tractor trailer that swayed into his lane — Driver of other vehicle as unknown — Evidence corroborated plaintiff's version of the accident — Accident caused solely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other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3"/>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motor vehicle accident. The plaintiff was injured when his vehicle left the travelled portion of the highway and struck a hydro pole in the adjacent ditch. The plaintiff alleged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of a tractor-trailer unit which crossed into his lane of travel, forcing his vehicle to leave the roadway. The defendant insurer argued that the plaintiff's injuries were caused by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plaintiff failed to take all reasonable steps to identify the driver of the other vehicle, if another vehicle was involved. The plaintiff argued that a large tractor-trailer approached him from behind. The plaintiff then moved into the other lane. As the tractor-trailer passed him, the trailer's tires crossed over the dividing line and swayed into the plaintiff's lane. When the trailer entered the plaintiff's lane completely, the plaintiff was forced to steer off the road, thereby striking the hydro pole. The plaintiff told the ambulance driver, the police and the insurer about the other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1"/>
            <w:bookmarkEnd w:id="10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tractor-trailer unit who entered the plaintiff's lane of travel when it was unsafe to do so. That driver failed to see the plaintiff's vehicle when it was there to be seen, and changed lanes when it was unsafe to do so and without having signalled his intention to change lanes by activating his turn signal. The evidence was consistent with the plaintiff's statements about how the accident occurred. The plaintiff was not negligent in failing to reduce his speed or brake earlier than he did, or in using or failing to cancel his cruise control. The plaintiff's father made efforts to locate the tractor trailer. The plaintiff had no reason to believe that the manner in which he claimed the accident occurred would be challenged by the insurer. The identities of the unknown driver and owner were not ascertainable.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2"/>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379"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6"/>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S. Arnold.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Jacob R. Parkinson.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6"/>
      <w:bookmarkEnd w:id="110"/>
      <w:r>
        <w:pict>
          <v:line id="_x0000_s1108"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W.G. BAKER J."/>
            <w:bookmarkEnd w:id="111"/>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As previously order by Justice Schultes, this trial proceeded on the issue of liability only. On October 7, 2008, the plaintiff was injured when his Toyota pick-up truck left the travelled portion of the Trans-Canada Highway ("the highway") and struck a hydro pole in the adjacent ditch. The plaintiff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of a tractor-trailer unit which crossed into his lane of travel, forcing his vehicle to leave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Insurance Corporation of British Columbia ("the Insurer") says that Mr. Jennings' injuries resulted from a single vehicle accident caused by Mr. Jennings'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if there was a second vehicle involved Mr. Jennings caused or contributed to the accident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finally that Mr. Jennings failed to take all reasonable steps to identify the driver of the tractor-trailer unit and is therefore disentitled to compensation for his injuries received in the motor vehicle accident, pursuant to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Robert Jennings was 18 years old in October 2008. He had graduated from high school in June; and was employed at a ranch located at 70 Mile House in British Columbia. Mr. Jennings' family have a cottage near 70 Mile House and Mr. Jennings was residing at the family cottage. Presently Mr. Jennings is 20 years old and an apprentice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October 7, 2008 was a Tuesday. Mr. Jennings had been at his parents' home in Maple Ridge on the weekend in order to attend an engagement party for his sister and her fiancé'. He had remained in the Lower Mainland Monday in order to celebrate the anniversary of his second year of dating his girlfriend. He slept well on Monday evening and had not consumed alcohol for 24 hours prior to departing from his parents' home at about 7:00 a.m. on Tuesday, October 7 and had not consumed any drugs. He was not in a hurry and was not expected to be at work that day. Mr. Jennings had his dog "Scout" with him. The dog was sleeping on the front passenger seat of Mr. Jennings'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Jennings testified that the sky was overcast when he left his parents' home but that as he headed north there was very light rain - he said it was "sprinkling" - requiring intermittent windshield wiper use. Mr. Jennings said the road was "damp" - I understood him to mean that there was not enough precipitation to cause water to stream or pool on the roadway. Mr. Jennings was driving his 1995 Toyota Tacoma pick-up truck, which he had purchased from a previous owner. The vehicle was in good mechanical condition and well-maintained.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Jennings was employing the vehicle's cruise control. The speed limit on the relevant portion of the TransCanada Highway is 90 kph; Mr. Jennings had set the cruise control at 94 kph. The evidence does not establish that this was an unsafe speed for the road conditions prevailing at the time. Mr. Jennings testified that traffic was not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Jennings was northbound on the TransCanada Highway. He was very familiar with the highway having driven it, accompanied by his parents, when he had a driver's learner's permit; and by himself since obtaining his driver's licence. He had also been a passenger on that highway many, many times, travelling to and from his family's cottage near 70 Mile House and also to another family-owned residence at Sun Peaks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approximately 9:30 a.m., Mr. Jennings was north of the community of Boston Bar and was nearing the south slope of Jackass Mountain. For approximately two to three miles of the approach to Jackass Mountain the highway has four lanes of travel - two for southbound vehicles, and two for northbound vehicles. The two northbound lanes continue to the point that the highway begins to level out at the top of the Mountain, and then merge into one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indicates that in assessing and rejecting Mr. Jennings' claim for compensation for his injuries, at least one representative of the Insurer had incorrectly assumed that the accident happened at a location much further up Jackass Mountain than the actual location. I am satisfied that Mr. Jennings and his father have correctly identified the location of the accident and that that location is confirmed by photographs taken by Mr. Jennings, Sr. on the day of the accident, and a videotaped recording made by Mr. and Mrs. Jennings, Sr. on a subsequent date. I conclude that at the location where the accident happened there are two northbound lanes and two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events began that culminated in Mr. Jennings' collision with a hydro pole, Mr. Jennings was driving in the northbound lane closest to the centre line; sometimes referred to as the "fast lane". The videotape made by Mr. Jennings' father and mother indicate that there are road signs advising drivers to "Keep Right Except to Pass". Mr. Jennings testified that there are often large trucks on the highway; that the highway grade as the road ascends Jackass Mountain is very steep; that large trucks have difficulty maintaining speed as the grade steepens and lengthens and that it is often necessary to pass the slower vehicles by utilizing the left hand lane. Mr. Jennings' father, Bradley Jennings, testified to the same effect. He said that by the time large trucks reach the top of the grade; they are often geared down and moving very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not persuaded that Mr. Jennings was negligent in choosing to drive in the fast lane in the circumstances despite the road sign directing drivers to occupy the slow lane except when passing, and I am satisfied that the fact that Mr. Jennings was initially driving in the fast lane did not cause or contribute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Jennings testified that at a time when there was no other traffic in the vicinity he became away that a large northbound tractor-trailer had approached from behind him and was quickly closing the gap between the two vehicles. He perceived the tractor-trailer unit to be travelling at high speed - perhaps as fast as 120 to 125 kph. He saw that the tractor was blue, with a Kenworth logo, and that it was pulling a white trailer. Mr. Jennings agreed in cross-examination that although he did not count the wheels, he would describe the vehicle as an "18 wheeler".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Jennings' testimony on discovery indicates he did not see the tractor-trailer unit until it was fairly close to his vehicle. He was asked to provide an estimate of the distance between the two vehicles on examination for discovery and did so, but his evidence on discovery and at trial indicates he was not confident in the accuracy of his estimate and I conclude it was little more than a guess. Estimating the distance between vehicles, particularly those travelling at speed, is a difficult task and any apparent inconsistency in Mr. Jennings' testimony does not cause me to doubt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Jennings testified that when he saw the tractor-trailer coming up fast behind him, he activated his right turn signal and moved into the right, or slow, lane of travel, expecting the larger vehicle to pass on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the tractor-trailer unit began to pass him, however, Mr. Jennings saw that the passing vehicle's trailer tires were crossing over the line dividing the two north-bound lanes and that the trailer was swaying. He reduced the speed of his vehicle utilizing his cruise control deceleration lever and steered his own vehicle closer to the right side of the slow lane. However, as the tractor-trailer unit proceeded to overtake his vehicle, the unit continued to move to the right, into Mr. Jennings' lane of travel, eventually entering the lane fully, leaving no space for Mr. Jennings' vehicle and forcing him to steer onto the paved shoulder, and then the gravel shoulder and then into the ditch. As his vehicle entered the ditch, the front of his truck struck the base of a hydro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These events happened very quickly. Mr. Jennings considered trying to slow his vehicle by braking, but by that time the passenger side wheels of his truck were on the soft gravel shoulder and he was afraid that braking would cause the tires to dig into the shoulder and propel his vehicle into the ditch. In the circumstances, and considering the limited opportunity Mr. Jennings had to react to the dangerous and unexpected manoeuvre of the tractor-trailer, I am not persuaded that Mr. Jennings' failure to brake or to cancel his cruise control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also not persuaded that braking earlier or at all, or cancelling the cruise control would have enabled Mr. Jennings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Immediately prior to the impact, Mr. Jennings felt his vehicle vibrate, as if it had been struck by the passing trailer. He described it as being "nudged" by the trailer. He believes that there was actual contact between his vehicle and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front of Mr. Jennings' pickup truck struck the hydro pole. The impact sheared off the base of the hydro pole, leaving the top of the pole dangling from the overhead hydro wires. At least one wire was knocked to the ground. When his truck collided with the pole, Mr. Jennings' air bag deployed. He did not lose consciousness. When he came to a stop he was coughing from powder that had come out of the airbag. He saw the tractor-trailer unit disappearing in the distance and was unable to see a licence number. He checked his dog to see if the animal had been injured. He noticed the dangling hydro line and was afraid that it might cause his truck to burst into flames or explode. He tried to open his driver's side door but realized his left arm was bent behind his back in an unnatural way - he believed it was broken. He managed to get the door open with his right arm and got himself and his dog out of the truck. He returned to the vehicle to retrieve some clothing and other possessions.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about 15 minutes, a vehicle approached from the north. The driver stopped but did not get out of his vehicle. He rolled down his car window and asked Mr. Jennings if he needed help. Mr. Jennings told him he had been forced off the road by a truck and that he was injured. The other driver told Mr. Jennings he would drive to Boston Bar and notify the police and ambulance; and immediately drove away. It did not occur to Mr. Jennings to ask this individual to give his name. I conclude from the fact that an ambulance did subsequently turn up at the accident location that this individual did as he said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Soon after the southbound vehicle departed the scene, three northbound vehicles came up behind Mr. Jennings' vehicle and stopped. A woman who got out of one of these vehicles gave Mr. Jennings a blanket and tried to comfort him. Someone found a leash for Mr. Jennings' dog. Another person helped extricate a bag from Mr. Jennings' vehicle that he had been unable to get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 ambulance arrived soon after, with a driver and one attendant. Mr. Jennings walked to the ambulance and the ambulance attendants immediately placed him on a stretcher and put the stretcher into the rear of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Mark Simon, the ambulance attendant, testified at trial; having earlier responded through his employer to questions provided by plaintiff's counsel. The ambulance driver who had been with Mr. Simon on October 7 had no recall of the events, so was not asked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Simon, with the assistance of the notes he had made at the time on the ambulance record, was able to recall the events when he testified at trial. As he noted on the ambulance record, he recalled Mr. Jennings telling him that he had been forced off the road by a tractor-trailer unit consisting of a blue Kenworth tractor and a white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Simon testified that Mr. Jennings was angry. He noted this emotion in particular because he concluded that it was Mr. Jennings' anger that was allowing Mr. Jennings to "compensate" for the pain caused by the injury to Mr. Jennings' arm. Mr. Simon believed that the arm was broken; although x-rays at hospital later proved it to be a double-dislocation rather than a fracture. Because of the severity of the injury, Mr. Simon expected that Mr. Jennings would be experiencing more pain than he was reporting, and also that he would have begun to display symptoms of "shock" - changes in blood pressure and heart rate, that were not present. Mr. Simon concluded that what was occurring was a medical phenomenon he called "compensation" and that the anger Mr. Jennings was feeling towards the driver of the tractor-trailer unit was delaying the onset of severe pain and shock-like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Simon could not, of course, read Mr. Jennings mind. However, he is a trained observer and the manifestations of anger observed by Mr. Simon are consistent with Mr. Jennings' assertion that the accident was caused by the actions of another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Simon also confirmed Mr. Jennings' testimony that Mr. Jennings was anxious to talk to the police about the tractor-trailer unit that had left the scene. Just as the ambulance was about to depart, through the open rear doors of the ambulance, Mr. Jennings and Mr. Simon saw a police car arrive. Mr. Jennings asked to be allowed to speak to police before the ambulance departed, but Mr. Simon told him it was more important to get him to hospital. Mr. Simon said he was anxious to transport Mr. Jennings before he began to "decompensate". Mr. Simon said that in his experience, the police usually come to the hospital to speak to people involved in an accident and he told Mr. Jennings that he would be able to talk to the police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Jennings got to the hospital in Hope, x-rays were taken; he was sedated and underwent a procedure to have the two dislocations in his arm corrected, after which the arm was placed in a partial cast. After arriving at hospital, Mr. Jennings had placed a telephone call to his mother - a teacher - at her place of work and she left work and drove to Hope. Mr. Jennings was discharged into her care. Contrary to the information Mr. Simon had provided, no police officers came to the hospital to speak to Mr. Jennings. In any event, he had been sedated and was recovering from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Mr. Jennings told his mother that he had been forced off the road by a truck and he told her it was a blue Kenworth tractor with a white trailer. I conclude this because Mrs. Jennings Sr. contacted her husband - Bradley Jennings - by telephone and conveyed this information and the vehicle description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Bradley Jennings had driven to Kamloops that same morning to the location of a building site where he was constructing a home. He had a couple of telephone calls with his wife (the plaintiff's mother) and then set off to drive to Hope from Kamloops to check on his son's condition. On route from Kamloops to Hope, Mr. Jennings Sr. actively searched for vehicles matching the description of the tractor-trailer unit relayed to him by his wife. He checked out parking lots at truck stops, pull-offs and lay-bys. He understood from speaking to Mrs. Jennings that the police had been at the scene of the accident and that Mr. Jennings' dog and Mr. Jennings' personal possessions had been taken by the Boston Bar RCMP for safekeeping.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Jennings Sr. stopped on the side of the highway when he arrived at the accident scene. His son's vehicle was still there, although it appears it may have been moved from where it came to rest; probably by BC Hydro employees. BC Hydro employees were present at the location when Mr. Jennings Sr. arrived there, waiting for a new pole to be delivered to replace the one sheared off by the plaintiff's pickup truck. Mr. Jennings Sr. took photographs of his son's truck and the sheared-off hydro pole and the hydro workers and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Jennings Sr. checked out his son's vehicle. He picked up some glass and other debris and threw it into the truck. He opened the driver's side door. He noticed that the driver's side mirror was flattened against the vehicle door. He noticed the wind deflector above the driver's side window was broken and the one above the storage area (jump seat?) behind the driver's side door was gone. He examined the non-mirror side of the driver's side mirror and noticed what he believed to be recent scuffs and scratches.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From the accident scene, Mr. Jennings Sr. continued driving south to Boston Bar. He went to the RCMP detachment there. A shift change was underway. Mr. Jennings Sr. spoke with Constable Gatto, who was one of two officers from the Boston Bar detachment who had been to the accident scene. The other officer who had been with Constable Gatto at the scene was Constable Gravelle. Mr. Jennings Sr. told Constable Gatto that his son's vehicle had been forced off the road by a tractor-trailer unit, and he gave Constable Gatto the description his son had given - a blue Kenworth tractor pulling a white trailer. Mr. Jennings Sr. retrieved Scout and his son's possessions from Constable Gatto and then continued on to the hospital in Hope where he met up with his son and Mrs. Jennings,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After assuring himself that his son was okay and was being discharged and would go home with Mrs. Jennings Sr., Mr. Jennings Sr. drove back to his job site in Kamloops. When he drove by the accident scene he saw that his son's vehicle had been removed. On his return journey to Kamloops he again searched for a vehicle matching the description given by his son and checked the same likely locations he had checked on the trip south. Mr. Jennings Sr. testified that he hoped to find the vehicle so that the police could pursue the person he regarded as a hit and run driver. He was not aware of the provisions of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Jennings spent the next few days recuperating at home. When Mr. Jennings Sr. returned from Kamloops on Friday October 10 he placed a call to the Insurer's dial-a-claim line, with the intention of making an appointment for his son and himself to meet with an adjuster. Mr. Jennings Sr. believed that because his son was not yet 19 years old, he would have to be involved in the insurance claim process. The notes of one of the Insurer's dial-a-claim employees are in evidence and confirm that Mr. Jennings Sr. reported the accident to have been caused by a second vehicle that did not stop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Jennings and Mr. Jennings Sr. were given an appointment to meet with an adjuster on October 20, 2008. On his return to Kamloops, Mr. Jennings Sr. again used the opportunity to watch for tractor-trailer units matching the description provided by his son en route. He also stopped in to the Boston Bar RCMP detachment and spoke again to Constable Gatto.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Messrs. Jennings said that no Insurer employee with whom they dealt ever told either of them that Mr. Jennings had an obligation to make efforts to locate the driver or owner of the other vehicle involved in the accident. Nothing was said that indicated that the accuracy of Mr. Jennings' report of the events leading to the accident was disputed or in doubt. Mr. Jennings Sr. said that their initial meeting with the adjuster was pleasant and that what Mr. Jennings said to the adjuster about how the accident had happened seemed to be accepted. The adjuster told the two men that she would be getting a copy of a police report and a copy would be provided to them. She prepared a statement summarizing the information provided by the two men. Before signing the statement prepared by the adjuster, Mr. Jennings or his father sought legal advice and some handwritten alterations were made to the typewritten document prepared by the adjuster. Mr. Jennings signed the amended statement. It, and the necessary notices required by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were delivered to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few weeks after the accident, Mr. Jennings received a photocopy of a form which the Insurer adjuster called a "MV6020" and which the parties referred to as a "police report" at trial. According to a letter written at a later date by an Insurer representative to counsel for the plaintiff, the MV6020 had been forwarded to the Insurer by the Boston Bar detachment of the RCMP. There is a stamp on the bottom of the document that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CPL D DOYLE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TEAM LEADER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Fraser Valley Traffic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stamp, a signature that appears to be that of D. Doyle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evidence - although hearsay - that the investigation of traffic accidents on the Trans Canada Highway is considered to be the responsibility of the Chilliwack RCMP Detachment, even if the accident happens at a location closer to the Boston Bar Detachment. Other evidence at trial - again hearsay - indicates the form referred to above may have been completed by a Constable Small from the Chilliwack RCMP Detachment. No evidence was led to establish that Constable Small went to the accident scene (although an e-mail he apparently authored suggests he did), or from what source he obtained the information included in his report; or the basis of his choice of codes that he recorded on the form, or why the form seems to have been signed by someone other than the person who prepared it. There's no evidence that Corporal Doyle ever went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Selected codes, according to counsel and a code glossary included as an exhibit, indicate that the officer who filled out the MV6020 selected "weather" and "driver inattentive" as "contributing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Jennings Sr. and Mr. Jennings received a copy of the MV6020 in late October or early November 2009, they noticed that no information had been included on the form about the other vehicle Mr. Jennings says caused the accident. They did not know, however, how to decipher any of the many codes and numbers appearing on the form and were not aware that the police officer who prepared the form was treating the accident as a single-car event, or that he had selected codes indicating that "driver inattentive" and "weather" were contributing factors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Jennings spoke to Constable Gatto briefly a couple of times in the months after the accident, primarily about whether a pair of expensive sunglasses that had been in his vehicle had been located, but also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Jennings had collision insurance. He did some internet research about the value of his truck, which had been "written off" by the Insurer; and the Insurer and he reached agreement about the amount he would be paid for the damage to his vehicle, and this sum was paid. Mr. Jennings had some medical expenses and these were discussed with the adjuster and Mr. Jennings was also reimbursed for these expenses. In these interactions, no mention was made of any obligation on the part of Mr. Jennings to take steps to try to identify the driver of the tractor-trailer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not until early March 2009 that Mr. Jennings learned, through his counsel, that the Insurer was taking the position, primarily in reliance on the MV6020 report, that Mr. Jennings was "... 100% responsible for the accident of October 7, 2008". The letter sent to plaintiff's counsel stated that the police report indicated only one vehicle was involved. The adjuster also referred to photographs in the possession of the Insurer purporting to depict the location of the accident but I am satisfied that the Insurer was mistaken about the location of the accident and believed at the time that it had occurred several kilometres north of the actual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Because of the adjuster's misunderstanding about where the accident took place - defendants' counsel continued to assert in submissions at trial that the plaintiff was "travelling up a steep hill at the time of the accident" although that statement does not accord with the evidence - there is also some erroneous speculation in the adjuster's letter to plaintiff's counsel about the likely speed that a tractor-trailer could have been travelling when the accident happened. Finally, the adjuster stated that the condition of the driver's side of Mr. Jennings' vehicle didn't support his statement that the trailer of the tractor-trailer unit had "nudged up against" his vehicle. Even this letter did not, however, assert that the plaintiff had failed to take reasonable steps to try to identify the driver or owner of the tractor-trailer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Jennings Sr. testified that he attempted to reach Constable Small by telephone twice after learning that it may have been Constable Small who prepared the police report on which the Insurer was relying. Both times he was told by someone at the Chilliwack RCMP Detachment that Constable Small was not there; and both times he left a message asking that Constable Small return his call. No calls were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 e-mail purporting to be from Constable Small and received by plaintiff's counsel, dated February 14, 2009, is in evidence. In the e-mail, Constable Small, referring to himself in the third person, reported that Mr. Jennings had been taken by ambulance from the accident scene before Constable Small arrived there; that Constable Small had not spoken to Mr. Jennings before preparing the accident report and that no traffic analyst had been involved. Constable Small wrote that he had written to Constables Gatto and Gravelle inquiring if they had any notes or photographs and would advise plaintiff's counsel if any were received. None are in evidence and I infer from that that none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November 26, 2009, the plaintiff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found both the plaintiff and his father to be credible witnesses. There were a couple of minor inconsistencies arising out of testimony Mr. Jennings gave on examination for discovery. These inconsistencies arose, in my view, out of Mr. Jennings' relative youth and eagerness to be a cooperative witness. He attempted, when invited to do so, to provide estimates of distance and speed although his first response - that he did not know or was not sure - had been the correct response. These minor inconsistencies did not, however, cause me to doubt Mr. Jennings' truthfulness. It would, in my view, have been surprising if Mr. Jennings had actually been able to provide, with any degree of accuracy, some of the details he was pressed to provide about events that were sudden and unexpected and which must have been frightening.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Jennings testified that he believed that the trailer portion of the tractor-trailer unit actually made contact with the side of his vehicle as it entered his lane. The defendants take issue with this assertion. Both Mr. Jennings and his father were cross-examined about the configuration of Mr. Jennings' vehicle. They were asked to explain how a passing trailer could cause the wind deflectors to shear off but the side mirror - which protrudes further than the deflectors from the frame of the vehicle - to remain intact. Mr. Jennings was unable to say that he actually saw any part of the tractor-trailer strike his vehicle - his attention was focused elsewhere. He said he believes there was contact because he felt his vehicle vibrate and because the wind deflectors above the windows on the driver's side of his vehicle were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can conceive of ways in which the damage could have been caused - straps or other items protruding from the trailer at the level of the deflectors, for example; or the air displacement caused by the passing vehicle, but it is not necessary for 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establishes that there was physical damage to the plaintiff's vehicle present after the accident that was not present before the accident. It is unlikely that that the damage to the wind deflectors resulted from contact with the hydro pole - the vehicle struck head on and the wind deflectors on the passenger side were undamaged. The damage to Mr. Jennings' vehicle corroborates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defendants objected to the admission of the testimony of Mr. Simon and Mr. Jennings, Sr., and various documents indicating that Mr. Jennings did, at the earliest opportunity, and consistently since that time, claim that the accident had been caused by the actions of the driver of a tractor-trailer unit. Counsel submitted, correctly, that previous "consistent" statements of a witness are normally not admissible for the truth of their contents, or to buttress the credibility of a trial witness' testimony. The defendants say they are not asserting a "recent" fabrication, although by implication they are asserting that Mr. Jennings has fabricated a story about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earlier decisions of this court establish that in circumstances such as these, the previous out-of-court statements are admissible and relevant not for proof of the truth of the out-of-court statements but to rebut any inference that a claimant is lying because he failed to assert his present version of events at the first and any subsequent opportunity when it would be reasonable to expect him to do so, or had made inconsistent claims in the past about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Vanderbyl v. Insurance Corporation of British Columbia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(1993) 79 B.C.L.R. (2d) 156</w:t>
        </w:r>
      </w:hyperlink>
      <w:r>
        <w:rPr>
          <w:rFonts w:ascii="arial" w:eastAsia="arial" w:hAnsi="arial" w:cs="arial"/>
          <w:color w:val="000000"/>
          <w:sz w:val="20"/>
          <w:lang w:val="en-US" w:eastAsia="en-US" w:bidi="ar-SA"/>
        </w:rPr>
        <w:t xml:space="preserve"> (S.C.), at paras. 37 and 38, Mr. Justice Trainor, an experienced trial judge, set out a list of elements to be considered in assessing the credibility of a plaintiff in cases such as these. Among the elements identified by Justice Trainor were the following:</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reported the existence of the unidentified vehicle as soon as reasonably possible to the police or other persons in authority and to I.C.B.C.</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description of the unidentified motor vehicle given by the plaintiff was as specific as might reasonably be expected from the particular plaintiff in the circumstances.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testimony at trial is consistent with statements given to the police, doctors or medical attendants, family members, associated or other witnesses or to I.C.B.C.</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called witnesses to testify to whom statements were made or who might testify about the plaintiff's actions after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actions following the accident are consistent with those one might reasonably expect of a person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case, Mr. Jennings reported the existence of the unidentified vehicle as soon as reasonably possible to the police and to the Insurer. Mr. Jennings told drivers who stopped at the scene and the ambulance attendant - Mr. Simon - that a tractor-trailer unit had been involved and he attempted to make a report to police at the scene, but was prevented from doing so by the ambulance personnel who were concerned about his physical injuries. Mr. Jennings Sr. reported the involvement of a second vehicle to the Boston Bar RCMP Detachment on the day of the accident. Mr. Jennings Sr. reported the circumstances to the dial-a-claim adjuster by telephone and Mr. Jennings made a statement in person and in writing to an adjuster a few days after the accident. The evidence of Mr. Simon about Mr. Jennings' anger and his physical condition when assessed at the accident scene is consistent with what one might reasonably expect of a person in similar circumstances. I believe Mr. Jennings, and I accept his testimony about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conclude also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tractor-trailer unit who entered Mr. Jennings' lane of travel when it was unsafe to do so. That driver failed to see Mr. Jennings' vehicle when it was there to be seen, and changed lanes when it was unsafe to do so and without having signalled his intention to change lanes by activating his 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not persuaded that Mr. Jennings was negligent in failing to reduce his speed or brake earlier than he did, or in using or failing to cancel his cruise control. I am not persuaded that anything done by, or omitted to be done by Mr. Jennings made any difference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defendants introduced into evidence excerpts from the owner's manual issued by Toyota for the year and model of the truck driven by Mr. Jennings. In reference to the use of cruise control, the manual included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help maintain maximum control of your vehicle, do not use the cruise control when driving in heavy or varying traffic, or on slippery (rainy, icy or snow-covered) or winding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Jennings testified that although there was some light precipitation, the roadway was only damp. Counsel for the defendants points to the conclusion apparently reached by Constable Small that weather conditions contributed to the accident, but Constable Small did not testify and it is not clear what weather conditions he was referring to. There is no evidence that the road surface was "slippery". No expert opinion evidence was tendered from which I could conclude that the use of cruise control in the circumstances was a breach of the standard of care expected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is no expert opinion evidence from which I could conclude that had Mr. Jennings reduced his speed seconds earlier; or braked earlier; or cancelled his cruise control; or thought to honk his horn or activate his four way flashers; the accident would not have happened; and I am not persuaded I should draw such conclusions in the absence of evidence. The events culminating in Mr. Jennings' truck striking the hydro pole happened unexpectedly and quickly. Mr. Jennings did slow his vehicle using the deceleration feature of his cruise control; pulled to the far side of his lane; then onto the shoulder and finally into the ditch in an attempt to avoid a collision with the much larger vehicle that was crowding him off the road. He considered applying his brakes but in the agony of the moment believed he might worsen his situation by doing so. His decision was not unreasonable. I am not persuaded that the defendants have proved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Jennings.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turn now to the question of whether Mr. Jennings failed to make "all reasonable efforts" to ascertain the identity of the driver or owner of the tractor-trailer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 24(5)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Counsel provided the court with many authorities on this point. The authorities referred to include: </w:t>
      </w:r>
      <w:r>
        <w:rPr>
          <w:rFonts w:ascii="arial" w:eastAsia="arial" w:hAnsi="arial" w:cs="arial"/>
          <w:i/>
          <w:color w:val="000000"/>
          <w:sz w:val="20"/>
          <w:lang w:val="en-US" w:eastAsia="en-US" w:bidi="ar-SA"/>
        </w:rPr>
        <w:t>Leggett v. ICBC</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(1992), 18 B.C.A.C. 281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Mattu v. ICBC</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(1998), 52 B.C.L.R. (3d) 272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Cunningham v. Slubowski</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2003 BCSC 1979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 v. Slater</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2001 BCSC 1409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Nelson v. ICBC</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 v. ICBC</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 v. John Doe</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568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Palmer v. Alberta</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2005 ABQB 176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Stanley v. ICBC</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2004 BCSC 1697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Goncalves v. Doe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2010 BCSC 1241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Warder v. ICBC</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[1993] B.C.J. No. 644</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1993 CanLII 724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ICBC</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2007 BCPC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Hocaluk v. ICBC</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2007 BCSC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 v. ICBC</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 v. ICBC</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(1994) 93 B.C.L.R. (2d) 267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Dewart v. ICBC</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2005 BCSC 1293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cannot be said that reconciling all of these decisions is an easy task, but I must do the best I can. Several of the decisions cited involved plaintiffs who had refrained from recording the licence number of the other vehicle or obtaining the name of the other driver in circumstances in which they could easily have done so, or had neglected to even speak to available witnesses, including a person who was a passenger in the vehicle when the accident occurred. Some are cases in which the plaintiff failed to report the accident to the police, or the insurer, for weeks or even months. In some cases, the plaintiffs had provided inconsistent statements about how the accident happened, or had reported that the accident happened at a location other than the actual location. In other cases, expert testimony established that the accident could not have happened in the manner described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Ingram v. ICBC</w:t>
      </w:r>
      <w:r>
        <w:rPr>
          <w:rFonts w:ascii="arial" w:eastAsia="arial" w:hAnsi="arial" w:cs="arial"/>
          <w:color w:val="000000"/>
          <w:sz w:val="20"/>
          <w:lang w:val="en-US" w:eastAsia="en-US" w:bidi="ar-SA"/>
        </w:rPr>
        <w:t>, cited above, the Court of Appeal stated,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"not ascertainable" in s. 23(5) of the Act ("his identity is not ascertainable") have been held by this court to mean could not have been ascertained had the claimant made all reasonable efforts, having regard to the claimant's position, to discover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authorities appear to establish that a determination of what efforts are reasonable must be made with regard to the circumstances of each case, at the time that the accident happened, and in the following weeks and months. In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cited earlier, Mr. Justice Bernard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 proper determination of the efforts which might reasonably lead to discovering the identity of the unknown driver or owner must be made with due regard for the location where the collision occurred and the circumstances in which the collision occurred.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instant collision occurred along an undeveloped and sparsely populated stretch of the Trans-Canada highway where there are no pedestrians and where vehicles travel at speeds in excess of 100 km/h. A collision which occurs in such a location and circumstances is likely to be witnessed by relatively few people, if any. The speed at which the offending vehicle would be travelling would seriously hamper the ability to observe and note a licence plate number. The likelihood that a witness would recognize the driver or the car is minuscule. In the days following the collision, the task of locating any witnesses would be daunting. The highway serves many people from far-off places travelling considerable distances to an array of destinations. It would be a far-fetched exercise to post a notice at the accident scene or advertise in a local newspaper and there would be no-on to canvass.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majority of the authorities indicate that the assessment of the reasonableness of any actions the defendant submits the plaintiff could or should have taken must include consideration of the likelihood that the proposed action would or could have produced a favourable outcome. It would be incorrect, in my view, to conclude that the Legislature intend to impose on an insured the burden of actions that viewed objectively had such a remote prospect of success as to be merely "going through the motions" or an exercise in futility.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Some of the authorities say that an insured may not rely on the police to carry out an investigation; in other words, may not delegate to the police the duty that is imposed by the legislation on the insured. While I accept this proposition as I must, I am also of the view that where there is evidence that an insured has promptly reported to the police activity on the part of an unidentified driver that could constitute a criminal act; and the reasonable conclusion is that the police considered investigative efforts to identify the perpetrator would be futile, the court may take that evidence into account in assessing the nature of the efforts it is reasonable to require of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case, there were no pedestrians or other vehicles in the vicinity and the accident occurred on the Trans-Canada highway along a sparsely populated stretch of the road. There were no witnesses who could assist in identifying the driver of the tractor-trailer. It is true that Mr. Jennings failed to obtain the names of the passersby who stopped at the scene, but the evidence establishes that none of them were present when the accident happened and the first arrived approximately 15 minutes after the accident. I do not believe any of them could have assisted in identifying the driver or owner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nothing about the tractor-trailer unit that was likely to cause another driver on the Trans-Canada Highway to take note of it. Even if, as Mr. Jennings believed, there had been actual physical contact between the trailer and his truck, the minimal nature of the damage to his truck indicates it was unlikely the other vehicle would have had significant damage, or damage that would have been noticed by a passing motorist. Mr. Jennings had been unable to see any logos on the tractor or trailer and had no opportunity to see the vehicle's licence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the driver realized at the time that he had caused Mr. Jennings' vehicle to leave the roadway and collide with the hydro pole, it is reasonable to assume the driver intentionally left the scene. It is highly unlikely that he or she would respond to signs posted at the accident scene asking the driver to identify him or herself. If the driver did not realize he or she had been involved in an accident, it is equally unlikely that the driver would reply to such signs or newspaper advertisements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Realistically, the only prospect of detecting the driver of the other vehicle lay in immediate pursuit and/or police roadblocks set up as soon as the accident came to their attention. Mr. Jennings was prevented from reporting to the officers at the scene by the well-intentioned actions of the ambulance crew who reasonably believed the police would go to the hospital to speak to Mr. Jennings. Mr. Jennings was sedated and underwent surgery, so soon after arriving at hospital he was probably in no position to be interviewed in any event. Mr. Jennings' Sr. did speak to the Boston Bar RCMP officer within hours of the accident and he did tell police that a second vehicle had been involved. I conclude that the police thought there was so little prospect of identifying the perpetrator that they were not prepared to allocate police resources to the matter. Both Mr. Jennings and his father checked back with the police - I concede Mr. Jennings' main purpose in doing so may have been his missing sunglasses - but they checked nonetheless.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Jennings had no reason to believe that the information relayed to the Boston Bar Detachment about the involvement of a tractor-trailer unit would not be passed along to the Chilliwack Detachment, or that police would file a report and purport to reach conclusions about how the accident had happened without at least speaking to him by telephone. By the time that Mr. Jennings realized that the police report, on which the Insurer subsequently relied, was incomplete and inaccurate, several months had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Jennings Sr. made efforts to locate the tractor-trailer unit on his drive from Kamloops to Hope, and on his return journey, without success, and continued to watch for vehicles matching the description provided by his son during journeys made on the highway during the time period that it was most likely that the vehicle would still be in this part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accident and the involvement of a second driver were reported to the Insurer promptly. Ignorance of the law is no defence, and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impose on the Insurer a positive obligation to tell a claimant about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However, Mr. Jennings was given no reason to believe, in any of his interactions with representatives of the Insurer that what he had reported to the Insurer would be challenged, or that he had should be making efforts to locate the other driver. To the contrary, he was led to believe that what he said had been accepted. He was reimbursed for the damage to his vehicle and for his medical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Mr. Jennings did make all efforts that were reasonable, in the circumstances of this case, to identify the driver of the tractor-trailer unit. I am persuaded that the identities of the unknown driver and owner are not ascertainable. Mr. Jennings is entitled to an order that the defendants, including the defendant Insurer, are liable for any damages payable to the plaintiff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Jennings is also entitled to the costs of this action,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Johns v. Friesen, [2011] B.C.J. No. 2389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S18843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James Johns, Plaintiff, and Allen Grant Friesen and Honk.Ca Automotive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Speed — Action by passenger in truck involved in single vehicle accident seeking damages from driver and owner dismissed — Truck hit patch of black ice, driver lost control and truck hit centre median, injuring plaintiff — No evidence driver going excessively fast for conditions — Lack of other accidents in area not determinative — Accident not attributable to anyone — Reflex action in hitting brake not sufficient basis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passenger in truck involved in single vehicle accident seeking damages from driver and owner dismissed — Truck hit patch of black ice, driver lost control and truck hit centre median, injuring plaintiff — No evidence driver going excessively fast for conditions — Lack of other accidents in area not determinative — Accident not attributable to anyone — Reflex action in hitting brake not sufficient basis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4"/>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Johns seeking damages for personal injuries sustained in a motor vehicle accident from Friesen, the driver of the truck involved, and Honk.ca, the truck's owner. Johns and Friesen worked together at a construction site. They had traveled from the trailer they shared to the construction site the day before the accident without incident. On the day of the accident, December 19, the pair was awoken by a call from a co-worker whose truck had broken down on the way to work. The co-worker asked Friesen to come pick him up. Friesen and Johns left the trailer 10 minutes later. Johns said they were in a hurry but Friesen denied this because they had plenty of time to pick up their co-worker and get to work on time. The temperature was about or below freezing. It was not snowing. Johns recalled glancing at the truck's speedometer and noting Friesen was driving between 85 and 90 kph shortly before the accident. It took place on a curve under an overpass. Friesen testified the truck's traction was good and that he was speeding up when he saw a shiny patch on the road ahead. He mistakenly hit his truck's brakes; with the result he lost control of the truck. The truck struck the centre median of the highway, rode up on its side, and righted itself, facing the opposite direction on the highway. Johns sustained a shoulder injury requiring surgery, and other injuries to his neck and hand. Friesen hit his head on the window. The police officer who attended the scene noted there was black ice there. In his report, he attributed the accident to Friesen driving too fast for the conditions. He did not charge Friesen.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2"/>
            <w:bookmarkEnd w:id="11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did not accept that Friesen was in a hurry, nor that he was speeding at the time of the accident. The fact no other vehicles had problems in the area was not determinative of Friesen's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 evidence the road conditions had been slippery in the days leading up to the accident, when the parties travelled the same road together. The accident was not attributable to anyone. Friesen was well rested, driving a sound vehicle at a reasonable rate of speed in generally good driving conditions. His reflex action in hitting the brake could not be the sole foundation for a successful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Counsel_17"/>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Thornton.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A.R. Ayliffe.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7"/>
      <w:bookmarkEnd w:id="116"/>
      <w:r>
        <w:pict>
          <v:line id="_x0000_s1112" style="position:absolute;z-index:2517790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corrigedum was released by the Court June 14, 2012;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D. KLOEGMAN J."/>
            <w:bookmarkEnd w:id="117"/>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19, 2007, the defendants' 2008 GMC Sierra pickup truck (the "Truck") skidded out of control and struck the center median of Highway 5 northbound outside of Merritt. It then rode up on its side and righted itself, facing the opposite direction on the highway. No other vehicle was involved in the accident. The plaintiff, who was a passenger in the Truck, suffered injuries to his left shoulder, requiring surgery, and other injuries to his neck and right hand. The defendant Friesen, who was driving the Truck, hit his head on the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on the quantum of damages suffered by the plaintiff, but the defendants dispute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pleads that the defendant Friesen was negligent and in particular, drove with excessive speed, given the ice on the highway that the plaintiff says that the defendant Friesen knew or ought to have known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plead that the defendant Friesen was not negligent, or alternatively, that the accident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defendant Friesen, and Constable Rioux (who attended the accident site) all testified and appeared credible. They did not exhibit much disagreement as to what they had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is not a case of </w:t>
      </w:r>
      <w:r>
        <w:rPr>
          <w:rFonts w:ascii="arial" w:eastAsia="arial" w:hAnsi="arial" w:cs="arial"/>
          <w:i/>
          <w:color w:val="000000"/>
          <w:sz w:val="20"/>
          <w:lang w:val="en-US" w:eastAsia="en-US" w:bidi="ar-SA"/>
        </w:rPr>
        <w:t>res ipsa loquitor</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instructs us that the applicability of the doctrine of </w:t>
      </w:r>
      <w:r>
        <w:rPr>
          <w:rFonts w:ascii="arial" w:eastAsia="arial" w:hAnsi="arial" w:cs="arial"/>
          <w:i/>
          <w:color w:val="000000"/>
          <w:sz w:val="20"/>
          <w:lang w:val="en-US" w:eastAsia="en-US" w:bidi="ar-SA"/>
        </w:rPr>
        <w:t>res ipsa loquitor</w:t>
      </w:r>
      <w:r>
        <w:rPr>
          <w:rFonts w:ascii="arial" w:eastAsia="arial" w:hAnsi="arial" w:cs="arial"/>
          <w:color w:val="000000"/>
          <w:sz w:val="20"/>
          <w:lang w:val="en-US" w:eastAsia="en-US" w:bidi="ar-SA"/>
        </w:rPr>
        <w:t xml:space="preserve"> should be treated as having expired. In any event, the use of this doctrine was always restricted to cases where the reason for the accident was unknown, and the circumstantial evidence provided no other reasonable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case at bar, there is both direct and circumstantial evidence establishing the cause of the accident. Both occupants of the Truck survived the accident and were able to testify about the exact moment that the Truck skidded out of control. Constable Rioux was able to corroborate the cause of the skid as being due to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bears the burden of showing on a balance of probabilities that the defendant Friesen breached the standard of care of a prudent driver in the circumstances and that this breach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and defendant Friesen were staying in a travel trailer owned by the defendant Friesen's son on the south-west side of Merritt. They were workmates on a construction site north-east of Merritt. The day before the accident, December 18, they had driven together in the Truck from Chilliwack to the construction site without mishap. The plaintiff testified that the side roads were a little bit icy but he did not recall if there was ice at the construction site. The defendant Friesen testified that the roads were bare and the traction was good, although there was snow on the sides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end of the day on the 18th, they travelled from the construction site to the trailer. The defendant Friesen testified that the roads were still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evening, they went to the plaintiff's mother's place in Merritt for dinner. The plaintiff testified that he did not notice slipping or difficulty with traction or any snow or rain, but he remembered frost on the Truck later in the evening. The defendant Friesen testified that the weather was cool but clear, and the roads were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defendant Friesen retired to bed on December 18 at about 10:30 p.m. and were woken at 6:00 o'clock the next morning by a telephone call from a co-worker whose truck had broken down on Highway 5 between Merritt and Kamloops. The co-worker made no mention of the weather or road conditions. He asked the defendant Friesen to pick him up and take him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and defendant Friesen left the trailer about 10 minutes later. The plaintiff testified that they were in a hurry, and left without showering or eating breakfast. The defendant Friesen testified that he was not in a rush because he knew they had plenty of time to pick up their co-worker and still get to the construction site by 8:00 o'clock a.m. in order to start work on time. On cross-examination, the plaintiff agreed that there was adequate time to do this and still drive at a reasonable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when they got in the Truck that morning it was dark and cold, with the temperature hovering about zero. There was snow here and there. The Truck had been running for 5 or 10 minutes so there was no ice on the windows, but there was frost on the body. It was not slippery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Friesen testified that he did not know for sure what the temperature was, but agreed it was probably about zero. Constable Rioux assumed the temperature was below freezing because of the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drove through Merritt to Highway 97C and took the Highway 5A overpass to the Highway 5 connection travelling north. It was not snowing, and the plaintiff could not recall any slipping, or feeling uncomfortable with the defendant Friesen's driving. The plaintiff recalled picking up speed to get onto Highway 5. They caught up to another vehicle before it exited the highway. He glanced at the speedometer and recalled it being 85 to 90 kilometers per hour. The posted speed limit was 110 kilometers per hour. The plaintiff could not recall if the defendant Friesen accelerated after the plaintiff noted the speedometer.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said from the point where the other vehicle exited, the road curved right and under an overpass. That is where the Truck went out of control and hit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Friesen testified that the traction on the road was good, right through to the overpass on Highway 5. The roads were wet-looking, but bare. The temperature in the Truck was +1 degree Centigrade. The on-ramp to Highway 5 had good traction and it looked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Friesen said there was this "real shiny spot" about 50 feet away just as they went under the overpass. He had started to accelerate, then all of a sudden he saw the shiny spot and made the mistake of hitting the brake to slow down, causing the Truck to spin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trial, the defendant Friesen insisted that he had just started to give the Truck some throttle when he saw the shiny patch. He said he told Constable Rioux he had "just started to accelerate," when he saw the shiny patch. Constable Rioux had noted that he was told by both the defendant Friesen and the plaintiff that it was when the driver "started to accelerate the ... back end took off and they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examination in chief, the defendant Friesen estimated that they were travelling about 85 kilometers per hour at the time he hit the ice. In his examination for discovery, he had estimated 90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Rioux refreshed his memory of the accident site from notes and a report that he made within 20 minutes of attending at the scene. He said there was some white ice on Highway 5 travelling south, but he did not drive in the northerly direction from which the Truck had travelled. He said the defendant Friesen had hit a patch of black ice that you could not tell was there unless you felt it. He did not notice the ice until he got out of his car; then he noticed it was slippery underfoot. He could not recall any slippery sections or loss of traction on his trip to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Constable Rioux noted in his report that a contributing factor to the accident was "driving too fast for conditions." However, he did not charge the defendant Friesen and he admitted on cross-examination that the bend in the roadway immediately before the overpass could easily be taken going at 110 kilometers per hour, depending on the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Truck was in excellent condition. It was only two weeks old and the all-season tire treads were one inch deep. The Truck was loaded with a large, full fuel tank weighing about 250 pounds and other equipment weighing about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Friesen was in excellent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submits that the defendant Friesen was negligent because he was driving too fast for the significant possibility of ice on the road; and furthermore he braked when an experienced driver such as himself should have known this would compound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relies on the following facts to establish excessive speed in the circumstances: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Friesen was in a hurry to pick up their co-worker and get back to the construction site;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Friesen picked up speed on entering Highway 5 and caught up to another vehicle;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Friesen was travelling 85-90 kilometers per hour at this point;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Friesen accelerated as he proceeded under the overpass;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Friesen did not recall the snow and ice shown in Constable Rioux's photographs;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vehicles going north on Highway 5 appeared to have traction problems;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Rioux stated in his report that the defendant Friesen was driving too fast for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some of the above facts were not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Firstly, I do not find that the defendant Friesen was in a hurry. The plaintiff admitted that they had ample time to pick up their co-worker. They had left the trailer one hour earlier than usual and knew the route they were travelling. The defendant Friesen denied that he felt rushed.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Secondly, the best evidence of speed is that the defendant Friesen had slowed down for another vehicle to exit the Highway and then only started to accelerate before he hit the ice. I find on a balance of probabilities that the Truck was probably travelling at least 20 kilometers below the posted speed limit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Thirdly, I must be careful in interpreting the white patches in the photographs taken by Constable Rioux as ice and snow. There was no evidence before me on the type of camera, or lens, or exposure, or light used to take the photographs. Constable Rioux admitted at one point that there was some over-exposure lending a whiteness to some of the photos that appeared to be snow but was probably just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Fourthly, the lack of other vehicles slipping on the same patch of ice is not conclusive. The plaintiff relies on a statement by Finch J.A. in </w:t>
      </w:r>
      <w:r>
        <w:rPr>
          <w:rFonts w:ascii="arial" w:eastAsia="arial" w:hAnsi="arial" w:cs="arial"/>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77 B.C.A.C. 98</w:t>
        </w:r>
      </w:hyperlink>
      <w:r>
        <w:rPr>
          <w:rFonts w:ascii="arial" w:eastAsia="arial" w:hAnsi="arial" w:cs="arial"/>
          <w:color w:val="000000"/>
          <w:sz w:val="20"/>
          <w:lang w:val="en-US" w:eastAsia="en-US" w:bidi="ar-SA"/>
        </w:rPr>
        <w:t xml:space="preserve">, regarding the strength of evidence of other motorists successfully negotiating a road hazard. However, </w:t>
      </w:r>
      <w:r>
        <w:rPr>
          <w:rFonts w:ascii="arial" w:eastAsia="arial" w:hAnsi="arial" w:cs="arial"/>
          <w:i/>
          <w:color w:val="000000"/>
          <w:sz w:val="20"/>
          <w:lang w:val="en-US" w:eastAsia="en-US" w:bidi="ar-SA"/>
        </w:rPr>
        <w:t>Savinkoff</w:t>
      </w:r>
      <w:r>
        <w:rPr>
          <w:rFonts w:ascii="arial" w:eastAsia="arial" w:hAnsi="arial" w:cs="arial"/>
          <w:color w:val="000000"/>
          <w:sz w:val="20"/>
          <w:lang w:val="en-US" w:eastAsia="en-US" w:bidi="ar-SA"/>
        </w:rPr>
        <w:t xml:space="preserve"> was not a case of invisible black ice, rather it concerned a very visible prior accident site that the defendant in </w:t>
      </w:r>
      <w:r>
        <w:rPr>
          <w:rFonts w:ascii="arial" w:eastAsia="arial" w:hAnsi="arial" w:cs="arial"/>
          <w:i/>
          <w:color w:val="000000"/>
          <w:sz w:val="20"/>
          <w:lang w:val="en-US" w:eastAsia="en-US" w:bidi="ar-SA"/>
        </w:rPr>
        <w:t>Savinkoff</w:t>
      </w:r>
      <w:r>
        <w:rPr>
          <w:rFonts w:ascii="arial" w:eastAsia="arial" w:hAnsi="arial" w:cs="arial"/>
          <w:color w:val="000000"/>
          <w:sz w:val="20"/>
          <w:lang w:val="en-US" w:eastAsia="en-US" w:bidi="ar-SA"/>
        </w:rPr>
        <w:t xml:space="preserve"> crashed into. More importantly, the defendant in </w:t>
      </w:r>
      <w:r>
        <w:rPr>
          <w:rFonts w:ascii="arial" w:eastAsia="arial" w:hAnsi="arial" w:cs="arial"/>
          <w:i/>
          <w:color w:val="000000"/>
          <w:sz w:val="20"/>
          <w:lang w:val="en-US" w:eastAsia="en-US" w:bidi="ar-SA"/>
        </w:rPr>
        <w:t>Savinkoff</w:t>
      </w:r>
      <w:r>
        <w:rPr>
          <w:rFonts w:ascii="arial" w:eastAsia="arial" w:hAnsi="arial" w:cs="arial"/>
          <w:color w:val="000000"/>
          <w:sz w:val="20"/>
          <w:lang w:val="en-US" w:eastAsia="en-US" w:bidi="ar-SA"/>
        </w:rPr>
        <w:t xml:space="preserve"> admitted to being aware of slippery conditions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case before me, there was no evidence of slippery conditions existing along the route travelled by the parties that morning, or the evening or day before. Both counsel covered this carefully with all three witnesses, and the first indication of slippery road surface was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I can give only little weight to Constable Rioux's opinion that the defendant Friesen's speed was excessive in the circumstances. He did not charge the defendant Friesen with an infraction and there was no evidence before me to establish at what lower speed, if any, the Truck could have negotiated the ice patch without losing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opinion, this was an unfortunate case of accident that is not attributable to anyone. There is an insufficient evidentiary basis to find that the defendant Friesen was driving below the standard of care of a reasonable, prudent driver. In fact, the evidence established that although it was winter, the driving conditions were good. The Truck and tires were in new and excellent condition. The plaintiff and defendant Friesen were both well-rested. The road conditions were good the day before and that morning, both through Merritt and on the highway. There had been no warnings from any source of black ice. The black ice was invisible, and the defendant Friesen was driving at least 20 kilometers per hour below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standard of care of a driver in these circumstances is not one of perfection: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 The defendant Friesen admitted that he should not have braked, but braking in such a situation is an automatic reflex to try and regain control of a skidding vehicle. The plaintiff did not suggest that this automatic reaction of the defendant Friesen could be the sole foundation for a successful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conclusion, I dismiss the plaintiff's case as having failed to show on a balance of probabilities that the defendant was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D. KLOEGMAN J.:-- Paragraph 37 of my reasons for judgment released 12 December 2011 (2011 BCSC 1694), is corrected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conclusion, I dismiss the plaintiff's case as having failed to show on a balance of probabilities that the defendant was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Lee v. Phan, [2013] B.C.J. No. 1578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15-19 and July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M102078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2013 BCSC 1284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47 M.V.R. (6th) 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2013 CarswellBC 2187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Mei Lee, Plaintiff, and Thanh Thien Phan,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7"/>
      <w:bookmarkEnd w:id="11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Pedestrians — Motor vehicles — Liability of driver — Pedestrians — Action by plaintiff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resulting from motor vehicle accident allowed — Proceeding restricted to liability — Defendant struck pedestrian plaintiff on snowy evening — Plaintiff in parking lane of road — Defendant was negligent — He erroneously thought plaintiff about to jaywalk in front of him, wrongly believed he should never apply brakes in icy conditions and turned vehicle into snowbank striking plaintiff — Plaintiff not contributorily negligent — She was not in place that posed hazard or obstruction to traffic, was wearing white coat, faced oncoming traffic and did not have realistic opportunity to avoid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5"/>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from a motor vehicle accident. The proceeding was restricted to the issue of liability. The defendant motorist struck the plaintiff who was a pedestrian standing in the parking lane of the road on which the defendant was travelling. There were snowy and icy conditions on the evening of the accident. The defendant alleged that the plaintiff was about to jaywalk in front of his vehicle. He understood that he should not use his brakes in icy conditions and instead drove his vehicle into a snowbank which resulted in the collision with the plaintiff. The defendant argued that the plaintiff was contributorily negligent by being on the road when the accident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3"/>
            <w:bookmarkEnd w:id="120"/>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negligent and entirely responsible for the accident. The evidence established that the plaintiff was not about to jaywalk in front of the defendant's car immediately preceding the accident. The accident was caused by the defendant's mistaken belief about the plaintiff's jaywalking, his erroneous understanding that brakes should never be applied in icy conditions and his decision to turn into a snowbank rather than applying the car's brakes. None of the contributory negligent factors for instances where pedestrians were walking on non-travelled portions of roads were present. The plaintiff was not in a place that posed a hazard or obstruction to traffic, she was wearing white coat, correctly faced oncoming traffic and did not have a realistic opportunity to avoid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Counsel_18"/>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Marcoux, E.A.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Neumann.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8"/>
      <w:bookmarkEnd w:id="122"/>
      <w:r>
        <w:pict>
          <v:line id="_x0000_s1116"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M.B. BLOK J."/>
            <w:bookmarkEnd w:id="123"/>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Mei Lee was injured in a car-pedestrian accident that took place on December 29, 2008. Ms. Lee was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of liability and damages were severed by order made December 21, 2012 and a trial proceeded on liability alone. These reasons for judgment address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Wintery conditions played a significant part in the events giving rise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Mei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Lee, who is currently 52 years old, is originally from China but she immigrated to Canada in 1986. She gave her testimony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in the 1300-block of Renfrew Street in Vancouver. At that time Ms. Lee lived on nearby Kitchener Street. She drove home from work and, while she usually parked her car in the garage of her house, the accumulation of snow prevented access and so she drove north along Renfrew Street to find a place to park. As she proceeded along Renfrew she saw a parking spot across the street, so she turned into Charles Street, turned around, and proceeded slowly southbound on Renfrew, retracing her route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Lee said that the roads generally were snow-covered, and Renfrew in particular was covered with snow, with only one lane available for travel in each direction. Renfrew Street normally has two lanes of travel in each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Lee said that she parallel parked in the available spot, but it took several attempts because her car was hitting the snowbank next to the curb. Once parked, there were vehicles parked both ahead of her vehicle and behind it and there were piles of snow around the vehicles. Ms. Lee went to get her groceries out of the trunk, but because she could not get access to the rear of her car she instead accessed the trunk from the corner of her vehicle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Lee said that it was her intention to go to the sidewalk directly from the rear of her vehicle, but the pile of snow that was in between prevented her from doing so. There was even more snow to the south of her car (that is, in the direction she intended to go) so she headed the other way, carrying two bags of groceries. She said she was wearing dark, jean-type pants and dark shoes, and later evidence established that she was wearing a white-coloured jacket with a 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Lee walked northbound past the vehicle that was parked behind hers. She was focused on finding a spot to gain access to the sidewalk.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I saw lights, lights that were shining right at me, and I also heard noises, noises so loud, and before I knew it this car was right there and hit me, right in front of me. What happened was I ended up in the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cross-examination she agreed that there was no car parked behind the vehicle immediately behind hers, but she said she could not access the sidewalk even at that point because of the pile of snow. She said that as she walked northbound from her car she was no more than an arm's length out from the rearward vehicle as she passed it, but she did not continue in a straight line and was instead walking on a pile of snow in the parking lane. She had walked one to one and a half "house lengths" from her car before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it was suggested to her that she had time to take one or two steps to get out of the way of the oncoming car, Ms. Lee said that she had one foot on top of the snow but the other one was buried in the snow and she could not move that foot. She denied that she tripped or fell, maintaining that she was struck by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acknowledged that the accident location was in between two street lights, but said that she could see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Lee said that her leg ended up under one of the wheels of the car that struck her. She said that the driver of the vehicle got out of the car, had a look and then went back inside his car. She thought he was going to drive away, and that she was going to die, so she called at him to stop, and he did. He then tried to pull her leg out from under the tire. Ms. Lee was able to make a phone call to her sister, telling her what had happened and indicating she thought she "wasn't going to make it". Ms. Lee said she did not recall how her leg was eventually freed from under the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Lee firmly denied the suggestion that she had, at any time, an intention to jaywalk across Renfrew Street.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Thanh Thien Phan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Phan, who was 42 or 43 at the time of trial, is originally from Vietnam. He immigrated to Canada in 1992. He has taken some courses in English language training, and he can read English a little bit, but he gave his evidence at trial through an interpreter. He works as a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evening in question he had worked from 3 to 9 p.m. at the bakery and was on his way home. He was driving a 1990 Toyota Camry, which he had owned for two years, and the car was in good condition. It had recently been fitted with new tires and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drove home by his usual route, which took him from Main Street, then west on Hastings Street, and then a right turn onto Renfrew. His usual route then takes him to 1st Avenue. Had there been any problem with this route due to snow or ice he would have taken an alternate one. He knew to be extra careful when driving because he had heard on the radio that the snowfall was the third heaviest in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Phan said that the conditions on Renfrew were "normal" until close to the accident site. He said he maintained a speed of 30 to 40 km/h on Renfrew to the point that the road started going slightly uphill. On the right he saw a shadow moving, 10 metres away from his car. He said he was not sure if the person was on the sidewalk or on the road because there was a lot of snow. In discovery admissions read in at trial Mr. Phan said that the pedestrian was on the snowbank.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Phan said that he then glanced at his speedometer and looked at the clock. The clock indicated 9:20 p.m. and the speedometer indicated that his speed was 40 km/h. He then tapped on the brakes lightly because he was not sure what the pedestrian's intention was. It seemed to Mr. Phan that the pedestrian was proceeding to the east side and so Mr. Phan thought that she was trying to cross Renfrew.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he tapped the brakes they did not help at all, so he knew that there was ice. He then glanced to the left side of the road and saw some cars coming the opposite way. He then saw that there were no cars parked on the right-hand side so he took his foot off the brake pedal, turned on his emergency lights, honked the horn, and steered the car into the snowbank on the right hand side. His car ended up with the front about a metre and a half from the curb at an angle of 60 degrees compared to road, with a snowbank at the front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Phan said it was the snowbank that stopped his car. The snowbank was one to three feet high and higher than the height of his car's bumper. Asked when he last saw the shadow that was the pedestrian, he said he did not pay attention to the shadow anymore, as he just tried to control his car and steer it into the snowbank. Mr. Phan said that as he went over the snow his car made a loud noise. His car ended up being stuck in the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street lights in the area but they were not very bright, and the pedestrian was not wearing anything that separated her from the darkness. It was only later that he saw that the pedestrian was a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his car stopped he opened the door, got out, took two or three steps and looked to the front. He saw a woman about 55 years old wearing very thick glasses, a white coloured jacket with a hood, hair covering her eyes, and wearing a big pair of shoes with fur. She was lying in the snow. Her eyes were closed and she was "shaking a little bit". He did not try to communicate with her. Instead, he ran out into the street trying to flag down other cars for help. The police arrived and five minutes later an ambulance came on the scene. Mr. Phan said that when the police attended, one of the officers slipped and fell on the icy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Phan denied that his car hit the pedestrian at any point. He said that he was confident in saying that because there was no sound of an impact, when he stopped he saw that the woman's body was still three or four feet away from his car, and if he had hit her he would have heard her "yelling or something", which he did not hear. He also said that there was no damage to his vehicle as a result of this accident. He said that he did not move his car until everyone else had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Mr. Phan agreed that he never lost control of his vehicle. He said that after he tapped on the brakes and realized that the road was icy, he took his foot off the brake pedal and used the steering wheel to steer into the snowbank. He said that his car "zigzagged" in response to his tapping of the brakes. When this happened he turned on his warning flashers and then he honked his horn three or four times. Asked at what point he looked at his speedometer, he said that it was at the point that he was 10 metres away from the pedestrian. Asked what the pedestrian was doing during this time, he said that he did not pay attention to that. He said, however, that from the time he looked at the speedometer to the time of impact he thought that about 15 seconds elapsed, over a distance of perhaps 8 to 10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Phan agreed that he never saw the pedestrian take any step away from the snowbank, saying that when he first saw her he did not know what she was doing, so he focused on controlling his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Lee's nephew, Tyler Tsui and her son, Calvin Chan, also gave evidence. Both are university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that time, Mr. Tsui resided at the same address as his aunt and his own mother. On the evening in question his mother received a call that his aunt had been hit by a car, close to their home. Mr. Tsui and his mother ran outside to Renfrew Street looking for the accident site. Eventually they found it when an ambulance pulled up. They then crossed Renfrew Street at Charles Street. Mr. Tsui said that they did not cross mid-block because there was too much snow piled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site he saw his aunt lying on her back, parallel to the curb, with her feet facing north. He yelled at her in Cantonese, but she did not respond and seemed unconscious. His aunt was on a snowbank. Mr. Tsui described the snowbank as being approximately up to his knees in height, although at some points it was up to his mid-thigh. At its lowest it was up to his shin. He said the snowbank became higher toward the curb. The snowbank encompassed the entire parking lane and "spilled a bit" into the driving lane. His aunt was lying approximately in the middle of the parking lane. He said the road conditions were slightly icy, but it was not too bad and of the three or four vehicles he saw travelling on Renfrew he did not see any that seemed to be having any control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Chan, Ms. Lee's son, did not attend at the accident scene (he was not home at the time) but went to see his mother at Vancouver General Hospital as soon as he heard about the accident. He saw her strapped in a bed wearing a neck brace, and barely communicating either to him or to the nurses. A nurse pointed out his mother's injuries, and he saw that her legs were swollen and red, with horizontal marks and redness just below her knee on her right leg. He had not observed those marks on her leg prior to that night. On discharge from hospital his mother had difficulty walking and she had not had any walking difficulties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Chan took a photograph of the accident scene around mid-morning the next day. I will comment on this photograph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police officer, Constable Sommerville, testified as part of the defence case. At that time of trial he had been with the Vancouver Police Department for nine years. In preparation for his testimony he reviewed the documents on file that related to the December 29, 2008 accident. Asked if he had a specific recollection other than what he had read in the file, he said his recollection was limited to "just how bad the road conditions were." He said that they had noticed how slick and unpredictable that stretch of Renfrew was, from Hastings Street to 1st Avenue, the slipperiness occurring in patches. As a result of their observations they had just called their dispatch in order to ask for a city crew to come out. Cst. Sommerville thought that this had taken place about 10 minutes prior to receiving the call for the subject accident, which call came at about 9:40 p.m. Cst. Sommerville said that "we had driven it and were all over the road and that it was probably the worst or one of the worst I had seen in nine years, because of the unpredictability." He noted as well that there is modest slope on that part of Renfrew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he and his partner arrived they saw a vehicle ahead of them that was angled toward the curb. He described the scene as being "really dark and really slippery." He said that his partner almost fell when he got out of the police car. He was unable to make any observations of the victim because she was already in the back of the ambulance and the ambulance was just leaving. The car that had been involved in the incident was located in the parking lane. He said that snowplows had pushed up clumps of snow on an intermittent basis, some probably knee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Cst. Sommerville agreed that he made a record that the car driver told him he had been travelling 40 to 50 km/h.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parties led evidence from accident reconstruction engineers as to stopping times and distances and related subjects. I will refer to some of the aspects of the expert evidence in my analysis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submitted that the accident occurred because Mr. Phan was inexperienced with driving in winter conditions and he either lost control of his vehicle or he intentionally directed it off the road and into Ms. Lee. Mr. Phan's admission to the police officer that he was travelling at 40 to 50 km/h shows that he was proceeding at a speed suitable for clear conditions, not those where snow and ice are prevalent. Ms. Lee was off the road, in a place of safety, and nothing she did was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submitted that the first question to be answered is whether the defendant's car struck the plaintiff at all or whether she merely fell in the snow of her own accord. She was probably intending to jaywalk, and even if she did not have that intention, her presence on the road was negligent and dangerous. The conditions were treacherous, and Mr. Phan's decision to stop his car by driving into a snowbank was a reasonable one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event that the Court might find that there had, in fact, been a collision, the defendant submitted that fault ought to be attributed solely or predominantly to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Both parties made submissions that were critical of the credibility of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begin by making a few credibility observations. Both parties gave evidence through interpreters and this created problems for counsel, for the court and for the witnesses themselves, more so than in other cases involving interpreted testimony. Because of these problems I have given generous latitude to each of the parties in assessing their credibility. I found each of the parties to be honest, giving their accounts of the events as they perceived and remembered them. Just how accurate were these perceptions and recollections is the real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says that the first question to be answered is whether there was a collision at all. He says that there was no collision because: (1) there was no damage to the defendant's vehicle; (2) when he got out to look he saw the plaintiff to be three or four feet away from his car; (3) there was no evidence from any other witness that the plaintiff's leg was pinned under the tire, or that his car was moved to free her; and (4) there was no expert evidence or photographs of the injuries said to have been caused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it is more likely than not that the plaintiff was struck by the defendant's vehicle. My reasons for this conclusion are as follows: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Lee said that she was struck by Mr. Phan's car. While Mr. Phan said he did not strike her with his car, he also said that he did not pay attention to "the shadow" once he was heading towards the snowbank. He also said that he did not see her fall. His observations of the event were therefore limited;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that the lack of an impact sound or lack of damage to Mr. Phan's car is at all conclusive on this point. As to the latter, I do not see that the lack of vehicle damage means that there cannot have been an impact of any sort. As to the former, Mr. Phan himself testified that his car was making a loud noise as it travelled over the snow, and Ms. Lee testified to the same effect. I acknowledge that Mr. Phan testified that "when my car smash in the snow the sound is different with the car hitting a person", but I find this evidence very difficult to accept;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Ms. Lee's son, observed horizontal marks and redness on his mother's right leg, just under the knee, when he saw her in hospital. While the defendant made much of the fact that no photographs were taken of these injuries, I do not see that this detracts from Mr. Chan's evidence,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recognize that there is a divergence in the evidence of the plaintiff and defendant as to whether the plaintiff's leg was under the wheel or whether she was some three to four feet away from the car. This difference is irreconcilable on the evidence before me, although by way of possible explanation I would note that the evidence also suggests that both witnesses were in considerable distress at the time, with Ms. Lee thinking she was going to die and then seemingly becoming unconscious, and Mr. Phan running off to try to flag down help from a passing car without making any attempt to communicate with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to Mr. Phan's evidence that he did not move his car so as to free Ms. Lee's leg, Mr. Phan also testified that Ms. Lee was in the snow for about 30 minutes, during which time people attended to her, and he observed her for just 10 minutes of that time. What might have been done by others during this time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any event, the divergence in this evidence does not detract from Mr. Chan's evidence of horizontal marks on his mother's right leg, which corroborates Ms. Lee's evidence that she was struck by Mr. Phan's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Another area of testimonial difficulty was Mr. Phan's description of his activities between the time he saw the shadow that was Ms. Lee and the time his vehicle came to rest. Mr. Phan said he saw the shadow when it was 10 metres away from his car. After that moment, Mr. Phan: (1) glanced at his speedometer; (2) looked at the clock; (3) tapped his brakes; (4) determined that the road was icy; (5) looked to his left to see that there was oncoming traffic, then saw that there were no cars parked on the right; (6) steered his car to the right; (7) turned on his warning flashers; and (8) honked his horn three or four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a speed of 40 km/h a vehicle traverses 11.11 metres in one second. According to the evidence of Mr. Cliff, the defence engineer, at that speed the stopping distance on an icy surface, using cyclical braking, is 79.6 metres and the total stopping time would be 9.5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difficult to know what to make of Mr. Phan's evidence on this point. The number of tasks he said he completed seems unlikely enough as it is, but it is simply impossible that he could have accomplished these in the time available if his distance estimate of 10 metres is at all accurate. But as with the earlier evidentiary point, I find it unnecessary to resolve it. What is apparent from the evidence is that Mr. Phan saw a pedestrian, thought that the pedestrian was about to cross Renfrew Street and so he steered his car to the right, into a snowbank where, as I find, he struck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also apparent from the evidence that Mr. Phan directed his car off the road because he was under the impression that a driver should never apply brakes on a slippery or icy road. In admissions read in from his examination for discovery Mr. Phan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back up a bit. In your own words tell me how the accident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time when I was driving and then the road condition became more, like, slippery. At the time about 10 metre ahead and I look on the right side, I saw the movement of a person that -- this lady, and then she was, like, moving. And then she stopped and then my reaction that time that I would supposed to, like, direct my vehicle to -- towards the snow bank to make it stop. That two reason. First I didn't want because that slippery section my vehicle hit another vehicle. And secondly, that I did not know that object, you know, that person, she would cross the street. And then that -- I tried to manoeuvre to find a way to stop my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just stop there and back up a bit. Now, you indicated that you saw a movement of a person when you looked to the right side. Where did you see this movement?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at the time. I just try to make my vehicle stop.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didn't you just hit your brakes to see if you could stop?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 slippery road and then I can't, like, apply brakes.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at the time decided to turn your vehicle towards the right in an attempt to stop your vehicle in the snow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on the left side there was oncoming vehicle, oncoming traffic, and then on the right side it was snow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this a manoeuvre that you have some training or have experience using to stop your vehicle with a snow bank in that particular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for any vehicle when it's slippery, like icy road, you can never apply brake.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Ms. Lee did not attempt to jaywalk across Renfrew Street, nor did she intend to do so. There was no evidence to support this other than Mr. Phan's impression that this is what "the shadow" seemed to be about to do. I conclude that Mr. Phan's impression was an erroneous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made much of Ms. Lee's walking route, which he described as "bizarre". The defendant also described the driving route Ms. Lee took to find a parking spot as "circuitous, if not somewhat bizarre". As to the latter, I find nothing illogical, much less bizarre, about Ms. Lee identifying and then driving to a parking spot on the other side of Renfrew after having seen that the access to her own garage was impeded by snow. As to her walking route, while it is true that she was walking north, away from her home and away from a pedestrian-controlled light on Renfrew at Kitchener, she said she felt that walking south was more dangerous so she walked the other way, looking for a way through the snowbank in order to access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Walking in a direction that was facing the traffic was the safer option: see </w:t>
      </w:r>
      <w:r>
        <w:rPr>
          <w:rFonts w:ascii="arial" w:eastAsia="arial" w:hAnsi="arial" w:cs="arial"/>
          <w:i/>
          <w:color w:val="000000"/>
          <w:sz w:val="20"/>
          <w:lang w:val="en-US" w:eastAsia="en-US" w:bidi="ar-SA"/>
        </w:rPr>
        <w:t>Christie v. I.C.B.C.</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(1993), 79 B.C.L.R. (2d) 370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Christie</w:t>
      </w:r>
      <w:r>
        <w:rPr>
          <w:rFonts w:ascii="arial" w:eastAsia="arial" w:hAnsi="arial" w:cs="arial"/>
          <w:color w:val="000000"/>
          <w:sz w:val="20"/>
          <w:lang w:val="en-US" w:eastAsia="en-US" w:bidi="ar-SA"/>
        </w:rPr>
        <w:t xml:space="preserve">] and s. 182(2)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any event, the route Ms. Lee took undermines considerably the suggestion that she was jaywalking, or that she intended to jaywalk, as she would have had no need to walk north in the parking lane had it been her intention to dash across Renfrew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Much of the remaining dispute between the parties centred on the issue of Ms. Lee's location at the time of impact. On the evidence, I find as a fact that Ms. Lee was walking in the parking lane of Renfrew Street. I base this conclusion on the evidence of both of the parties (Mr. Phan said that she was on the snowbank and Ms. Lee said she was walking on top of the snow) and Mr. Phan's evidence that his car was halted by the snowbank one and a half metres from the curb (which helps to fix the location of the snowbank relative to the curb), together with the photograph of the scene taken by Mr. Chan, which showed the snowbank as it was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diagram of the scene, which by consent was marked as an exhibit and agreed to be accurate, shows that there are two travel lanes in each direction on Renfrew. The lane closest to the centre line is 10'3" in width. The other lane together with the parking area is 21' in width. Ms. Lee said that on the night in question there was just one lane of travel in each direction, due to the snowy conditions. From the photograph of the scene taken the next day, it would appear that the travel lanes were the ones nearest the centre line. In fair conditions this would mean that a pedestrian located in the parking area would have no less than about 10' of clearance (that is, at least the width of the second travel lane) from the cars travelling in the lane closest to the centre line. In winter conditions and with the presence of the snowbank on the night in question it is probable that the clearance was less than that. Nonetheless, I find that there was more than enough clearance for Ms. Lee to walk in the area of the parking lane without being in any danger from traffic located in the travel lane or interfering with that traffic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parties cited a number of cases involving collisions with pedestrians at crosswalks or collisions where wintery conditions were a significant factor. In view of my finding that Ms. Lee made no attempt to cross Renfrew Street I do not find the crosswalk or jaywalking cases to be particularly helpful. The winter driving cases establish little more than the general proposition that drivers should adjust their driving and use caution appropriate to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Other cases cited by the parties were of more direct relevance. The plaintiff referred to </w:t>
      </w:r>
      <w:r>
        <w:rPr>
          <w:rFonts w:ascii="arial" w:eastAsia="arial" w:hAnsi="arial" w:cs="arial"/>
          <w:i/>
          <w:color w:val="000000"/>
          <w:sz w:val="20"/>
          <w:lang w:val="en-US" w:eastAsia="en-US" w:bidi="ar-SA"/>
        </w:rPr>
        <w:t>Jensen v. Webb</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[1982] B.C.J. No. 1268</w:t>
        </w:r>
      </w:hyperlink>
      <w:r>
        <w:rPr>
          <w:rFonts w:ascii="arial" w:eastAsia="arial" w:hAnsi="arial" w:cs="arial"/>
          <w:color w:val="000000"/>
          <w:sz w:val="20"/>
          <w:lang w:val="en-US" w:eastAsia="en-US" w:bidi="ar-SA"/>
        </w:rPr>
        <w:t xml:space="preserve"> (B.C.S.C.), where a pedestrian had been struck by a vehicle during wintery conditions. The pedestrian was found to have been lawfully standing on the paved shoulder after having crossed a two-lane highway. The driver was found to be fully responsible for travelling off of the roadway as he was driving too quickly for the road conditions and there were no indications of braking, skidding or evasive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defendant cited </w:t>
      </w:r>
      <w:r>
        <w:rPr>
          <w:rFonts w:ascii="arial" w:eastAsia="arial" w:hAnsi="arial" w:cs="arial"/>
          <w:i/>
          <w:color w:val="000000"/>
          <w:sz w:val="20"/>
          <w:lang w:val="en-US" w:eastAsia="en-US" w:bidi="ar-SA"/>
        </w:rPr>
        <w:t>Kilby v. I.C.B.C.</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[1990] B.C.J. No. 2223</w:t>
        </w:r>
      </w:hyperlink>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1990 CanLII 1711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Kilby</w:t>
      </w:r>
      <w:r>
        <w:rPr>
          <w:rFonts w:ascii="arial" w:eastAsia="arial" w:hAnsi="arial" w:cs="arial"/>
          <w:color w:val="000000"/>
          <w:sz w:val="20"/>
          <w:lang w:val="en-US" w:eastAsia="en-US" w:bidi="ar-SA"/>
        </w:rPr>
        <w:t xml:space="preserve">], where a pedestrian, walking on the paved shoulder of a highway and on or near the the fog line, was struck by an unknown driver. Lamperson J. accepted the plaintiff's version of events, though he was expressly hesitant in doing so because the plaintiff's injuries were not consistent with the plaintiff's version of the accident. Lamperson J. found, however,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part to the extent of 50% because the plaintiff was not facing traffic when he was walking, he was not keeping any lookout and was relying on motorists seeing him, and he was wearing dark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Other "fog line" cases have had different results. In </w:t>
      </w:r>
      <w:r>
        <w:rPr>
          <w:rFonts w:ascii="arial" w:eastAsia="arial" w:hAnsi="arial" w:cs="arial"/>
          <w:i/>
          <w:color w:val="000000"/>
          <w:sz w:val="20"/>
          <w:lang w:val="en-US" w:eastAsia="en-US" w:bidi="ar-SA"/>
        </w:rPr>
        <w:t>Eggleston v. Watson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2010 BCSC 890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Eggleston</w:t>
      </w:r>
      <w:r>
        <w:rPr>
          <w:rFonts w:ascii="arial" w:eastAsia="arial" w:hAnsi="arial" w:cs="arial"/>
          <w:color w:val="000000"/>
          <w:sz w:val="20"/>
          <w:lang w:val="en-US" w:eastAsia="en-US" w:bidi="ar-SA"/>
        </w:rPr>
        <w:t xml:space="preserve">], the plaintiff was walking on the right-hand side of a roadway, facing away from traffic, one to two feet to the left of the fog line (that is, on the travelled portion), when he was struck by an impaired driver. Davies J. distinguished </w:t>
      </w:r>
      <w:r>
        <w:rPr>
          <w:rFonts w:ascii="arial" w:eastAsia="arial" w:hAnsi="arial" w:cs="arial"/>
          <w:i/>
          <w:color w:val="000000"/>
          <w:sz w:val="20"/>
          <w:lang w:val="en-US" w:eastAsia="en-US" w:bidi="ar-SA"/>
        </w:rPr>
        <w:t>Kilby</w:t>
      </w:r>
      <w:r>
        <w:rPr>
          <w:rFonts w:ascii="arial" w:eastAsia="arial" w:hAnsi="arial" w:cs="arial"/>
          <w:color w:val="000000"/>
          <w:sz w:val="20"/>
          <w:lang w:val="en-US" w:eastAsia="en-US" w:bidi="ar-SA"/>
        </w:rPr>
        <w:t xml:space="preserve"> and found that the impaired driver's conduct was so unforeseeable that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found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Christie</w:t>
      </w:r>
      <w:r>
        <w:rPr>
          <w:rFonts w:ascii="arial" w:eastAsia="arial" w:hAnsi="arial" w:cs="arial"/>
          <w:color w:val="000000"/>
          <w:sz w:val="20"/>
          <w:lang w:val="en-US" w:eastAsia="en-US" w:bidi="ar-SA"/>
        </w:rPr>
        <w:t xml:space="preserve"> the plaintiff was walking with a companion along the shoulder of a highway. Both were wearing dark clothing. They were walking facing away from traffic, two and a half to three feet to the right of the fog line. The plaintiff was struck by a car that did not stop. The trial judge found the plaintiff 35% at fault for similar reasons as in </w:t>
      </w:r>
      <w:r>
        <w:rPr>
          <w:rFonts w:ascii="arial" w:eastAsia="arial" w:hAnsi="arial" w:cs="arial"/>
          <w:i/>
          <w:color w:val="000000"/>
          <w:sz w:val="20"/>
          <w:lang w:val="en-US" w:eastAsia="en-US" w:bidi="ar-SA"/>
        </w:rPr>
        <w:t>Kilby</w:t>
      </w:r>
      <w:r>
        <w:rPr>
          <w:rFonts w:ascii="arial" w:eastAsia="arial" w:hAnsi="arial" w:cs="arial"/>
          <w:color w:val="000000"/>
          <w:sz w:val="20"/>
          <w:lang w:val="en-US" w:eastAsia="en-US" w:bidi="ar-SA"/>
        </w:rPr>
        <w:t>. The Court of Appeal reduced the percentage of contributory fault to 10%, saying as follows:</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walking on the wrong side of the road may have no significance in certain circumstances, to do so at night on the highway in question here, dressed in dark clothing, for no reason other than convenience, exhibits a want of care on the plaintiff's part which enhanced the likelihood of injury and so contributed to the injury he in fact suffered.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however, the apportioned fault of 35% is excessive and can only be attributed to the weight the trial judge attached to the breach of s. 184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trial judge found the plaintiff was walking inside the fog line and it is apparent that the fault of the unknown driver was the major contributing cause of the plaintiff's injury.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reduce the plaintiff's fault to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similar effect is </w:t>
      </w:r>
      <w:r>
        <w:rPr>
          <w:rFonts w:ascii="arial" w:eastAsia="arial" w:hAnsi="arial" w:cs="arial"/>
          <w:i/>
          <w:color w:val="000000"/>
          <w:sz w:val="20"/>
          <w:lang w:val="en-US" w:eastAsia="en-US" w:bidi="ar-SA"/>
        </w:rPr>
        <w:t>Lang v. Porter</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(1991), 57 B.C.L.R. (2d) 253</w:t>
        </w:r>
      </w:hyperlink>
      <w:r>
        <w:rPr>
          <w:rFonts w:ascii="arial" w:eastAsia="arial" w:hAnsi="arial" w:cs="arial"/>
          <w:color w:val="000000"/>
          <w:sz w:val="20"/>
          <w:lang w:val="en-US" w:eastAsia="en-US" w:bidi="ar-SA"/>
        </w:rPr>
        <w:t xml:space="preserve"> (C.A.), where again 10% fault was attributed to the plaintiff because he was not facing traffic as 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These cases are similar to the present insofar as they involve vehicles that have hit pedestrians who were walking on non-travelled portions of roads. In those cases some plaintiffs have been found to have been contributorily negligent because they were wearing dark clothing, they were not walking on the side facing traffic or they were not otherwise keeping a lookout. In one case (</w:t>
      </w:r>
      <w:r>
        <w:rPr>
          <w:rFonts w:ascii="arial" w:eastAsia="arial" w:hAnsi="arial" w:cs="arial"/>
          <w:i/>
          <w:color w:val="000000"/>
          <w:sz w:val="20"/>
          <w:lang w:val="en-US" w:eastAsia="en-US" w:bidi="ar-SA"/>
        </w:rPr>
        <w:t>Eggleston</w:t>
      </w:r>
      <w:r>
        <w:rPr>
          <w:rFonts w:ascii="arial" w:eastAsia="arial" w:hAnsi="arial" w:cs="arial"/>
          <w:color w:val="000000"/>
          <w:sz w:val="20"/>
          <w:lang w:val="en-US" w:eastAsia="en-US" w:bidi="ar-SA"/>
        </w:rPr>
        <w:t>), despite the fact that the plaintiff was walking on the travelled portion of the road while facing away from traffic, he was found not to be contributorily negligent because the driver's conduct was so unforeseeable, and the risk of injury from the plaintiff's failure to take more care so unlikely, that it was simply not appropriate to find the plaintiff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the case at bar there are none of these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factors present. While walking in the parking area Ms. Lee was well off the travelled portion of the road, she was wearing a white coat and she was facing traffic. I also do not consider it reasonably foreseeable that a driver would steer his vehicle off the road in an effort to stop where there is nothing preventing that driver from simply proceeding straight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Phan testified that he turned his vehicle into the snowbank because he felt this was his only option given his conclusion that Ms. Lee was about to jaywalk in front of him. This, I have found, was an erroneous conclusion. Had he continued straight ahead there would have been no collision. Mr. Phan also seems to have been under the impression that one should never apply the brakes of a vehicle in icy conditions. This is obviously wrong, as the appropriate response is to apply cyclical braking, as confirmed by the plaintiff's engineer, Mr. Rempel. For all of these reasons I conclude that Mr. Phan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for Ms. Lee, I am unable to accept the defendant's suggestion that she ought to be found to be contributorily negligent. She was not in a place that posed a hazard or obstruction to traffic, she was wearing a white coat and she was facing in the correct direction towards oncoming traffic. The defendant has not established that Ms. Lee had any realistic opportunity to get out of the way. I see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the plaintiff was struck by the defendant's car. I find the defendant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Murdoch v. Biggers, [2012] B.C.J. No. 1021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and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 3798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1021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Carol Murdoch, Plaintiff, and Benjamin Biggers and Jennifer Robyn Biggers,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8"/>
      <w:bookmarkEnd w:id="12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Pedestrians — Determination of liability for accident involving motor vehicle and pedestrian — Plaintiff was 75 per cent at fault and defendants were 25 per cent at fault — Plaintiff suffered broken leg after being struck by defendants' vehicle as she entered marked crosswalk at busy intersection against red light —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contributed significantly to accident — Defendant driver owed duty of care to plaintiff and did not exercise appropriate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6"/>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an accident involving a motor vehicle and a pedestrian. The plaintiff suffered a broken leg after being struck by the defendants' vehicle as she entered a marked crosswalk at a busy intersection against a red light. The defendant was proceeding on a green light.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6" w:name="Holdings of Court_14"/>
            <w:bookmarkEnd w:id="126"/>
            <w:r>
              <w:rPr>
                <w:rFonts w:ascii="arial" w:eastAsia="arial" w:hAnsi="arial" w:cs="arial"/>
                <w:color w:val="000000"/>
                <w:sz w:val="20"/>
                <w:lang w:val="en-US" w:eastAsia="en-US" w:bidi="ar-SA"/>
              </w:rPr>
              <w:t>HELD: The plaintiff was 75 per cent at fault and the defendants were 25 per cent at fault.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obey traffic controls, a red light and pedestrian controls. It was very reckless of her to enter the crosswalk in light of these statutory duties, the high volume of traffic and the red light.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significantly to the accident. The defendant driver owed a duty of care to the plaintiff, given the heavy traffic. She did not exercise the appropriate standard of care because she failed to observe the plaintiff's entry into the crosswalk and that vehicles in the two lanes to her right had stopped for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3"/>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27" w:history="1">
        <w:r>
          <w:rPr>
            <w:rFonts w:ascii="arial" w:eastAsia="arial" w:hAnsi="arial" w:cs="arial"/>
            <w:i/>
            <w:color w:val="0077CC"/>
            <w:sz w:val="20"/>
            <w:u w:val="single"/>
            <w:shd w:val="clear" w:color="auto" w:fill="FFFFFF"/>
            <w:lang w:val="en-US" w:eastAsia="en-US" w:bidi="ar-SA"/>
          </w:rPr>
          <w:t>RSBC 1996, CHAPTER 318, s. 125</w:t>
        </w:r>
      </w:hyperlink>
      <w:r>
        <w:rPr>
          <w:rFonts w:ascii="arial" w:eastAsia="arial" w:hAnsi="arial" w:cs="arial"/>
          <w:color w:val="000000"/>
          <w:sz w:val="20"/>
          <w:lang w:val="en-US" w:eastAsia="en-US" w:bidi="ar-SA"/>
        </w:rPr>
        <w:t>, s. 127, s. 129(4)(a), s. 132, s. 179, s. 179(2)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9"/>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L.G. Oss-Cech.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S.P. Casey.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9"/>
      <w:bookmarkEnd w:id="129"/>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J.A. POWER J."/>
            <w:bookmarkEnd w:id="130"/>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Murdoch (a pedestrian), was injured when she was struck by the defendant's 2003 Honda CRV. She alleges she was walking or running, she can't remember which, across Blanshard Street, in a marked crosswalk at the intersection of Blanshard Street and Saanich Road in Victoria, British Columbia when she was struck. She admits that the vehicles proceeding southbound on Blanshard Street had the green light, which means that the plaintiff would have been crossing on a red light for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collision, the plaintiff suffered a broken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have agreed on the appropriate quantum of damages which are in the range of $70,000.00 and the only issue before me is liability for the accident. The plaintiff concedes some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proportion of which will depend on my findings of fact. The defendant argues that the plaintiff is 100% responsible for the accident and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proceeded in Victoria over two days. I heard one witness for the plaintiff, Ms. Murdoch herself, and three witnesses for the defence: the defendant driver Ms. Biggers and two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took place on September 25, 2008, at approximately 11:40 a.m. at the intersection of Blanshard Street and Saanich Road. This is a high-volume intersection with traffic on Blanshard Street proceeding one way, south, into Victoria. This portion of Blanshard Street is the feed from the Pat Bay Highway (Highway 17) into Victoria, which results in it being a busy intersection at most times. At the time of the accident, the Uptown Shopping Centre at the northwest corner of the intersection was under construction. All of the evidence satisfies me that the intersection was particularly busy on September 25, 2008,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Pedestrians can cross at all four corners of the intersection. Clearly marked crosswalk areas and pedestrian cross light standards control pedestrian movement. Overhead traffic control signals manage southbound traffic proceeding on Blanshard into Victoria. Traffic standards control the eastbound and westbound traffic on Saanich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Blanshard has five one-way lanes of traffic proceeding into Victoria at the north side of this intersection: a designated, left-hand turn lane eastbound onto Saanich Road, a designated, right-hand turn lane westbound onto Saanich Road, as well as the three southbound lanes into Victoria. By the south side of the intersection there are three lanes all running south into Victoria. The accident took place on the south side of Saanich Road, where there are three vehicle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collision, the road was dry and all of the evidence indicates that it was a fair September day with good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 have noted, there is no doubt that the plaintiff was proceeding against a red light for pedestrian traffic and vehicle traffic. The factual issues in dispute which are important for my determination of liability include the following:</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in the crosswalk between the southwest corner and the southeast corner of Blanshard Street at the time of the accident, or was she in some other portion of the roadway?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defendant's vehicle stopped for the plaintiff prior to the accident occurring, and then restarted resulting in the defendant's vehicle striking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Ms. Murdoch, is a 53-year-old woman who resides in Victoria. She is currently unemployed and is designated as a person with a disability. She has schizophrenia. She lives alone in an apartment and, although she is on medication for her condition, she testified that the medication does not impair her judgment. She obtained 12 years of education and has grade credits indicating that she has completed grade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day of the accident, Ms. Murdoch had been shopping at the Walmart Store, which was located in the shopping center at the northwest corner of the intersection. She was leaving Walmart with a shopping bag and was wearing a light-blue jacket and blue jeans. She was on her way to meet a friend for coffee. She was familiar with the intersection, although Walmart was an infrequent destination for her and it was not a place she had been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she crossed Saanich Road from a traffic island located at the northwest corner of the intersection. She recalls running across Saanich Road from the northwest corner to the southwest corner and stopping at the southwest corner on a raised portion of the roadway. She cannot recall the colour of the light as she crossed Saanich Road but, sometime around the time of her crossing, she noticed her bus proceeding eastward through the intersection on Saanich Road, which suggests that the light for her would have been red as she crossed Saanich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admits that traffic was already moving southbound on Blanshard Street before she stepped off the raised portion of the roadway into the crosswalk just prior to the accident. She was proceeding from the southwest corner to the southeast corner crossing Blanshard Street. She could not recall whether any of the southbound traffic had crossed her path through the crosswalk as she was crossing. She made it across two lanes of traffic and reached the line marking the easternmost southbound lane. At that point, she saw the defendant's vehicle for the first time. She says that she made eye contact with the defendant driver Ms. Bigger. She is not sure whether Ms. Biggers' vehicle was in the crosswalk when the eye contact occurred, but the plaintiff testified that there was still space in the crosswalk for her to pass and since the vehicle was stopped, she proceeded. Ms. Biggers' vehicle proceeded at the same time. The plaintiff testified that at that point she pivoted to turn around in order to avoid being struck and she was struck by Ms. Biggers' car on the right leg. She fell and managed to get to the curb on the southeast corner of Blanshard Street. Ultimately, an ambulance attended and Ms. Murdoch was taken to the hospital to deal with injuries to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Biggers'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Biggers was proceeding southbound on Blanshard with her two young children in her Honda CRV vehicle on the day in question. She had no previous operational difficulties with the vehicle, including no difficulties with the braking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testified that she was stopped for the red light at the intersection and that she was in the easternmost southbound lane on Blanshard and was proceeding into Victoria. There were three or four vehicles in front of her when she was stopped at the intersection. When the light to proceed southbound on Blanshard turned green, she moved forward. She proceeded on the slight incline toward the southern end of the intersection and first saw the plaintiff running out between two moving vehicles which were to Ms. Biggers' right. Ms. Biggers estimates that she was going twenty kilometres per hour when she first saw the plaintiff. She slammed on her brakes, but the plaintiff kept running and the vehicle hit the plaintiff on the far left hand side of the vehicle. The plaintiff continued running, then fell on the grassy boulevard on the southeast corner. In her evidence, Ms. Biggers stated that at no time did her vehicle come to a complete stop prior to hitting the plaintiff and that the impact took place on the south side of the crosswalk. The defendant is fairly certain the plaintiff was not in the crosswalk when she first saw her and when the impact occurred. In a statement to the ICBC investigator taken five days after the accident, she said she "didn't think" that the plaintiff was in the crosswalk when the impact occurred. At trial, she acknowledged that the entire incident from the moment that she first saw the plaintiff until the impact was "very quick."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Independent witness Mr. Lukinuk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Lukinuk is an upholsterer who was driving his 1956 Chevy truck southbound on Blanshard Street. He was in the easternmost southbound lane proceeding into Victoria and was driving the vehicle immediately ahead of the defendant Ms. Biggers.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saw the plaintiff standing on the southwest corner of the intersection but places her on the curb some distance down Blanshard and away from the pedestrian island. He also says that the plaintiff was wearing dark clothing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saw the plaintiff step off the curb and run at a diagonal across the lanes of traffic and describes her "running like a football player making a play." He says that the plaintiff veered to the left sharply as she approached his vehicle, and she was struck by the vehicle behind him. He saw the plaintiff being struck from his driver's side rear view mirror and indicates that she was not in the crosswalk when she was struck. He indicates that the plaintiff landed on the grassy portion on the southeast side of the intersection but places the plaintiff significantly south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statement provided to ICBC on October 30, 2008, Mr. Lukinuk indicated that if the plaintiff was in the crosswalk at the time of the impact, "she was barely in it." He initially provided a drawing of the intersection that had the plaintiff going directly across the crosswalk and a point of impact close to or in the crosswalk. But he also provided a revised drawing on November 4, 2008, that showed her crossing in a diagonal manner and the point of impact well outside of the crosswalk. In cross-examination, Mr. Lukinuk indicated that from the time he first saw the plaintiff to the time of impact, approximately two to three seconds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Independent witness Ms. Larson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Larson is employed as a 911 dispatcher for Saanich municipality and is very familiar with the intersection. She was southbound on Blanshard Street at the time of the accident and was in the far right southbound lane on Blanshard Street. She was stopped for the red light and was three to four vehicles back when she first saw the plaintiff in the vicinity of the southwest corner of the intersection. She was quite certain that the plaintiff was on the triangular pedestrian island when she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the traffic in Ms. Larson's lane started moving, she saw the plaintiff make a run for it from the southwest corner across to the southeast corner of Blanshard Street and Saanich Road. She could not recall whether any vehicles had cleared the crosswalk when the plaintiff left the curb. Vehicles in front of Ms. Larson abruptly stopped and all drivers were evidently slamming on their vehicles' brakes. Vehicles in the two westernmost lanes of traffic were able to stop for the plaintiff. Ms. Larson didn't see the plaintiff being struck, but she did see other vehicles' brake lights going on and it appeared that the plaintiff had been struck. She couldn't see the crosswalk clearly, but she stated the vehicle and the plaintiff were south of the crosswalk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of the evidence is clear that the actions that gave rise to the accident took place over a very short period of time, a matter of seconds. As a result, and in light of the frailties of human observation, there are inconsistencies with virtually every witness. At the same time, I find that all witnesses were honest and did their best to provide helpful evidence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find the evidence of Mr. Lukinuk to be helpful in this case. His evidence is inconsistent with every other witness on where the plaintiff left the southwest corner of Blanshard Street, and where she fell on the southeast corner. His evidence is also internally inconsistent considering his initial drawing for ICBC on October 30, 2008, and his drawing on November 4, 2008, which he adopted in court. He saw the impact out of his vehicle's driver's side rear-view mirror, which compromised his ability to see what happened. He recalled the plaintiff wearing dark clothing, when she was wearing relatively light clothing. In all of the circumstances, I am not using Mr. Lukinuk's evidence in determining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of Ms. Larson supports the version of events provided by the plaintiff in some significant ways. I find, on the basis of all of the evidence, the accident probably occurred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running to catch the bus at the bus stop on the southeastern corner of Saanich Road near Blanshard Street. She was crossing from the southwest corner of Blanshard to the southeast corner of Blanshard in order to make that bus. She was on the triangular island and entered the crosswalk from the island. She hesitated slightly before making the decision to enter the crosswalk. The first two lanes of traffic were able to stop for the plaintiff, even though she was crossing against a red light and pedestrian control signal.</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the plaintiff and Ms. Biggers made eye contact prior to the impact. However, I do not conclude that Ms. Biggers' vehicle was stopped at that point. I accept that the plaintiff thought that Ms. Biggers had stopped for her and she continued running across the intersection, but in fact, the evidence supports that Ms. Biggers' vehicle was still in the process of stopping and was barely moving at the time of the impact.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Ms. Biggers, and the witness, Ms. Larson, place the point of impact south of the crosswalk, yet they both place the plaintiff falling on the grassy portion on the southeast corner of Blanshard, very close to the crosswalk. Ms. Larson did not have a clear view of the impact since she saw it from behind, and Ms. Biggers was less certain about whether the impact took place in the crosswalk when she first gave her statement to ICBC. Accordingly, I am not satisfied that the impact took place south of the crosswalk.</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evidence of the plaintiff that she had some room in the crosswalk when she crossed in front of Ms. Biggers' car. Therefore the impact would have taken place just inside or at the southernmost edge of the crosswalk. As a result of the impact, it is clear that the plaintiff would have rolled or fallen to the grassy portion of the curb on the southeast portion just outside of the crosswalk.</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might have pivoted just prior to being struck. In my view, though, nothing turns on this for the purpose of determining or apportioning liability since it is not clear how the leg fracture occurred: as a result of the vehicle hitting Ms. Murdoch, or as a result of her fall to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 had a statutory right of way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since she was proceeding on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on the other hand, breached a number of statutory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including:</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obeying traffic controls (s. 125),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obeying the instructions of the applicable device (Red light, s. 129(4)(a))--"a pedestrian facing a red light must not enter the roadway unless instructed that he may do so by a traffic control signal"--and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obeying pedestrian controls (s. 132), against which the plaintiff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 179, is entitled "Rights of way between vehicle and pedestrian." I reproduce it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cyclist or the driver of a motor vehicle must obey the instructions of an adult school crossing guard and of a school student acting as a member of a traffic patrol where the guards or students are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under the School Act,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authorized by the chief of police of the municipality as defined in section 36 (1), or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located on treaty lands, authorized by the chief of the police force responsible for policing the treaty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case, Ms. Murdoch left the traffic island, a place of safety, against a red light and pedestrian controls. Yet I cannot say that she did so in such a manner as to make it impracticable for the drivers southbound on Blanshard to yield the right of way. The vehicles in the westernmost two lanes were able to yield for Ms. Murdoch. Therefore, I do not find that Ms. Murdoch breached s. 179(2). In any event, I am not convinced that s. 179(2) is intended to apply in circumstances like this, where there are light signals directing vehicle and pedestrian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Clearly, however, in light of all Ms. Murdoch's other statutory duties and the circumstances, including the high volume of traffic at the time and the red lights for both pedestrians and drivers, it was very reckless of her to enter the crosswalk.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significantly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case before me is very similar on its facts to those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In that case Cohen J. provided a comprehensive analysis of the law on a very similar set of facts. The plaintiff pedestrian was struck by the defendant's vehicle while she was walking against the light in a marked crosswalk at the intersection of Howe and Smithe Streets, in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Justice Cohen said,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principles of law that govern in this case have been stated by our Court of Appeal in the decisions of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[1990] B.C.J. No. 776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Coulter (Guardian ad Litem) v. Ball</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and most recently in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As the plaintiff submitted in her argument, the authorities establish that the common law duty of care exists notwithstanding statutory rights of way and that a breach of a statutory right of way merely provides evidence in support of a finding of a negligent breach of the common law duty of care: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the Court of Appeal set out the principles governing whether and under what circumstances drivers with the right of way owe a duty of care to other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his thorough outline of the law, Cohen J. found at para. 65 that the defendant owed a duty of care to the plaintiff with regard to the circumstances that existed in the intersection at the time of the accident. He then said at paras. 66 to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Having found that a duty existed, the next issue for determination is whether the defendant exercised the standard of care necessary to avoid breaching that duty. In my opinion, the defendant did not meet the standard of care placed upon him by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defendant was proceeding on a green light and thus had the right of way. However, I find that the defendant did not keep a proper lookout. He failed to observe that there were vehicles stopped in the middle two lanes on Howe Street. I find that by failing to observe that the vehicles in the middle two lanes had not proceeded on the green light, and proceeding into the intersection at 50 km/h, he acted in breach of the duty placed upon him to take special precautions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case before me, I find that the defendant owed a duty of care to the plaintiff with regard to all of the circumstances that existed in the intersection at the time of the accident. Traffic was so heavy and congested that special caution should have been taken by the defendant as she approached the crosswalk even though she was proceeding on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I do not believe that the defendant exercised the appropriate standard of care to avoid breaching that duty. The drivers in vehicles in the two lanes to her right were able to observe and stop for the plaintiff, and a driver behind her (Ms. Larson) was able to see Ms. Murdoch. Mr. Lukinuk was able to observe that something was happening in his rear-view mirror. In the circumstances, I find that the defendant failed to keep a proper lookout by failing to observe Ms. Murdoch's entry into the crosswalk and by failing to observe that vehicles in the two lanes to her right had stopped for Ms. Murdoch. I find that if the defendant had in fact been keeping a sufficient look out, she would have been able to stop for Ms. Murdoch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balancing the respective blameworthiness of the parties in this case, as in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came first in time by entering the crosswalk against the light. She created a risk of harm that was significant. Ms. Larson was shocked by Ms. Murdoch's decision to enter the crosswalk in those circumstances. In many respects, Ms. Murdoch's conduct can be described in colloquial terms as every driver's worst nightmare.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contrast,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limited to her failing to keep a better lookout in circumstances where she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all of the circumstances, I conclude that the 75% of the fault for the accident should be borne by the plaintiff and 25%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Costs may be spoken to if they cannot be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Nandha v. Singh, [2001] B.C.J. No. 940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Bolton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S055683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1131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Manjeet Nandha, plaintiff, and Dr. Jit J. Singh, Dr. Timothy Ng and Surrey Memorial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Practice — Pleadings — Amendment of pleadings — Prejudice or presumed prejudice, what constitutes — Adding new cause of action — Prohibition against adding new action which is statute barred.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7"/>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Nandha to amend her statement of claim to add a claim based on lack of informed consent. Nandha brought an action against two doctors and a hospital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the birth of her son. A year after the limitation period expired, she sought to add a claim for lack of informed consent to the surgical procedure performed by the doctors. Nandha explained the delay in amending the claim based on the fact that her solicitors were waiting to see if they would be adding a claim on behalf of her infant son.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5"/>
            <w:bookmarkEnd w:id="133"/>
            <w:r>
              <w:rPr>
                <w:rFonts w:ascii="arial" w:eastAsia="arial" w:hAnsi="arial" w:cs="arial"/>
                <w:color w:val="000000"/>
                <w:sz w:val="20"/>
                <w:lang w:val="en-US" w:eastAsia="en-US" w:bidi="ar-SA"/>
              </w:rPr>
              <w:t>HELD: Application adjourned for consideration by the trial judge.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potentially unfair to assess the balance of convenience before the extent of fault of the original solicitors for Nandha was addressed. It was not certain that Nandha would succeed on a claim against her solicitors for their failure to assert the claim. This would leave her without any remedy. The delay resulted from oversight, and possibly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Nandha's solicitors. There was not a strong connection between the causes of action. The informed consent claim had little to do with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procedure itself. The delay could impact on the ability of the doctors to remember evidence relating to the issue of consent.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4"/>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20"/>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 Critchley,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Norell, for the defendants, Dr. Jit J. Singh and Dr. Timothy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Ankenman, for the defendant, Surrey Memorial Hospital.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20"/>
      <w:bookmarkEnd w:id="136"/>
      <w:r>
        <w:pict>
          <v:line id="_x0000_s1126"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MASTER BOLTON"/>
            <w:bookmarkEnd w:id="137"/>
            <w:r>
              <w:rPr>
                <w:rFonts w:ascii="arial" w:eastAsia="arial" w:hAnsi="arial" w:cs="arial"/>
                <w:b/>
                <w:color w:val="000000"/>
                <w:sz w:val="30"/>
                <w:lang w:val="en-US" w:eastAsia="en-US" w:bidi="ar-SA"/>
              </w:rPr>
              <w:t>MASTER BOLTON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conclusion of this hearing I told counsel I would have virtually no opportunity to begin written reasons for at least six weeks, and that the reasons may not be completed for several weeks after that. Counsel then drew to my attention that a trial is set for August, and that the decision will so greatly affect the conduct of the trial that they need a decision faster than I could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indicated that I would not render a hasty decision if I could not give enough time to this difficult issue, but that if I were able to review the matter in proper detail I might be able to write a decision in a more or less summary form. This is that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this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Yes. Karsanjii at p.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cannot distinguish Dunphy, but given irreconcilable decisions, I prefer Dunphy, (supported by Barnes and Lewis, on rather different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any event, even if informed consent is an aspect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has already been pleaded, the underlying facts (discussion prior to surgery versus actual performance of the surgery) are quite different, and the importance of fresh factual issues is emphasized by Letvad, </w:t>
      </w:r>
      <w:hyperlink r:id="rId440"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at paragraphs 45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Has there been a postponement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not possible to answer that question without a trial, with evidence from and cross-examination of the plaintiff, and quite possibly her original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purposes of this application, therefore, the proper course is to assume no postponement. Given that assumption, it is possible to go forward with the present application, and to consider whether the (assumed) breach of the Limitation Act should be waived under s. 4(4). If my decision is that it should be waived, the question of postponement becomes moot. If I decide it should not be waived, the present application to amend must be dismissed, but the plaintiff will be at liberty to issue a new writ based on the informed consent cause of action, and to argue postponement of the limitation period on the merits at the trial of that action (be it a separate trial or one heard at the same time as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following headings are taken from Letvad's summary of Teal, </w:t>
      </w:r>
      <w:hyperlink r:id="rId441"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at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Extent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Any informal advice to the hospital's counsel about an intention to plead informed consent is irrelevant because that issue will not be argued against the hospital. The uncontradicted evidence of counsel for the doctors is that he was not told until November 21, 2000. That is the date to which the delay must be measured.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ruled against the relevance of Mr. Critchley's point that the actual notice was within three years of the cause of action (two years to issue the writ plus one to serve it) in another case whose name escapes me but which Mr. Critchley, as the ultimately successful counsel on that application, can no doubt quickly locate.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and explanations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Until prompted by a medical expert in March 2000, neither of the plaintiff's counsel appears to have thought about this issue at all. Although I have no great experience of claims against medical personnel and organizations, it seems to me there would be an obvious necessity to explore with a client what the doctors told her in advance about the risks and possibilities of misadventure of an operation that had such unfortunate consequences. I must conclude that the delay to March 2000 resulted from a serious oversight on the part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that date, I do not accept the explanation relating to production of records generally, and the fetal heart monitor strips in particular. It is almost inconceivable that even if these records had disclosed a sudden emergency, counsel would have abandoned the informed consent claim without exploring the nature of the emergency, the timing of the decision to use forceps, and so on. (And I note that the defendants did not say that when they finally got them, the heart monitor strips showed that there was in fact no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heart records were received May 8, 2000. This confirms the essential irrelevance of the heart monitor strips to the decision whether to advance the claim, because counsel had received explicit instructions to do so a month earlier on April 7th.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explanation of the delay after May is that counsel were waiting to see if they would be adding a claim on behalf of the plaintiff's infant son. This is completely unacceptable as a reason for not notifying the defendants of the intention to add the informed consent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paragraph 18 of Mr. Collette's affidavit, there is no reason, on this evidence, why the records could not have been inspected - at the hospital, if necessary - within a day or so of April 7th.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I am satisfied the reasons for the delay are: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March 2000, a serious oversight by the plaintiff's professional advisors;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March to November 2000, given the absence of any acceptable explanation, a wilful indifference to the legitimate interest of the defendant doctors in a timely notification of the potential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connection between the existing claims and the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Obviously, the old and new causes of action are closely linked with respect to time, the identity of the parties, and the consequences to the plaintiff. But as I understand it, there is little connection between the causes of action. On the existing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necessary to know what the plaintiff was told about the procedures she was to undergo. The issue is simply whether the doctors did or did not meet the appropriate standard of care. But in an action based on lack of informed consent,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largely - perhaps entirely - irrelevant. The doctors may have been supremely competent but may nevertheless be liable if a foreseeable but unavoidable risk materialized that would have caused the plaintiff to decline the surgery if she had been fully informed of the risk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Thus,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exclusive focus is the performance of the surgery. For informed consent, it is largely the pre-surgery discussions that will determine liability, although the surgery itself will have to be considered in regard to foreseeable risk and perhaps the existence of an emergency foreclosing the possibility of consent from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the plaintiff, if the application is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main prejudice will be the loss of an arguable cause of action. It may be offset by an action against the original solicitors, which I must say seems likely to succeed (assuming the action based on informed consent would itself succeed) but is not entirely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assuming a guaranteed cause of action against the lawyers, new counsel will have to be instructed to take the existing action to trial, which may require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the defendant doctors, if the application is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Presumed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Tri-Line, </w:t>
      </w:r>
      <w:hyperlink r:id="rId442" w:history="1">
        <w:r>
          <w:rPr>
            <w:rFonts w:ascii="arial" w:eastAsia="arial" w:hAnsi="arial" w:cs="arial"/>
            <w:i/>
            <w:color w:val="0077CC"/>
            <w:sz w:val="20"/>
            <w:u w:val="single"/>
            <w:shd w:val="clear" w:color="auto" w:fill="FFFFFF"/>
            <w:lang w:val="en-US" w:eastAsia="en-US" w:bidi="ar-SA"/>
          </w:rPr>
          <w:t>[1997] B.C.J. No. 180</w:t>
        </w:r>
      </w:hyperlink>
      <w:r>
        <w:rPr>
          <w:rFonts w:ascii="arial" w:eastAsia="arial" w:hAnsi="arial" w:cs="arial"/>
          <w:color w:val="000000"/>
          <w:sz w:val="20"/>
          <w:lang w:val="en-US" w:eastAsia="en-US" w:bidi="ar-SA"/>
        </w:rPr>
        <w:t xml:space="preserve"> at paragraph 15 suggests there is no presumption of prejudice, although the suggestion is obiter. Med Finance </w:t>
      </w:r>
      <w:hyperlink r:id="rId443" w:history="1">
        <w:r>
          <w:rPr>
            <w:rFonts w:ascii="arial" w:eastAsia="arial" w:hAnsi="arial" w:cs="arial"/>
            <w:i/>
            <w:color w:val="0077CC"/>
            <w:sz w:val="20"/>
            <w:u w:val="single"/>
            <w:shd w:val="clear" w:color="auto" w:fill="FFFFFF"/>
            <w:lang w:val="en-US" w:eastAsia="en-US" w:bidi="ar-SA"/>
          </w:rPr>
          <w:t>(1993), 79 B.C.L.R. (2d) 222</w:t>
        </w:r>
      </w:hyperlink>
      <w:r>
        <w:rPr>
          <w:rFonts w:ascii="arial" w:eastAsia="arial" w:hAnsi="arial" w:cs="arial"/>
          <w:color w:val="000000"/>
          <w:sz w:val="20"/>
          <w:lang w:val="en-US" w:eastAsia="en-US" w:bidi="ar-SA"/>
        </w:rPr>
        <w:t xml:space="preserve"> at page 231, reluctantly concludes that there is. Letvad at paragraph 30 affirms the existence of the presumption, but without referring to Tri-Line.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balance I conclude that there is a presumption. (This would avoid the distinction between new third party claims and all other cases of new causes of action pleaded after expired limitation periods, apparently sanctioned by Tri-Line, for which there is in my respectful opinion no logical rationale.)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may be none, apart from the lost limitation defence. But it is possible that the delay has diminished the doctors' ability to remember crucial evidence. The issue of consent was barely touched upon at Dr. Ng's examination for discovery, but he did depose that he could not remember if he ever spoke to the plaintiff. This was in November 2000. He gave no evidence on this application of reasons to believe he may have had a better memory if he had been notified of the claim when the writ was served on him (which I remain satisfied is the appropriate date for assessing such issues, notwithstanding Erickson). In the normal course of events, his ability to remember crucial events would gradually diminish, from near total recall immediately after the surgery, to zero by November 2000. As the writ was not issued till almost two years after the incident, it is probable that his ability to recall these events would have already failed, but it is not entirely clear, and the uncertainty is the responsibility of the plaintiff (or, more precisely, her counsel) who permitted the time for fading memories to accumulate.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delay is about one year from the date the limitation period expired and also from the issuance of the writ. This is not negligible, but not as serious as cases such as Letvad. It arose, first, from counsel overlooking what I find to be an obvious issue, and then from an unexplained hesitation in dealing with the issue that wilfully neglected the legitimate interest of the defendants in learning of the new claim. The second period is more blameworthy than the first, but even the first period is a significant concern. At paragraph 33, Letvad refused to equate counsel's oversight with the "honest error of judgment" dealt with in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old and new causes of action are legally, and to a significant extent factually, distinct. However, they are closely linked as part of an ongoing narrative, to the point that it would be convenient, albeit not necessary, to have them tried together. And (probably) the question of damages is linked to the point that a common hearing on quantum would be necessary rather than merely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prejudice to the plaintiff in refusing the application consists of loss of an arguable cause of action, tempered by the strong, but not certain, likelihood of an action against counsel. The latter result would probably complicate, and perhaps delay, trial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Some prejudice to the defendant doctors in allowing the application must be presumed, although it cannot be quantified. There is probably no actual prejudice, but the possibility of prejudice does exist, and the uncertainty on the point results from the delay for which I have faulted the plaintiff's original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those facts, I have no doubt that the balance of convenience favours the inclusion of the new cause of action in the existing proceedings. But the test, formulated by the learned Chief Justice in Teal, requires an assessment of the balance of justice as well as convenience. The former must surely outweigh the latter, although convenience will clearly be an important factor in assessing the justice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Here, the balance of justice is in my opinion very close. If I were satisfied that the solicitors' failure to plead the consent issue in a timely fashion were unquestionably negligent, two factors would tip the scale against allowing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is the indifference to the interests of the opposing party referred to above. I do not for a moment suggest that this was a deliberate attempt to injure, or in any manner unprofessional, underhanded, or devious. But it was, it does appear, a wilful neglect, and as such, weighs heavily in the balance when the consequences of the neglect are sought to be excused.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I have not yet referred to. Without time to find a better phrase, I will have to call it the extent of the deviation from a professional person's standard of care, attributed by the plaintiff to the doctors, and by the doctors to the plaintiff's counsel. On the one hand, we have a failure of professional medical advisors to discuss surgical options with a patient in the throes of a difficult childbirth, which may or may not have amounted to an emergency but was clearly, on the evidence, a sudden event fraught with danger and difficult decisions to be made in a very short space of time. On the other hand, we have a failure of professional legal advisors to observe and deal with an issue necessarily raised by the client's first instructions that she was injured by defective medical treatment. They had at least 15 months to deal with the issue before the limitation period expired, but failed to do so not only within those 15 months but also for another eight months after the oversight was brought to their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those circumstances, I conclude that the balance of justice would require the solicitors, rather than the doctors, to defend the action based on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Unfortunately, however, the evidence before me does not permit an unequivocal, let alone binding, decision on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possible the plaintiff may have no action against the original solicitors. A refusal of the amendment would then leave her without any remedy on the consent issue, and as between the plaintiff personally and the doctors there is, given the relatively minor actual prejudice to the latter, no doubt that the balance of justice favours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comes down to this. If the solicitors are liable to the plaintiff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balance of justice favours the defendants. If the solicitors are not liable, it favours the plaintiff. It is not possible to decide this issue at present, and consequently, it is impossible to finally assess the balance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concluded the result should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application to amend is adjourned for consideration by the trial judge. The plaintiff will presumably be issuing a new writ against the doctors to permit resolution of the issue relating to postponement of the limitation period. She may wish to add to it an alternative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that action is tried together with this it could proceed, subject to the direction of the trial judge, in the following sequence: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doctors. If they are liable presumably any additional claims based on lack of informed consent are moot.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the doctors liable for failure to obtain informed consent? If not, any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limitations problems are moot.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doctors are not negligent but would be liable on the consent issue, has the limitation period been postponed to the extent that it had not expired when this present application was filed? If it has, the doctors are liable and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moot.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no postponement, are the solicitors liable for failing to plead the consent issue in time? If so, the balance of justice on this application to amend the pleadings should</w:t>
      </w:r>
      <w:bookmarkStart w:id="13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38"/>
      <w:r>
        <w:rPr>
          <w:rFonts w:ascii="arial" w:eastAsia="arial" w:hAnsi="arial" w:cs="arial"/>
          <w:color w:val="000000"/>
          <w:sz w:val="20"/>
          <w:lang w:val="en-US" w:eastAsia="en-US" w:bidi="ar-SA"/>
        </w:rPr>
        <w:t xml:space="preserve"> be decided against the plaintiff, and judgment will go against the solicitors on the (assumed) new action. If not, the balance of justice should</w:t>
      </w:r>
      <w:bookmarkStart w:id="139" w:name="Backward_fnref_XXXX_d289e644"/>
      <w:hyperlink w:anchor="Forward_fnref_XXXX_d289e644" w:history="1">
        <w:r>
          <w:rPr>
            <w:rFonts w:ascii="arial" w:eastAsia="arial" w:hAnsi="arial" w:cs="arial"/>
            <w:b/>
            <w:color w:val="BE161D"/>
            <w:sz w:val="20"/>
            <w:shd w:val="clear" w:color="auto" w:fill="FFFFFF"/>
            <w:vertAlign w:val="superscript"/>
            <w:lang w:val="en-US" w:eastAsia="en-US" w:bidi="ar-SA"/>
          </w:rPr>
          <w:t>1</w:t>
        </w:r>
      </w:hyperlink>
      <w:bookmarkEnd w:id="139"/>
      <w:r>
        <w:rPr>
          <w:rFonts w:ascii="arial" w:eastAsia="arial" w:hAnsi="arial" w:cs="arial"/>
          <w:color w:val="000000"/>
          <w:sz w:val="20"/>
          <w:lang w:val="en-US" w:eastAsia="en-US" w:bidi="ar-SA"/>
        </w:rPr>
        <w:t xml:space="preserve"> be decided in favour of the plaintiff and she will recover judgment against the doctors as per paragraph 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is horribly complicated, and may very well dictate an adjournment of the August trial. It may be easier to deal with, although technically incorrect, if the solicitors are third partied into the present action, and pleadings and procedures dealt with by agreement. But even if an adjournment is necessary I can come to no other conclusion than that it would be potentially unfair to one or the other of the existing parties to assess the balance of justice before the extent of any fault of the original solicitors has been definitively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application is adjourned for consideration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BOLTON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27" style="position:absolute;z-index:25187737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0"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40"/>
      <w:r>
        <w:rPr>
          <w:rFonts w:ascii="arial" w:eastAsia="arial" w:hAnsi="arial" w:cs="arial"/>
          <w:sz w:val="20"/>
          <w:lang w:val="en-US" w:eastAsia="en-US" w:bidi="ar-SA"/>
        </w:rPr>
        <w:tab/>
      </w:r>
      <w:r>
        <w:rPr>
          <w:rFonts w:ascii="arial" w:eastAsia="arial" w:hAnsi="arial" w:cs="arial"/>
          <w:color w:val="6D6E71"/>
          <w:sz w:val="18"/>
          <w:lang w:val="en-US" w:eastAsia="en-US" w:bidi="ar-SA"/>
        </w:rPr>
        <w:t>I cannot bind the trial judge to apply the reasoning set out above, but I would hope that the same facts put in evidence at trial would lead to the same result as produced by those facts here.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Nason v. Nunes, [2007] B.C.J. No. 444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and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Nos. 36243 and 36244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M.V.R. (5th) 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489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Tamara Nason, Plaintiff, and Sergio Nunes, Argo Road Maintenance (South Okanagan) Inc. and Her Majesty the Queen in Right of the Province of British Columbia as represented by the Ministry of Transportation and Highways, Defendants, and Argo Road Maintenance (South Okanagan) Inc., Her Majesty the Queen in Right of the Province of British Columbia as represented by the Ministry of Transportation and Highways, Third Parties (Registry No. 36243) And between Licinio Santos, Plaintiff, and Sergio Nunes, Argo Road Maintenance (South Okanagan) Inc. and Her Majesty the Queen in Right of the Province of British Columbia as represented by the Ministry of Transportation and Highways, Defendants, and Argo Road Maintenance (South Okanagan) Inc., Her Majesty the Queen in Right of the Province of British Columbia as represented by the Ministry of Transportation and Highways, Third Parties (Registry No. 36244)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0"/>
      <w:bookmarkEnd w:id="141"/>
      <w:r>
        <w:rPr>
          <w:rFonts w:ascii="arial" w:eastAsia="arial" w:hAnsi="arial" w:cs="arial"/>
          <w:b/>
          <w:color w:val="000000"/>
          <w:sz w:val="20"/>
          <w:lang w:val="en-US" w:eastAsia="en-US" w:bidi="ar-SA"/>
        </w:rPr>
        <w:t>Civil evidence — Opinion evidence — Inadmissible opinions — Expert opinion noting braking would have avoided accident on bridge in icy conditions not admitted in action by injured persons against truck's driver — Opinion not reliable as no evidence showed expert conducted experiments on same bridge where accident occurred.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Disposition without trial — Dismissal of action — Action by passengers injured when truck went off road in icy conditions, against truck's driver and road maintenance company, dismissed — Road company met standard of care in maintaining road, classified as low-priority under contract with Ministry of Transportation and Highways — Driver met standard of care in driving slowly, having proper tires and weight over rear wheels of truck, and in gearing down to attempt to regain control of 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Contracts for work, materials and services — Obligations of supplier — Action by passengers injured when truck went off road in icy conditions, against road maintenance company, dismissed — Road company met standard of care in maintaining road, classified as low-priority under contract with Ministry of Transportation and Highways.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Standard of care — Action by passengers injured when truck went off road in icy conditions, against truck's driver, dismissed — Driver met standard of care in driving slowly, having proper tires and weight over rear wheels of truck, and in gearing down to attempt to regain control of truck.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8"/>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Agro and Nunes to dismiss actions by Nason and Santos against them on grounds they were not negligent -- Argo was responsible for road maintenance under contract with Ministry of Transport and Highways -- Nunes lost control of truck he was driving on bridge, classified low priority for maintenance -- Nason and Santos were passengers in Nunes' truck, injured when truck went off road and rolled over -- Accident occurred at 7:30 p.m. -- Nason and Santos claimed bridge was icy, should have been salted and sanded by Argo -- Evidence showed bridge was sanded by Argo employee sometime after 5:30 a.m. and before 3:30 p.m. -- Low priority roads were to be salted by Argo within four days of snowfall, were to be sanded within four hours during snowfall, under contract with Ministry -- Where black ice discovered, Argo required to salt roads within five hours of discovery -- Nunes testified there were no problems with traction at time of accident -- Testified he was aware of road conditions and was driving slowly -- Testified his loss of control caused by truck's rear wheels hitting bump between road surface and bridge -- Testified he geared down to try to regain control, rather than applying brakes -- Nason and Santos testified it was not snowing at time of accident, agreed Nunes was driving slowly -- Nason and Santos relied on expert report, showing Nunes should have been able to brake to halt in driving slowly enough -- HELD: Applications allowed and actions dismissed -- More probable than not it was not snowing at time of accident, given evidence from witnesses and Environment Canada -- Expert report not admitted, where it was not relevant because it did not establish braking was appropriate response to losing traction on bridge -- Report also unreliable, as expert may not have used same bridge to conduct experiments -- Argo clearly had duty of case to road users -- Argo met requirements of contract, was not negligent in performance of duties -- Ministry's identification of bridge as low priority was significant consideration in determining standard of care required from Argo -- Complete prevention of icy conditions not required under terms of contract -- Nunes not proven negligent --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truck went off road was rebutted by fact loss of control was initiated by truck's rear wheels hitting bump between road surface and bridge -- Nunes took all reasonable precautions to avoid losing traction, by having appropriate tires, driving slowly, having weight over rear wheels of truck -- No evidence showed greater precautions or other driving strategies would have been advisable.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15"/>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1"/>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Tamara Nason and Licinio Santos: Frank Scordo.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Sergio Nunes: Darren G. Blois.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Argo Road Maintenance: Adam H. Howden-Duke.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Anne Maloney.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1"/>
      <w:bookmarkEnd w:id="145"/>
      <w:r>
        <w:pict>
          <v:line id="_x0000_s1132"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RUSSELL J."/>
            <w:bookmarkEnd w:id="146"/>
            <w:r>
              <w:rPr>
                <w:rFonts w:ascii="arial" w:eastAsia="arial" w:hAnsi="arial" w:cs="arial"/>
                <w:b/>
                <w:color w:val="000000"/>
                <w:sz w:val="30"/>
                <w:lang w:val="en-US" w:eastAsia="en-US" w:bidi="ar-SA"/>
              </w:rPr>
              <w:t>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involves two lawsuits: the first brought against the road maintenance contractor Argo Road Maintenance (South Okanagan) Inc. ("Argo") and the second against the defendant driver Nunes. An order was made August 19, 2005 that they be heard concurrently. The two defendants have brought Rule 18A applications seeking dismissal of the actions against them on the ground they were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resists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All parties are agreed the matters are suitable for consideration under Rule 18A and while that agreement alone is not sufficient to bind the court, in this instance and after consideration of the factors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 I find this matter suitable for determination in a summary trial. The parties wisely adjourned generally the matter of the assessment of damages until this matter is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borrowed extensively from the facts set out by the parties. There is little actual disagreement about the facts among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Argo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a contract with the Ministry of Transport and Highways (the "Maintenance Contract"), Argo is responsible for road maintenance (for purposes of this decision, concerning snow and ice removal) in an area described as 15-20 km east of Oliver and 8-10 km west, to Okanagan Falls to the north, and to the US border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degree of priority to be afforded to the roads within this area is designated by a letter classification, with A' and B' roads to be given greater priority than C' roads. The differences in priority are indicated by time limits within which actions must be taken to address snow and ice on the roads. A' and B' roads must be attended to more quickly than C'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road on which the motor vehicle accident (the "MVA") occurred is known as Road 9. It is classified as a C' road. The MVA occurred at about 7:30 p.m. on December 27, 2002 when a truck driven by the defendant Nunes went off the road just west of the bridge after he lost control on the bridge. The truck's right wheel went off the road; the truck rolled 360 degrees and landed on its wheels. There were 3 occupants of the truck and the 2 passengers were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allege that ice on a bridge deck on a bridge over the Okanagan River on Road 9 caused or contributed to the MVA which resulted in their lawsuits. In their case against Argo, they allege that Argo was negligent in its duty of care to highway users by failing to meet its standard of care in not salting and sanding the bridge deck since it was reasonably foreseeable that with local weather conditions and temperature, ice could form on the bridge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not disputed that the bridge had likely been sanded by the maintenance worker responsible for it, Mr. Smith, during his shift. His evidence is not specific to that date but comes from his invariable practice and the notes he made and was required to make in the Yard Foreman's diary at the end of his shift. His notes are quite comprehensive and, notably, contain notations relating to the areas not covered by Mr. Smith. These notations indicate to drivers on the next shift that these areas require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Smith's shift began at 5:00 a.m. and concluded at 3:30 p.m. on December 27. Since he would have had to deal with start up details at the commencement of his shift and then travel from the Argo yard to Road 9, I find it more probable that the earliest time he would have sanded Road 9 was closer to 5:30 a.m. than any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Smith deposed that he most likely started his shift with the bridges over the Okanagan River on Roads 9, 18 and 22, as well as all hills in the area, because Road 9 was part of a school bus route. He paid special attention to areas where traction was required most: hills, bridges, bends and intersections. He may have gone over the bridge on Road 9 twice in his shift, but cannot specifically recall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also not disputed that Road 9 was not attended to by Argo between 3:30 p.m. and 7:30 p.m. on December 27, 2002. Thus, the length of time between the earliest time the Argo employee could have sanded Road 9 and the MVA is 14 hours, plus or minus half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Nason stated in her discovery evidence that the road was "gritty", thereby suggesting to me that she perceived the presence of sand on Road 9. The plaintiff Santos said he did not see sand on the road but "heard" it flicking against the bottom of the truck. I find there was sand on the road, including the bridge, at the time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requirements of the Maintenance Contract with respect to a C' road are: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must apply de-icing chemical (salt) to compacted surfaces within 4 days of the end of measurable snowfall and ploughing operations have ended;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must have removed compacted snow and ice within 7 days of the end of measurable snowfall and ploughing operations have ended;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snowfall, Argo must apply winter abrasive (sand) to restore traction within 4 hours from initial detection or notification;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must apply de-icing chemical (salt) to restore traction within 5 hours from initial detection or notification of black ice;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Argo must conduct a patrol of the road at least once every 16 hours when freezing temperatures or snowfall are present or anticipated;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above, if black ice or slippery conditions are encountered by a patrol, winter abrasive or de-icing chemical must be applied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serious dispute from the plaintiffs that Argo met the requirements of its contract with the Ministry and, in any event, there is no evidence of any failure to meet those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Prevailing Weather Conditions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weather reported at the time of the accident and just before it comes from weather data supplied by Environment Canada and from Argo's own journal notes of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Environment Canada forecast issued at 5:00 a.m. for the South Okanagan on December 27, 2002 was for periods of snow ending in the morning, with accumulations of 2 to 5 cm, with winds increasing to 40 km/h and gusts to 60 km/h by the afternoon, with a high near 6[degrees]C. By evening, the forecast was for mainly cloudy skies with wind at 40 km/h, easing overnight. The forecast low temperature was zero. The forecast issued at 4:00 p.m. for Friday evening was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time that Smith commenced his shift at 5:00 a.m., the temperature in Oliver was zero, the roadway was covered in compacted snow, it was overcast and snowing. At the end of his shift at 3:30 p.m., the temperature in Oliver was 4[degrees]C, the roadway was bare and wet, and it was overcast.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Argo's records indicate the following weather conditions in Oliver:</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 a.m.: 0[degrees]C, roads compact, skies overcast, snowing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3:00 p.m.: 4[degrees]C, roads bare and wet, skies overcast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 p.m.: 4.5[degrees]C, roads bare and dry and bare and wet, skies scattered clouds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9:00 p.m.: reports of black ice received, although not specific as to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Additionally, Environment Canada records for the surrounding areas do not indicate that there was a widespread drop in temperature around the time of the accident. The records for Penticton indicate that the temperature ranged between 3.9[degrees]C and 4.4[degrees]C, as measured hourly from 5:00 p.m. to 8:00 p.m., and that it was mostly cloudy. Records for Osoyoos indicate that the temperature was steadily dropping from 4.4[degrees]C at 5:00 p.m. to 2.1[degrees]C at 8:00 p.m. The weather conditions for Osoyoos at these times are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some disagreement among the parties as to the prevailing conditions at the scene of the MVA. Nunes recalled that it was snowing lightly, and that there was some snow on the roads. He had driven across the same bridge at approximately 6:30 p.m. that same evening, and had not noted ice on the roads or bridge, nor any problems with traction at the time. The roads were bare and wet at 6:30 p.m. according to the evidence of Nason. Both Nason and Santos stated that there was no precipitation at the time of the accident. I find it more probable than not that it was not snowing at the time of the MVA, and that, even if it was snowing lightly, this would not affect my determination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Defendant Driver Nunes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Nunes was familiar with the bridge in question, driving over it approximately ten times per week, and was aware that the bridge had a reputation for being slippery. He himself had not previously lost control on the bridge before the MVA. Nunes had driven across that bridge numerous times before in similar conditions. He had also driven across it in worse conditions, although not in that particular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truck involved in the MVA was a 1996 Ford F-150 2-wheel drive pickup, with a standard transmission. Nunes was the owner of the truck, and had put new all season tires (not snow tires) on his truck approximately two months before the accident occurred. Additionally, he had two 25-pound bags of sand in the rear of the truck, with one positioned over each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time of the MVA, Nunes was driving westbound on Road 9. The parties were driving from Santos' house to Nason's mother's house. There is some dispute as to whether Santos' mother warned Nunes to drive carefully because the roads were icy. However, I do not find this to be an important fact, because I find that Nunes was in fact himself aware of the risk of icy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plaintiffs were seated inside the truck on the bench seat; Ms. Nason in the middle and Mr. Santos on the right hand side. There is a fairly steep hill that curves slightly to the left before the bridge, and Nunes was slowing as he came down the hill toward the bridge because he knew that it might be slippery. He estimates that by the time he got to the bridge, he was travelling 30-40 km/h. The speed limit on Road 9 at that point is 60 km/h. The plaintiffs agree that he was travelling slowly. Neither has any concerns about Nunes' driving to the time of the accident, and they confirm that there were no traction problems prior to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truck came onto the bridge, the rear tires hit a bump between the pavement and the wooden deck of the bridge. The truck began to fishtail on the bridge, and Nunes steered to the left, into the skid, and shifted to second gear from third in order to slow the truck. After this manoeuvre, the back end of the truck shifted to the right, at which time the front of the truck was across the bridge. The truck then slid off the road approximately ten feet past the bridge, rolled over and landed on its wheels below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Expert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rely on a report prepared by Mr. Harvey West of Baker Materials Engineering Ltd. to show that a vehicle should be able to brake to a halt if travelling less than 40 km/h on an iced bridge deck of the same length as the bridge in this case. I have concluded that this report is not admissible because it is neither relevant nor helpful, in the sense that it is not necessary in assisting me to reach a conclusion in this case. Therefore, it does not meet the criteria set out in </w:t>
      </w:r>
      <w:r>
        <w:rPr>
          <w:rFonts w:ascii="arial" w:eastAsia="arial" w:hAnsi="arial" w:cs="arial"/>
          <w:b/>
          <w:i/>
          <w:color w:val="000000"/>
          <w:sz w:val="20"/>
          <w:lang w:val="en-US" w:eastAsia="en-US" w:bidi="ar-SA"/>
        </w:rPr>
        <w:t>R. v. Mohan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114 D.L.R. (4th) 419</w:t>
        </w:r>
      </w:hyperlink>
      <w:r>
        <w:rPr>
          <w:rFonts w:ascii="arial" w:eastAsia="arial" w:hAnsi="arial" w:cs="arial"/>
          <w:color w:val="000000"/>
          <w:sz w:val="20"/>
          <w:lang w:val="en-US" w:eastAsia="en-US" w:bidi="ar-SA"/>
        </w:rPr>
        <w:t xml:space="preserve"> for the admissibility of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report is not helpful because it does not assist me in determining the issue in this case, namely whether Nunes acted with reasonable prudence in driving his truck and responding to the loss of control. The fact that he could have stopped by the end of the bridge is only relevant if the plaintiff establishes that a reasonably prudent driver should apply the brakes in those circumstances: there is no evidence before me that braking is the appropriate response to losing traction on a bridge deck, or that Nunes acted unreasonably in gearing down instead of braking (aside from the expert's assertion that that by shifting down, Mr. Nunes was using only the rear wheels to slow his vehicle, while braking would have used all four wheels to slow the vehicle). For example, in </w:t>
      </w:r>
      <w:r>
        <w:rPr>
          <w:rFonts w:ascii="arial" w:eastAsia="arial" w:hAnsi="arial" w:cs="arial"/>
          <w:b/>
          <w:i/>
          <w:color w:val="000000"/>
          <w:sz w:val="20"/>
          <w:lang w:val="en-US" w:eastAsia="en-US" w:bidi="ar-SA"/>
        </w:rPr>
        <w:t>Steen v. British Columbia (Ministry of Transportation and Highways)</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(1999), 64 B.C.L.R. (3d) 111</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41 M.V.R. (3d) 122</w:t>
        </w:r>
      </w:hyperlink>
      <w:r>
        <w:rPr>
          <w:rFonts w:ascii="arial" w:eastAsia="arial" w:hAnsi="arial" w:cs="arial"/>
          <w:color w:val="000000"/>
          <w:sz w:val="20"/>
          <w:lang w:val="en-US" w:eastAsia="en-US" w:bidi="ar-SA"/>
        </w:rPr>
        <w:t xml:space="preserve"> (S.C.), inappropriate braking by the plaintiff once she started to skid was a factor in finding her contributorily negligent, because it may have decreased her ability to regain control of her vehicle (at [paragraph]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I find that the report is unreliable. It was not established to my satisfaction that the subject bridge used by Mr. West was in fact the same bridge as was involved in the MVA. Additionally, the report was based on coefficients of friction for asphalt or cement surfaces. While the author does not anticipate that results for black ice on a wood bridge deck would be significantly different, he offers no rationale to support this notion. For these reasons, I find the report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trite law that in order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that the defendant owed the plaintiff a duty of care, that the defendant failed to meet the applicable standard of care, and that the defendant's failure to do so caused the plaintiff damage: see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Allen M.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7th ed. (Markham and Vancouver: Butterworths, 2001). In this case, the key issues with respect to both defendants are whether the applicable standard of care was met, and whether any lack of care on their part caused the plaintiffs' injuries. The onus does not shift to the defendants to disprove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they bring this application under R. 18A: </w:t>
      </w:r>
      <w:r>
        <w:rPr>
          <w:rFonts w:ascii="arial" w:eastAsia="arial" w:hAnsi="arial" w:cs="arial"/>
          <w:b/>
          <w:i/>
          <w:color w:val="000000"/>
          <w:sz w:val="20"/>
          <w:lang w:val="en-US" w:eastAsia="en-US" w:bidi="ar-SA"/>
        </w:rPr>
        <w:t>Miura v. Miura</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12 B.C.A.C. 278</w:t>
        </w:r>
      </w:hyperlink>
      <w:r>
        <w:rPr>
          <w:rFonts w:ascii="arial" w:eastAsia="arial" w:hAnsi="arial" w:cs="arial"/>
          <w:color w:val="000000"/>
          <w:sz w:val="20"/>
          <w:lang w:val="en-US" w:eastAsia="en-US" w:bidi="ar-SA"/>
        </w:rPr>
        <w:t xml:space="preserve"> at [paragraph] 13; </w:t>
      </w:r>
      <w:r>
        <w:rPr>
          <w:rFonts w:ascii="arial" w:eastAsia="arial" w:hAnsi="arial" w:cs="arial"/>
          <w:b/>
          <w:i/>
          <w:color w:val="000000"/>
          <w:sz w:val="20"/>
          <w:lang w:val="en-US" w:eastAsia="en-US" w:bidi="ar-SA"/>
        </w:rPr>
        <w:t>Goodwin v. Goodwin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2006 BCSC 218</w:t>
        </w:r>
      </w:hyperlink>
      <w:r>
        <w:rPr>
          <w:rFonts w:ascii="arial" w:eastAsia="arial" w:hAnsi="arial" w:cs="arial"/>
          <w:color w:val="000000"/>
          <w:sz w:val="20"/>
          <w:lang w:val="en-US" w:eastAsia="en-US" w:bidi="ar-SA"/>
        </w:rPr>
        <w:t xml:space="preserve"> at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Liability of Argo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not disputed that Argo owed a duty of care to users of the road by reason of its maintenance contract with the province. The cases of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41 B.C.L.R. (2d) 350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89 B.C.L.R. (2d) 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43 B.C.L.R. (3d) 154</w:t>
        </w:r>
      </w:hyperlink>
      <w:r>
        <w:rPr>
          <w:rFonts w:ascii="arial" w:eastAsia="arial" w:hAnsi="arial" w:cs="arial"/>
          <w:color w:val="000000"/>
          <w:sz w:val="20"/>
          <w:lang w:val="en-US" w:eastAsia="en-US" w:bidi="ar-SA"/>
        </w:rPr>
        <w:t xml:space="preserve"> clearly establish this principle. These cases also provide guidance on which government decisions will be considered policy decisions, for which the government is immune from tortious liability, and which will be considered operational decisions, for which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submit that Argo's decision in how to carry out its obligations under the Maintenance Contract was an operational decision. Argo counters that there are many policy aspects to its decision as to the level of attention to be paid to Road 9, the most important of which is the terms of its maintenance contract with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with the plaintiff that Argo's maintenance activities were operational in nature. However, that fact in itself does not mean that the strict private law standard of care applies to Argo: the government policy decisions that went into the delegation of its operational responsibilities are highly relevant to defining the appropriate standard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standard of care applicable to a contractor responsible for maintaining the highways was recently set out by the Court of Appeal in </w:t>
      </w:r>
      <w:r>
        <w:rPr>
          <w:rFonts w:ascii="arial" w:eastAsia="arial" w:hAnsi="arial" w:cs="arial"/>
          <w:b/>
          <w:i/>
          <w:color w:val="000000"/>
          <w:sz w:val="20"/>
          <w:lang w:val="en-US" w:eastAsia="en-US" w:bidi="ar-SA"/>
        </w:rPr>
        <w:t>Benoit v. Farrell Estate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(2004), 27 B.C.L.R. (4th) 226</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2004 BCCA 348</w:t>
        </w:r>
      </w:hyperlink>
      <w:r>
        <w:rPr>
          <w:rFonts w:ascii="arial" w:eastAsia="arial" w:hAnsi="arial" w:cs="arial"/>
          <w:color w:val="000000"/>
          <w:sz w:val="20"/>
          <w:lang w:val="en-US" w:eastAsia="en-US" w:bidi="ar-SA"/>
        </w:rPr>
        <w:t xml:space="preserve"> at [paragraph] 39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 that Mainroad's duty is coterminous with the Crown's duty of care to users of public highways in respect of operational matters. They agree that the decision whether to apply salt to Highway #4 was an operational decision and that the duty of Mainroad was to take reasonable care to prevent injury to users of the highway by icy conditions: </w:t>
      </w:r>
      <w:r>
        <w:rPr>
          <w:rFonts w:ascii="arial" w:eastAsia="arial" w:hAnsi="arial" w:cs="arial"/>
          <w:b/>
          <w:i/>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439. The standard of care in respect of highway maintenance was more recently described in </w:t>
      </w:r>
      <w:r>
        <w:rPr>
          <w:rFonts w:ascii="arial" w:eastAsia="arial" w:hAnsi="arial" w:cs="arial"/>
          <w:b/>
          <w:i/>
          <w:color w:val="000000"/>
          <w:sz w:val="20"/>
          <w:lang w:val="en-US" w:eastAsia="en-US" w:bidi="ar-SA"/>
        </w:rPr>
        <w:t>Houssen v. Nikolaisen</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[paragraph] 38, quoting from </w:t>
      </w:r>
      <w:r>
        <w:rPr>
          <w:rFonts w:ascii="arial" w:eastAsia="arial" w:hAnsi="arial" w:cs="arial"/>
          <w:b/>
          <w:i/>
          <w:color w:val="000000"/>
          <w:sz w:val="20"/>
          <w:lang w:val="en-US" w:eastAsia="en-US" w:bidi="ar-SA"/>
        </w:rPr>
        <w:t>Partridge v. Rural Municipality of Langenburg</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[1929] 3 W.W.R. 555</w:t>
        </w:r>
      </w:hyperlink>
      <w:r>
        <w:rPr>
          <w:rFonts w:ascii="arial" w:eastAsia="arial" w:hAnsi="arial" w:cs="arial"/>
          <w:color w:val="000000"/>
          <w:sz w:val="20"/>
          <w:lang w:val="en-US" w:eastAsia="en-US" w:bidi="ar-SA"/>
        </w:rPr>
        <w:t xml:space="preserve"> at 558-59 (Sask.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road must be kept in such a reasonable state of repair that those requiring to use it may, exercising ordinary care, travel upon it with safety. What is a reasonable state of repair is a question of fact, depending upon all the surrounding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Benoit</w:t>
      </w:r>
      <w:r>
        <w:rPr>
          <w:rFonts w:ascii="arial" w:eastAsia="arial" w:hAnsi="arial" w:cs="arial"/>
          <w:color w:val="000000"/>
          <w:sz w:val="20"/>
          <w:lang w:val="en-US" w:eastAsia="en-US" w:bidi="ar-SA"/>
        </w:rPr>
        <w:t>, the contractor was held liable for failing to anticipate a freezing of the roads and failing to apply salt in a timely manner to a classification A' highway. Expert evidence established that the lowest temperatures, predicted to be 0[degrees]C, would be observed at daybreak. The evidence also established that clearing was predicted in the forecast, and that clearing did in fact take place. Despite this fact, one employee had not salted the area, thinking the temperature would hold, while another had turned off the main highway to salt lower priority roads in response to a complaint about icy conditions on a side road. The Court of Appeal affirmed that these actions fell below the required standard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Crown is not subject to an unlimited duty to ensure the safety of users of the road. As stated by Goldie J.A. in </w:t>
      </w:r>
      <w:r>
        <w:rPr>
          <w:rFonts w:ascii="arial" w:eastAsia="arial" w:hAnsi="arial" w:cs="arial"/>
          <w:b/>
          <w:i/>
          <w:color w:val="000000"/>
          <w:sz w:val="20"/>
          <w:lang w:val="en-US" w:eastAsia="en-US" w:bidi="ar-SA"/>
        </w:rPr>
        <w:t>Dagneault v. Hatton</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(1995), 8 B.C.L.R. (3d) 108</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59 B.C.A.C. 55</w:t>
        </w:r>
      </w:hyperlink>
      <w:r>
        <w:rPr>
          <w:rFonts w:ascii="arial" w:eastAsia="arial" w:hAnsi="arial" w:cs="arial"/>
          <w:color w:val="000000"/>
          <w:sz w:val="20"/>
          <w:lang w:val="en-US" w:eastAsia="en-US" w:bidi="ar-SA"/>
        </w:rPr>
        <w:t xml:space="preserve"> at [paragraph] 34, quoting the majority of the Supreme Court of Canada in </w:t>
      </w:r>
      <w:r>
        <w:rPr>
          <w:rFonts w:ascii="arial" w:eastAsia="arial" w:hAnsi="arial" w:cs="arial"/>
          <w:b/>
          <w:i/>
          <w:color w:val="000000"/>
          <w:sz w:val="20"/>
          <w:lang w:val="en-US" w:eastAsia="en-US" w:bidi="ar-SA"/>
        </w:rPr>
        <w:t>Brown v. 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32-33: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it was determined that there was a duty of care resting on the Department to reasonably maintain the provincial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duty to maintain would extend to the prevention of injury to users of the road by icy conditions. However the Department is only responsible for taking reasonable steps to prevent injury. Ice is a natural hazard of Canadian winters. It can form quickly and unexpectedly. Although it is an expected hazard it is one that can never be completely prevented. Any attempt to do so would be prohibitively expensive. It can be expected that a Department of Highways will develop policies to cope with the hazards of 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Thus, it is apparent that the standard of care does not extend to keeping every road free of ice at all times. It follows that the determination of what is a "reasonable state of repair" must necessarily be informed by the government's policy decisions as to the level of operational responsibility delegated to its contractor for a classification C' road. As stated by Goldie J.A. for the Court of Appeal in </w:t>
      </w:r>
      <w:r>
        <w:rPr>
          <w:rFonts w:ascii="arial" w:eastAsia="arial" w:hAnsi="arial" w:cs="arial"/>
          <w:b/>
          <w:i/>
          <w:color w:val="000000"/>
          <w:sz w:val="20"/>
          <w:lang w:val="en-US" w:eastAsia="en-US" w:bidi="ar-SA"/>
        </w:rPr>
        <w:t>Dagneault v. Hatton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apparent a large measure of responsibility for "operational implementation" is delegated to [the contractor] under the Maintenance Contract. It is equally apparent the scope of that delegation is delineated by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such policy decision is the classification of highways and the assignment of response times to specified road conditions anticipated to occur under winter conditions. This bears directly on the equipment and stores the contractor must have on hand. It may also reflect budgetary constraints as the higher the classification the greater the allocation of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scope of delegated responsibility is reflected in the relatively low priority accorded to Road 9 in the Maintenance Contract in this case. That low priority necessarily informs the standard of care to be applied to Argo, who is charged with discharging those aspects of the Crown's operational responsibilities delegated to it pursuant to the Maintenance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 Compliance with the Terms of the Maintenance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it is clear that Argo met the requirements of the Maintenance Contract. The issue, then, is whether compliance with the contractual duties delegated by the Crown is sufficient to meet the standard of care required of Argo. After reviewing the authorities, I have concluded that in this case it was, and that Argo was not negligent in the manner in which it discharged those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role played by a maintenance contract in determining whether the appropriate standard of care has been met varies. While the contract may inform the standard of care, it is not determinative. For example, in </w:t>
      </w:r>
      <w:r>
        <w:rPr>
          <w:rFonts w:ascii="arial" w:eastAsia="arial" w:hAnsi="arial" w:cs="arial"/>
          <w:b/>
          <w:i/>
          <w:color w:val="000000"/>
          <w:sz w:val="20"/>
          <w:lang w:val="en-US" w:eastAsia="en-US" w:bidi="ar-SA"/>
        </w:rPr>
        <w:t>Benoit v. Farrell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it was noted that a contractor cannot be held to a higher standard of care to users of the road than the Crown would be (at [paragraph] 40). In that case, the contractor had breached some terms of its contract with the Crown. However, the Court of Appeal concluded that the trial judge had correctly applied the standard of reasonable care in determining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did not find fault with the contractor because it had failed to adhere to the terms of its contract. Therefore his decision was not in error. Similarly, in </w:t>
      </w:r>
      <w:r>
        <w:rPr>
          <w:rFonts w:ascii="arial" w:eastAsia="arial" w:hAnsi="arial" w:cs="arial"/>
          <w:b/>
          <w:i/>
          <w:color w:val="000000"/>
          <w:sz w:val="20"/>
          <w:lang w:val="en-US" w:eastAsia="en-US" w:bidi="ar-SA"/>
        </w:rPr>
        <w:t>Holbrook (Guardian ad litem of) v. Argo Road Maintenance</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(1996), 31 C.C.L.T. (2d) 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Holbrook v. Argo</w:t>
      </w:r>
      <w:r>
        <w:rPr>
          <w:rFonts w:ascii="arial" w:eastAsia="arial" w:hAnsi="arial" w:cs="arial"/>
          <w:color w:val="000000"/>
          <w:sz w:val="20"/>
          <w:lang w:val="en-US" w:eastAsia="en-US" w:bidi="ar-SA"/>
        </w:rPr>
        <w:t>"), Meiklem J. concluded that the contract could not operate to raise the standard of care. In that case, the contract required more than what was reasonable in the circumstances. Although the contractor had breached the strictly interpreted terms of the contract, it had met the standard of reasonable care required in the circumstances, and was therefore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Steen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Romilly J. noted at [paragraph] 36 that the case was not one of contracts, and that the issue was not compliance with the contract, but rather whether the contractor was negligent in keeping the roads safe for members of the public. In that case, the accident occurred on a classification A' highway. The contractor had been given notice of icy conditions in the area of the accident; ten minutes later an employee arrived at the area and spread a mixture of sand and salt. However, the trial judge concluded that the employee had either not dealt with the problem or was negligent in how he dealt with it, as at the time of the accident the highway was "like a skating rink" (at [paragraph] 13). Therefore, the contractor was negligent in failing to effectively remedy the hazardous situation. The above decisions suggest that breach of the maintenance contract, in and of itself, is not determinative of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Foster v. Perry</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2005 BCSC 1214</w:t>
        </w:r>
      </w:hyperlink>
      <w:r>
        <w:rPr>
          <w:rFonts w:ascii="arial" w:eastAsia="arial" w:hAnsi="arial" w:cs="arial"/>
          <w:color w:val="000000"/>
          <w:sz w:val="20"/>
          <w:lang w:val="en-US" w:eastAsia="en-US" w:bidi="ar-SA"/>
        </w:rPr>
        <w:t xml:space="preserve"> at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Other cases suggest that compliance with the contract will be sufficient to discharge the contractor's duty of care to users of the road. In </w:t>
      </w:r>
      <w:r>
        <w:rPr>
          <w:rFonts w:ascii="arial" w:eastAsia="arial" w:hAnsi="arial" w:cs="arial"/>
          <w:b/>
          <w:i/>
          <w:color w:val="000000"/>
          <w:sz w:val="20"/>
          <w:lang w:val="en-US" w:eastAsia="en-US" w:bidi="ar-SA"/>
        </w:rPr>
        <w:t>Dagneault v. Hatton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Goldie J.A. concluded that the contractual provisions in the maintenance contract respecting the removal of ice met the requirement of taking reasonable steps to prevent injury (at [paragraph] 36-37). In that case, the contractor's response to the development of hazardous conditions had been prompt: a driver had been sanding a steep hill, as he had been requested to do, but had to turn off his sanding apparatus to safely proceed up the hill. Rather than turning around to remedy the situation on the hill, the driver continued on to determine whether the slippery road conditions continued. An accident occurred on the hill within minutes thereafter, but the contractor was found not to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Holbrook v. Argo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supra, </w:t>
      </w:r>
      <w:r>
        <w:rPr>
          <w:rFonts w:ascii="arial" w:eastAsia="arial" w:hAnsi="arial" w:cs="arial"/>
          <w:color w:val="000000"/>
          <w:sz w:val="20"/>
          <w:lang w:val="en-US" w:eastAsia="en-US" w:bidi="ar-SA"/>
        </w:rPr>
        <w:t xml:space="preserve">Meiklem J. interpreted </w:t>
      </w:r>
      <w:r>
        <w:rPr>
          <w:rFonts w:ascii="arial" w:eastAsia="arial" w:hAnsi="arial" w:cs="arial"/>
          <w:b/>
          <w:i/>
          <w:color w:val="000000"/>
          <w:sz w:val="20"/>
          <w:lang w:val="en-US" w:eastAsia="en-US" w:bidi="ar-SA"/>
        </w:rPr>
        <w:t>Sloan v. Northcoast Road Maintenance Ltd.</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[1993] B.C.J. No. 2655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Sloan v. Northcoast</w:t>
      </w:r>
      <w:r>
        <w:rPr>
          <w:rFonts w:ascii="arial" w:eastAsia="arial" w:hAnsi="arial" w:cs="arial"/>
          <w:color w:val="000000"/>
          <w:sz w:val="20"/>
          <w:lang w:val="en-US" w:eastAsia="en-US" w:bidi="ar-SA"/>
        </w:rPr>
        <w:t xml:space="preserve">"), as implicitly holding that a maintenance contract was not a policy decision on the level of maintenance, but was viewed as defining the upper limit of the standard of care owed to the public by the contractor. In that case, the plaintiff's vehicle was struck by a slab of snow-ice falling from above. Errico J. interpreted the contract as not requiring the contractor to remove ice of the type that struck the plaintiff's vehicle. Similarly, the contractor was not obligated to report weather conditions at that particular location to the Ministry of Transportation and Highways. Errico J. concluded that the services not contracted for fell outside the contractor's duty of care, but within the Crown's duty of care. Accordingly, the Crown was held liable for the breach of duty to the public. As the only issue to be decided was whether the contractor was liable to indemnify the Crown pursuant to the terms of its contract, the issue of whether the Crown had made a policy decision as to what operational functions should be performed by exhaustively stating these in the maintenance contract was not addressed in the </w:t>
      </w:r>
      <w:r>
        <w:rPr>
          <w:rFonts w:ascii="arial" w:eastAsia="arial" w:hAnsi="arial" w:cs="arial"/>
          <w:b/>
          <w:i/>
          <w:color w:val="000000"/>
          <w:sz w:val="20"/>
          <w:lang w:val="en-US" w:eastAsia="en-US" w:bidi="ar-SA"/>
        </w:rPr>
        <w:t>Sloan</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reasons why the contractual delegation of operational responsibility may act as a cap on the standard of care expected of the contractor were thoroughly explained by Meiklem J. in </w:t>
      </w:r>
      <w:r>
        <w:rPr>
          <w:rFonts w:ascii="arial" w:eastAsia="arial" w:hAnsi="arial" w:cs="arial"/>
          <w:b/>
          <w:i/>
          <w:color w:val="000000"/>
          <w:sz w:val="20"/>
          <w:lang w:val="en-US" w:eastAsia="en-US" w:bidi="ar-SA"/>
        </w:rPr>
        <w:t>Holbrook v. Argo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26-33. Of particular interest is this passage found at [paragraph] 27-28 and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analysis prescribed by the majority of the Supreme Court of Canada in the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cases, policy decisions of the Crown are not reviewable and in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it was expressly held that decisions as to the level of road maintenance are decisions of policy and cannot be reviewed on a private law standard of reasonableness. They are only reviewable if so irrational as not to be a proper exercise of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of these principles of course allows the government ministry to indirectly establish the upper limits of the standard of care that they are then held to in their operational functions. Thus the courts defer in a substantial way to the government ministry and the operational standard of care slides up and down the scale according to the level of road maintenance that is set as a matter of policy. Thus if a private law standard of reasonableness in a certain storm condition might suggest hourly patrols but policy has set the frequency of patrols at daily, the latter would prevail as the applicable standard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Crown can indirectly lower the standard of care applicable to its own Ministry by virtue of a policy decision and it can also effectively limit the liability of its contractors by not contracting out some of the operational functions necessary to discharge its original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Thus, the Crown determines what level of attention each road should receive as a matter of policy. It then may delegate the responsibility for providing that level of attention to independent contractors, who are to be judged on their operational implementation of the maintenance contract on a standard of care within the boundaries set by government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From these authorities I conclude that, while the contractual terms are not determinative of the appropriate standard of care, they are highly significant in formulating a standard appropriate in all of the circumstances. The delegation of operational responsibility via such maintenance contracts represents the Crown's policy decision as to what road should be accorded what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the Crown may make contracts that provide for a greater level of maintenance than what is reasonable in the circumstances (as in </w:t>
      </w:r>
      <w:r>
        <w:rPr>
          <w:rFonts w:ascii="arial" w:eastAsia="arial" w:hAnsi="arial" w:cs="arial"/>
          <w:b/>
          <w:i/>
          <w:color w:val="000000"/>
          <w:sz w:val="20"/>
          <w:lang w:val="en-US" w:eastAsia="en-US" w:bidi="ar-SA"/>
        </w:rPr>
        <w:t>Holbrook v. Argo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or less than what is reasonable in the circumstances (as in </w:t>
      </w:r>
      <w:r>
        <w:rPr>
          <w:rFonts w:ascii="arial" w:eastAsia="arial" w:hAnsi="arial" w:cs="arial"/>
          <w:b/>
          <w:i/>
          <w:color w:val="000000"/>
          <w:sz w:val="20"/>
          <w:lang w:val="en-US" w:eastAsia="en-US" w:bidi="ar-SA"/>
        </w:rPr>
        <w:t>Sloan v. Northcoast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contractor was not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it met the contractual standards). Thus, compliance with or breach of the contract will not be determinative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where a court considers that the maintenance contract provides for what is reasonable in the circumstances, compliance with the terms of the contract will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establish that the contractor was not negligent. For example, in </w:t>
      </w:r>
      <w:r>
        <w:rPr>
          <w:rFonts w:ascii="arial" w:eastAsia="arial" w:hAnsi="arial" w:cs="arial"/>
          <w:b/>
          <w:i/>
          <w:color w:val="000000"/>
          <w:sz w:val="20"/>
          <w:lang w:val="en-US" w:eastAsia="en-US" w:bidi="ar-SA"/>
        </w:rPr>
        <w:t>Dagneault v. Hatton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of Appeal concluded that the terms of the maintenance contract met the requirement of taking reasonable steps to avoid injury. But that does not end the matter: despite compliance with the contract, the contractor may still be negligent if it fails to perform the terms of the contract with reasonable care. For example, in </w:t>
      </w:r>
      <w:r>
        <w:rPr>
          <w:rFonts w:ascii="arial" w:eastAsia="arial" w:hAnsi="arial" w:cs="arial"/>
          <w:b/>
          <w:i/>
          <w:color w:val="000000"/>
          <w:sz w:val="20"/>
          <w:lang w:val="en-US" w:eastAsia="en-US" w:bidi="ar-SA"/>
        </w:rPr>
        <w:t>Steen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although the contractor may have responded quickly enough to meet its contractual obligations, its employee was negligent in the manner of dispensing salt onto the road, such that hazardous ice was not remedied. The contractor was therefore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Application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Province of British Columbia is, by consent, no longer a party to this action. Thus, any liability that might exist for the policy decision as to what level of maintenance Road 9 required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I have concluded that Argo met the required standard of care by fully and adequately discharging its obligations under the Maintenance Contract. The only evidence I have before me of the appropriate standard of care for Road 9 is the Maintenance Contract, which represents a policy decision by the government as to how road maintenance is prioritized. The plaintiffs led no evidence of what Argo could reasonably have done to render the bridge not slippery. They simply assert that, because the road was slippery, Argo must have been negligent in not continuing to monitor the roads in light of snowfall earlier in the day and a forecast low of zero degrees overnight. This is despite the fact that Mr. Smith indicated at the end of his shift that the road was "OK," and that Argo had to patrol the road with a frequency of every 16 hours if freezing temperatures were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the authorities make clear, the complete prevention of icy conditions is not the applicable standard of care. Here, Argo was required to patrol the road every 16 hours, which it did, and to respond within 5 hours if notified that a classification C' road was slippery. In the circumstances, Argo did all that was expected of it under the Maintenance Contract, and all that was reasonable in the circumstances, to maintain Road 9 in a condition safe for the driving public. As I have stated, I find that there was sand on the bridge at the time of the accident. Further remedial measures could only reasonably be undertaken if Argo's patrols discovered the icy conditions on Road 9 (within 16 hours of freezing conditions being anticipated), or if a member of the public reported the icy conditions (within 5 hours of such a report). To hold the contractor to a higher standard of care by requiring more patrols than set out in the Maintenance Contract would completely ignore the government's policy as to how resources were to be allocated to Road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Additionally, to distinguish </w:t>
      </w:r>
      <w:r>
        <w:rPr>
          <w:rFonts w:ascii="arial" w:eastAsia="arial" w:hAnsi="arial" w:cs="arial"/>
          <w:b/>
          <w:i/>
          <w:color w:val="000000"/>
          <w:sz w:val="20"/>
          <w:lang w:val="en-US" w:eastAsia="en-US" w:bidi="ar-SA"/>
        </w:rPr>
        <w:t>Benoit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 point out that there is no evidence before me that Argo knew or should have known that black ice was likely to form that evening. No expert evidence was led to this effect, and the recorded temperatures in the surrounding areas were all above freezing, even until 8:00 p.m. As Argo points out, the expert evidence in </w:t>
      </w:r>
      <w:r>
        <w:rPr>
          <w:rFonts w:ascii="arial" w:eastAsia="arial" w:hAnsi="arial" w:cs="arial"/>
          <w:b/>
          <w:i/>
          <w:color w:val="000000"/>
          <w:sz w:val="20"/>
          <w:lang w:val="en-US" w:eastAsia="en-US" w:bidi="ar-SA"/>
        </w:rPr>
        <w:t>Benoit</w:t>
      </w:r>
      <w:r>
        <w:rPr>
          <w:rFonts w:ascii="arial" w:eastAsia="arial" w:hAnsi="arial" w:cs="arial"/>
          <w:color w:val="000000"/>
          <w:sz w:val="20"/>
          <w:lang w:val="en-US" w:eastAsia="en-US" w:bidi="ar-SA"/>
        </w:rPr>
        <w:t xml:space="preserve"> established that the lowest temperatures (in this case a forecast low of zero degrees) occur just before daybreak. Argo could not reasonably foresee that black ice would form in that particular location on that evening, as compared with all the other roads it was obligated to patrol, and therefore its regular patrols (every 16 hours) and maintenance sufficed to meet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Liability of Nunes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With respect to the defendant driver, the plaintiff relies on the presumption that a driver is negligent if his or her vehicle goes off the road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Redlack v. Vekved</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 xml:space="preserve"> at [paragraph] 17; </w:t>
      </w:r>
      <w:r>
        <w:rPr>
          <w:rFonts w:ascii="arial" w:eastAsia="arial" w:hAnsi="arial" w:cs="arial"/>
          <w:b/>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(1996), 25 B.C.L.R. (3d) 1</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77 B.C.A.C. 98</w:t>
        </w:r>
      </w:hyperlink>
      <w:r>
        <w:rPr>
          <w:rFonts w:ascii="arial" w:eastAsia="arial" w:hAnsi="arial" w:cs="arial"/>
          <w:color w:val="000000"/>
          <w:sz w:val="20"/>
          <w:lang w:val="en-US" w:eastAsia="en-US" w:bidi="ar-SA"/>
        </w:rPr>
        <w:t xml:space="preserve"> at [paragraph] 28). The plaintiff argues that Nunes should have been aware of the possible ice conditions, and should have driven slowly and with greater caution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the plaintiff's reliance on a number of cases holding that drivers should have foreseen icy conditions is not of assistance in this case: the plaintiff was in actual fact aware of the possibility of icy conditions, and had taken steps to drive accordingly. This case is not like </w:t>
      </w:r>
      <w:r>
        <w:rPr>
          <w:rFonts w:ascii="arial" w:eastAsia="arial" w:hAnsi="arial" w:cs="arial"/>
          <w:b/>
          <w:i/>
          <w:color w:val="000000"/>
          <w:sz w:val="20"/>
          <w:lang w:val="en-US" w:eastAsia="en-US" w:bidi="ar-SA"/>
        </w:rPr>
        <w:t>Savinkoff v. Seggewiss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Durant v. Lennard</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157 B.C.A.C. 89</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BCCA 449</w:t>
        </w:r>
      </w:hyperlink>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Cranfield v. McKay</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2004 BCSC 291</w:t>
        </w:r>
      </w:hyperlink>
      <w:r>
        <w:rPr>
          <w:rFonts w:ascii="arial" w:eastAsia="arial" w:hAnsi="arial" w:cs="arial"/>
          <w:color w:val="000000"/>
          <w:sz w:val="20"/>
          <w:lang w:val="en-US" w:eastAsia="en-US" w:bidi="ar-SA"/>
        </w:rPr>
        <w:t>, in which the drivers ought to have foreseen the risk of icy conditions, as judged on an objective standard, and adjusted their driving accordingly. Here, the plaintiff actually had foreseen the risk of slippery conditions on the bridge. Thus, whether in fact the plaintiff's mother may have told Nunes to drive carefully because it was icy is not relevant-he himself was aware of the risk. I find that he took reasonable steps to avoid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follows that the real force of the plaintiff's argument in favour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from authorities that assert that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if a driver's car leaves the roadway. I agree with the defendant that the appropriate treatment of this presumption is as stated by the Supreme Court of Canada in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In that case, which involved a motor vehicle accident, the Court clarified that the maxim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should be treated as expired (at [paragraph] 26-27). Rather, the trier of fact should weigh the circumstantial evidence with the direct evidence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plaintiff does so, then the defendant must present evidence negating that of the plaintiff, or the plaintiff must necessarily succeed (at [paragraph] 27). The Court clarified that whether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drawn from circumstantial evidence is highly dependent on the facts of each case (at [paragraph] 20, 35), and that the strength of the explanation the defendant must provide will vary in accordance with the strength of the inference sought to be drawn by the plaintiff (at [paragraph]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reasoning in </w:t>
      </w:r>
      <w:r>
        <w:rPr>
          <w:rFonts w:ascii="arial" w:eastAsia="arial" w:hAnsi="arial" w:cs="arial"/>
          <w:b/>
          <w:i/>
          <w:color w:val="000000"/>
          <w:sz w:val="20"/>
          <w:lang w:val="en-US" w:eastAsia="en-US" w:bidi="ar-SA"/>
        </w:rPr>
        <w:t>Fontaine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applied by this Court in the cases of </w:t>
      </w:r>
      <w:r>
        <w:rPr>
          <w:rFonts w:ascii="arial" w:eastAsia="arial" w:hAnsi="arial" w:cs="arial"/>
          <w:b/>
          <w:i/>
          <w:color w:val="000000"/>
          <w:sz w:val="20"/>
          <w:lang w:val="en-US" w:eastAsia="en-US" w:bidi="ar-SA"/>
        </w:rPr>
        <w:t>Cranfield v. McKay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[paragraph] 20-22; and </w:t>
      </w:r>
      <w:r>
        <w:rPr>
          <w:rFonts w:ascii="arial" w:eastAsia="arial" w:hAnsi="arial" w:cs="arial"/>
          <w:b/>
          <w:i/>
          <w:color w:val="000000"/>
          <w:sz w:val="20"/>
          <w:lang w:val="en-US" w:eastAsia="en-US" w:bidi="ar-SA"/>
        </w:rPr>
        <w:t>Steen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46-47. In both cases, the relevant party was found to have been proven negligent. The presumption was recently cited in </w:t>
      </w:r>
      <w:r>
        <w:rPr>
          <w:rFonts w:ascii="arial" w:eastAsia="arial" w:hAnsi="arial" w:cs="arial"/>
          <w:b/>
          <w:i/>
          <w:color w:val="000000"/>
          <w:sz w:val="20"/>
          <w:lang w:val="en-US" w:eastAsia="en-US" w:bidi="ar-SA"/>
        </w:rPr>
        <w:t>Foster v. Perry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10; however,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was clearly established by the evidence: the defendant was driving too fast for conditions, failed to engage four-wheel drive, and had no weight over the rear-drive wheels of the pickup she was driving (at [paragraph] 15-16). Thus, resort to the presumption was not necessary to decide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the case at bar, I have concluded that the plaintiffs have failed to prove that Nunes was negligent. The plaintiffs cannot rely on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shift the onus of disproving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onto Nunes. In any case, I am satisfied that Nunes has demonstrated that he drove with all reasonable care, and that any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rebutted by the fact that the loss of control was initiated by the rear wheels of the truck hitting the bump between the road surface and the bridge. As stated by Boyle L.J.S.C. referring to black ice in </w:t>
      </w:r>
      <w:r>
        <w:rPr>
          <w:rFonts w:ascii="arial" w:eastAsia="arial" w:hAnsi="arial" w:cs="arial"/>
          <w:b/>
          <w:i/>
          <w:color w:val="000000"/>
          <w:sz w:val="20"/>
          <w:lang w:val="en-US" w:eastAsia="en-US" w:bidi="ar-SA"/>
        </w:rPr>
        <w:t>Loy v. Deacon</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[1985] B.C.J. No. 1048</w:t>
        </w:r>
      </w:hyperlink>
      <w:r>
        <w:rPr>
          <w:rFonts w:ascii="arial" w:eastAsia="arial" w:hAnsi="arial" w:cs="arial"/>
          <w:color w:val="000000"/>
          <w:sz w:val="20"/>
          <w:lang w:val="en-US" w:eastAsia="en-US" w:bidi="ar-SA"/>
        </w:rPr>
        <w:t>, 1985 Carswell BC 1412 at [paragraph] 18 (S.C.) (eC), "[v]arious normal, non-negligent factors - braking, accelerating, turning - can cause skidding in these conditions." I am satisfied that striking a bump which caused the rear wheels to lose traction is a sufficient non-negligent explanation for why the truck began to fishtail.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Not all accidents will necessarily arise because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Phillips v. Lyle</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[1990] B.C.J. No. 212</w:t>
        </w:r>
      </w:hyperlink>
      <w:r>
        <w:rPr>
          <w:rFonts w:ascii="arial" w:eastAsia="arial" w:hAnsi="arial" w:cs="arial"/>
          <w:color w:val="000000"/>
          <w:sz w:val="20"/>
          <w:lang w:val="en-US" w:eastAsia="en-US" w:bidi="ar-SA"/>
        </w:rPr>
        <w:t xml:space="preserve"> at [paragraph] 5 (C.A.); </w:t>
      </w:r>
      <w:r>
        <w:rPr>
          <w:rFonts w:ascii="arial" w:eastAsia="arial" w:hAnsi="arial" w:cs="arial"/>
          <w:b/>
          <w:i/>
          <w:color w:val="000000"/>
          <w:sz w:val="20"/>
          <w:lang w:val="en-US" w:eastAsia="en-US" w:bidi="ar-SA"/>
        </w:rPr>
        <w:t>Durant v. Lennard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15,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Southin J.A., dissenting in the result. Further, where defendants take all reasonable precautions in the circumstances, they will 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McIntosh v. I.C.B.C.</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(2003), 38 M.V.R. (4th) 80</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2003 BCSC 775</w:t>
        </w:r>
      </w:hyperlink>
      <w:r>
        <w:rPr>
          <w:rFonts w:ascii="arial" w:eastAsia="arial" w:hAnsi="arial" w:cs="arial"/>
          <w:color w:val="000000"/>
          <w:sz w:val="20"/>
          <w:lang w:val="en-US" w:eastAsia="en-US" w:bidi="ar-SA"/>
        </w:rPr>
        <w:t xml:space="preserve"> (where the defendant was aware of the risk of encountering slippery sections or animals on the highway, but, not having encountered either for 170 kilometres, had taken all reasonable precautions in the circumstances); </w:t>
      </w:r>
      <w:r>
        <w:rPr>
          <w:rFonts w:ascii="arial" w:eastAsia="arial" w:hAnsi="arial" w:cs="arial"/>
          <w:b/>
          <w:i/>
          <w:color w:val="000000"/>
          <w:sz w:val="20"/>
          <w:lang w:val="en-US" w:eastAsia="en-US" w:bidi="ar-SA"/>
        </w:rPr>
        <w:t>Loy v. Deacon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(driver not negligent in skidding on black ice, and mistaken reaction by turning wheels in wrong direction of car not negligent); </w:t>
      </w:r>
      <w:r>
        <w:rPr>
          <w:rFonts w:ascii="arial" w:eastAsia="arial" w:hAnsi="arial" w:cs="arial"/>
          <w:b/>
          <w:i/>
          <w:color w:val="000000"/>
          <w:sz w:val="20"/>
          <w:lang w:val="en-US" w:eastAsia="en-US" w:bidi="ar-SA"/>
        </w:rPr>
        <w:t>Breen v. McKenzie</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[1992] B.C.J. No. 1686</w:t>
        </w:r>
      </w:hyperlink>
      <w:r>
        <w:rPr>
          <w:rFonts w:ascii="arial" w:eastAsia="arial" w:hAnsi="arial" w:cs="arial"/>
          <w:color w:val="000000"/>
          <w:sz w:val="20"/>
          <w:lang w:val="en-US" w:eastAsia="en-US" w:bidi="ar-SA"/>
        </w:rPr>
        <w:t xml:space="preserve"> (S.C.) (plaintiff not noticing anything wrong with defendant's driving, vehicle mechanically sound and having all season tires and winter radials on the rear tires, driver not found negligent); and </w:t>
      </w:r>
      <w:r>
        <w:rPr>
          <w:rFonts w:ascii="arial" w:eastAsia="arial" w:hAnsi="arial" w:cs="arial"/>
          <w:b/>
          <w:i/>
          <w:color w:val="000000"/>
          <w:sz w:val="20"/>
          <w:lang w:val="en-US" w:eastAsia="en-US" w:bidi="ar-SA"/>
        </w:rPr>
        <w:t>Goodwin v. Goodwin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2006 BCSC 218</w:t>
        </w:r>
      </w:hyperlink>
      <w:r>
        <w:rPr>
          <w:rFonts w:ascii="arial" w:eastAsia="arial" w:hAnsi="arial" w:cs="arial"/>
          <w:color w:val="000000"/>
          <w:sz w:val="20"/>
          <w:lang w:val="en-US" w:eastAsia="en-US" w:bidi="ar-SA"/>
        </w:rPr>
        <w:t xml:space="preserve"> (a case very similar to the one at bar where the defendant driver was not found negligent when his car went off the road after unexpectedly encountering a patch of ice; the driver had slowed to 30 km/h and had not experienced any slippage until reaching the point where he lost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Here, the evidence suggests that the defendant took all reasonable precautions to avoid losing traction: he was using all season tires, he had weight over the rear wheels of the pickup, he had slowed his speed coming down the hill, and the plaintiffs themselves had no concerns with the way he was driving. There is no evidence that greater precautions, such as using snow tires or driving even more slowly, would have been advisable when the air temperature in Osoyoos was above freezing. Further, there is no evidence that such further precautions would have prevented the MVA. Therefore, I find that the plaintiffs have not proven that Nunes failed to meet the required standard of care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to the plaintiffs' suggestion that Nunes was negligent in gearing down instead of braking, which I infer from their reliance on the (inadmissible) expert report suggesting that Nunes ought to have been able to stop his truck on the bridge had he applied the brakes, I note two things. First, as I stated above, there is no evidence that the reasonably prudent driver would consider braking as preferable to gearing down when trying to recover control of a fishtailing truck. Second, the law does not demand a standard of perfection from drivers who must react quickly to a developing situation: see </w:t>
      </w:r>
      <w:r>
        <w:rPr>
          <w:rFonts w:ascii="arial" w:eastAsia="arial" w:hAnsi="arial" w:cs="arial"/>
          <w:b/>
          <w:i/>
          <w:color w:val="000000"/>
          <w:sz w:val="20"/>
          <w:lang w:val="en-US" w:eastAsia="en-US" w:bidi="ar-SA"/>
        </w:rPr>
        <w:t>Couturier (Guardian ad litem of) v. Rud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[1990] B.C.J. No. 150</w:t>
        </w:r>
      </w:hyperlink>
      <w:r>
        <w:rPr>
          <w:rFonts w:ascii="arial" w:eastAsia="arial" w:hAnsi="arial" w:cs="arial"/>
          <w:color w:val="000000"/>
          <w:sz w:val="20"/>
          <w:lang w:val="en-US" w:eastAsia="en-US" w:bidi="ar-SA"/>
        </w:rPr>
        <w:t xml:space="preserve"> at [paragraph] 22 (C.A.). Although there is no expert evidence before me, attempting to slow a fishtailing vehicle by gearing down rather than braking, while at the same time steering in the same direction as the skid, seems to be within a range of reasonable reactions to a sudden loss of control of a vehicle. There is certainly no evidence before me that it is an unreasonable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all of these reasons, I conclude that the plaintiff has failed to prove that Nunes failed to meet the appropriate standard of care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Given my conclusion that both defendants met the standard of care required in the circumstances, it follows that judgment dismissing the plaintiffs' claims against them must be granted. However, I add briefly at this point that, even if the defendants had not met the required standard of care, I would not find that the plaintiff has proved either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MVA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Although not relied on by the parties, the correct test for causation was recently confirmed by the Supreme Court of Canada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[paragraph] 21-25. Unless there are special circumstances, which do not apply here, the plaintiff must prove that "but for" the negligent act of the defendant, the injury would not have occurred: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I am not satisfied that greater precautions by either defendant would have prevented the accident. The effective cause of the loss of traction appears to have been the rear wheels of the truck passing over a bump between the road surface and the bridge deck. There is no evidence that had Nunes driven more slowly, used more weight over the rear tires or used snow tires, the MVA would have been avoided. With respect to Argo, there is evidence that there was sand on the bridge deck at the time of the accident. The bridge was not slippery at 6:30 p.m. when Nunes first drove over it. There is no evidence before me to demonstrate that any remedial action taken by Argo at the instant the bridge deck first became slippery would have prevented the accident, which occurred at 7:45 p.m. Had Argo been notified of the slippery conditions, it still had 5 hours in which to respond. Therefore, the plaintiffs have not proven on the balance of probabilities that the MVA would have been avoided by any action Argo could reasonably have been expected to take on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For the above reasons, I conclude that the plaintiffs have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either defendant. I further conclude that both defendants acted with all reasonable care in the circumstances. It follows that the defendants' application for judgment dismissing the plaintiffs' claims against them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Unless counsel have any submissions to make, the defendants will have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Olenga v. Sisett &amp; Co., [2010] B.C.J. No. 359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15-18, 21-25, 28-30, October 1, 2, 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14-17,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M034375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186 A.C.W.S. (3d) 1142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Aime Olenga, Plaintiff, and Sisett &amp;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21"/>
      <w:bookmarkEnd w:id="147"/>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law firm dismissed with costs — The plaintiff had not proven the defendant had acted negligently in any aspect of their representation of him — The plaintiff, by his objective conduct of signing the release and minutes of settlement, directing Laudidio for the defendant concerning the disbursement of funds and taking the cheques, demonstrated he was fully competent and did accept the $37,500 offer — The firm had not named the wrong defendant in the underlying action or advised him his claim was worth $1.3 million as alleged.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Professional standards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Legal — Barristers and solicitors — Action by plaintiff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law firm dismissed with costs — The plaintiff had not proven the defendant had acted negligently in any aspect of their representation of him — The plaintiff, by his objective conduct of signing the release and minutes of settlement, directing Laudidio for the defendant concerning the disbursement of funds and taking the cheques, demonstrated he was fully competent and did accept the $37,500 offer — The firm had not named the wrong defendant in the underlying action or advised him his claim was worth $1.3 million as alleged.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Action by plaintiff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law firm dismissed with costs — The plaintiff had not proven the defendant had acted negligently in any aspect of their representation of him — The plaintiff, by his objective conduct of signing the release and minutes of settlement, directing Laudidio for the defendant concerning the disbursement of funds and taking the cheques, demonstrated he was fully competent and did accept the $37,500 offer — The firm had not named the wrong defendant in the underlying action or advised him his claim was worth $1.3 million as alleged.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8" w:name="Case Summary_19"/>
            <w:bookmarkEnd w:id="1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law firm. The plaintiff alleged the defendant was negligent in the settling of his motor vehicle accident claim when it knew or ought to have known that due to the medications he was on he was unable to properly instruct counsel and agree to a settlement. The issues were: (1) whether the defendant agreed to represent the plaintiff in relation to both the 1997 and 2000 accidents and to represent him in his Workers' Compensation claim; (2) whether the firm negligently named the wrong defendant in the underlying action, failed to accommodate the plaintiff's morning impairment, failed to get the insurer to pay for his massage therapy treatments, and/or advised him that his claim was worth $1.3 million; and (3) whether the firm negligently advised the plaintiff to accept an offer of $37,500 in settlement of all his claims and by settling the claims without his authorization.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9" w:name="Holdings of Court_16"/>
            <w:bookmarkEnd w:id="149"/>
            <w:r>
              <w:rPr>
                <w:rFonts w:ascii="arial" w:eastAsia="arial" w:hAnsi="arial" w:cs="arial"/>
                <w:color w:val="000000"/>
                <w:sz w:val="20"/>
                <w:lang w:val="en-US" w:eastAsia="en-US" w:bidi="ar-SA"/>
              </w:rPr>
              <w:t>HELD: Action dismissed with costs at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The written agreement between the parties was clear that the defendant was only acting in reference to the 2000 accident. The defendant did not deal with WCB matters, and it was unlikely the defendant would agree to represent the plaintiff in a claim arising out of a 1997 accident as it was no longer actionable. (2) There was no evidentiary basis for any assertion that Xiao was lying in his statement and his answers on examination for discovery to the effect that he was the owner and driver of the vehicle involved in the 2000 accident. Xiao was the proper defendant in the underlying action and the defendant was not negligent in naming him as such. The plaintiff relied on a purported medical certificate describing his impairment in the morning, but the document was clearly not a true medical certificate nor had he proven it was provided to anyone at the defendant law firm. It was not proven anyone at the firm had knowledge of any such impairment. As for the massage therapy accounts, the settlement was for a global amount intended to address all the plaintiff's claims. The payment of the therapist was appropriately paid by the defendant from the settlement funds. The assertion that he was told his claim was worth $1.3 million was not believable. (3) The plaintiff's evidence regarding the mediation was rejected entirely. No offer of $375,000 was made. The plaintiff, by his objective conduct of signing the release and minutes of settlement, directing Laudidio concerning the disbursement of funds and taking the cheques, demonstrated he was fully competent and did accept the offer of $37,500. Overall, the plaintiff had not proven the defendant law firm had acted negligently in any aspect of their representation of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Legislation Cited_16"/>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Rue 18A,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1" w:name="Counsel_22"/>
      <w:bookmarkEnd w:id="1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2"/>
      <w:bookmarkEnd w:id="152"/>
      <w:r>
        <w:pict>
          <v:line id="_x0000_s1137"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J.M. GROPPER J."/>
            <w:bookmarkEnd w:id="153"/>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Olenga claims that the defendant, Sisett &amp; Company, was negligent in its legal representation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December 2004, Mr. Olenga filed a statement of claim seeking damages against the Insurance Corporation of British Columbia (ICBC) and against Sisett &amp; Company. ICBC applied under Rule 19(24), Rule 18A and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to dismiss the plaintiff's claim. Sisett &amp; Company applied under Rule 19(24) or alternatively, Rule 18A for an order that the plaintiff's further amended statement of claim relating to Sisett &amp; Company which alleged a conspiracy with ICBC and fraud be struck out as disclosing no reasonable claim and as being unnecessary, scandalous,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applications were heard by Mr. Justice Cullen in April 2005. In his reasons for judgment, </w:t>
      </w:r>
      <w:r>
        <w:rPr>
          <w:rFonts w:ascii="arial" w:eastAsia="arial" w:hAnsi="arial" w:cs="arial"/>
          <w:i/>
          <w:color w:val="000000"/>
          <w:sz w:val="20"/>
          <w:lang w:val="en-US" w:eastAsia="en-US" w:bidi="ar-SA"/>
        </w:rPr>
        <w:t>Olenga v. ICBC et al.</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2005 BCSC 1015</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140 A.C.W.S. (3d) 567</w:t>
        </w:r>
      </w:hyperlink>
      <w:r>
        <w:rPr>
          <w:rFonts w:ascii="arial" w:eastAsia="arial" w:hAnsi="arial" w:cs="arial"/>
          <w:color w:val="000000"/>
          <w:sz w:val="20"/>
          <w:lang w:val="en-US" w:eastAsia="en-US" w:bidi="ar-SA"/>
        </w:rPr>
        <w:t>, Cullen J. dismissed the statement of claim against ICBC and struck Mr. Olenga's statement of claim where it alleged fraud and a conspiracy between Sisett &amp; Company and ICBC and others. He allowed Mr. Olenga to amend his statement of claim to assert only that Sisett &amp; Company were negligent in the settling of his motor vehicle accident claim, when it knew or ought to have known that due to the medications he was on, he was not able to properly instruct his counsel and agree to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During the trial, Mr. Olenga described many circumstances which were addressed in his amended statement of claim which suggested claims of fraud, breach of trust and of fiduciary duty. These claims are outside the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have already been dismissed by Cullen J. and cannot be raised again before me. I will not address them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Justice Cullen described the background succinctly in his judgment, which I will repeat for ease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Olenga was involved in three motor vehicle accidents. The first occurred on July 21, 1997 in Williams Lake (the "July 1997 accident"). It was a single vehicle accident while Mr. Olenga was driving. He was working at the time of the accident and his claim was through the Workers' Compensation Board (the "WCB"). There was no tort claim against any other party or Part 7 claim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accident occurred on May 19, 2000 (the "May 2000 accident"). Mr. Olenga was driving a friend's car when it was involved in an accident with another party at the intersection of East 31st Avenue and Victoria Drive in Vancouver. As a result of that accident, Mr. Olenga made a tort claim against that party, Xiao Guang Zhong Kelvin, and a claim for Part 7 benefits against ICBC. He commenced an action through the defendant Sisett &amp; Company in conjunction with the May 19, 2000 accident by filing a writ and statement of claim on June 4, 2001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28, 2003, Mr. Olenga was involved in a third accident while travelling as a passenger on a bus (the "February 2003 accident"). He did not commence an action with respect to that latter accident, but retained Sisett &amp; Company to represent him with respect to that claim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underlying action was set for trial on September 15, 2003 before a judge and jury. A few months before the trial was to take place, the lawyer acting for the plaintiff, Sandro Laudidio, wrote to counsel acting for the defendants in the tort claims offering to settle the plaintiff's claims in relation to both the May 2000 and February 2003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Mediation was held on August 11, 2003. At the mediation, an agreement was reached where Mr. Olenga apparently accepted $37,500 including $2,500 already paid by ICBC in exchange for a release signed by him, releasing the defendant and potential defendant and ICBC from liability from the May 2000 and February 2003 accidents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Olenga has been diagnosed with chronic pain syndrome. There is no consensus as to that diagnosis as some of the doctors who have examined him and reviewed his file have raised the issue of an exaggeration of his symptoms. Those who do diagnose Mr. Olenga with chronic pain syndrome look to the July 1997 accident as the most severe and consequential and the second and third accidents as aggravating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Olenga is dissatisfied with the settlement of his claims. The action which he has pursued since that time represents his attempt to seek redress of what he considers to be an unjust resolution of the effect of the accidents on his health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only issue before me is whether Sisett &amp; Company acted negligently in their legal representation of Mr. Olenga. The evidence and submissions identified three areas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Retainer: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Sisett &amp; Company agree to represent Mr. Olenga in relation to both the July 1997 and the May 2000 accidents and to represent him in his Workers' Compensation Board claim arising from the July 1997 accident?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Representation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Sisett &amp; Company act negligently by: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naming the wrong defendant in the underlying action?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accommodate Mr. Olenga's impairment in the morning?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get ICBC to pay for his massage therapy treatments?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advising Mr. Olenga that his claim was worth $1,300,000?</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Settlement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Sisett &amp; Company act negligently by advising Mr. Olenga to accept the defendant's offer of $37,500 in settlement of all of his claims and by settling Mr. Olenga's claims without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Olenga met with Mr. Sisett of Sisett &amp; Company on June 9, 2000. During that meeting, he signed a retainer agreement, the subject line of the agreement states: "Re: Tort claim - MV Injuries May 19,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Olenga says that Mr. Sisett agreed to represent him in respect of the July 1997 accident and the May 2000 accident. Mr. Olenga describes Mr. Sisett as "taking charge" and that Mr. Sisett said that he would deal with both. When asked about what he understood about the subject line of the retainer agreement, Mr. Olenga said that he did not read the retainer agreement before 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Sisett denies that he accepted a retainer to represent Mr. Olenga in respect of the July 1997 accident. He says that if Mr. Olenga asked him to represent him in that action, and deal with the WCB, he probably would have not accepted a retainer at all. The July 1997 accident was "statute barred" and no legal action could be taken upon it. Furthermore, Sisett &amp; Company does not accept retainers in respect of WCB claims. The subject of the retainer agreement is the motor vehicle injuries sustained in the May 2000 accident and "nothing else". Mr. Sisett agrees that he and Mr. Olenga engaged in discussion of the injuries resulting from the first accident and the WCB claim to determine Mr. Olenga's condition before the May 2000 accident. From that discussion, Mr. Sisett learned that Mr. Olenga had not worked since the July 1997 accident but Mr. Olenga advised him that he was ready to go back to work before the May 2000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Olenga says that Mr. Sisett agreed to represent him in regarding injuries he sustained in both the first and second accidents. He says that Mr. Sisett told him that "both cases look very straight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 the correspondence which Sisett &amp; Company sent to Mr. Olenga and to others involved in providing evidence, including those providing medical-legal opinions, identify the May 2000 accident as the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Laudidio, an associate of Sisett &amp; Company from May 2001 to November 2004, was assigned responsibility of prosecuting Mr. Olenga's claim. Mr. Laudidio says that when he began to work on the file in 2001 he was not aware of a decision by the Review Board of the WCB nor was he aware that Mr. Olenga's view was that Sisett &amp; Company were retained to represent Mr. Olenga in respect of the WCB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their first meeting of October 5, 2001, Mr. Laudidio says that Mr. Olenga did not mention anything about Sisett &amp; Company representing him regarding his WCB claim. The matter first came up when counsel for the defendant in the underlying action for the May 2000 accident, Peter Collins, suggested that WCB may be prepared to pay for Mr. Olenga to attend a pain clinic which ICBC was not prepared to fund. Mr. Laudidio suggested in a letter to Mr. Olenga on November 16, 2001 that Mr. Olenga present his claim for the costs of the pain clinic to WCB to get their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Approximately one year later, on November 6, 2002, Mr. Laudidio says that Mr. Olenga came in for a meeting with him. They had a brief discussion about the WCB issue but Mr. Laudidio says it was not the focus of the meeting. Mr. Laudidio said that Mr. Olenga told him that he was looking for a lawyer to "help him out" with the WCB claim but the lawyer he had spoken to wanted a $1,200 retainer. Mr. Laudidio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told me that he had started his appeal but could not pursue it. He wanted me to revive the appeal. I agreed to contact WCB and advise that Mr. Olenga wanted to proceed with his appeal and ask them to reopen or revive or reinstate it. This was the first time he asked me to do anything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Laudidio says that he agreed to file an application on Mr. Olenga's behalf to get the appeal back on track. Mr. Laudidio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understood that Mr. Olenga had attempted to appeal the decision of the Review Board but because of his 2000 motor vehicle accident he could not complete it. I reviewed this as a routine matter. As a favour to him I wrote two or three letters to get his appeal back on track. Mr. Olenga was having a bad time and I could see that. I thought I could help him out by writing a couple of letters, so I agreed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Laudidio wrote to WCB on November 20, 2002 advising that Mr. Olenga wished to continue with his appeal. The WCB responded that they were experiencing delays on February 11, 2003. In June 2003, the Workers' Compensation Appeals Tribunal (the "WCAT") provided an application for an extension of time to Mr. Laudidio who completed it and returned it on July 16, 2003. Mr. Laudidio says that he did nothing further in an attempt to reinstate the appeal. The application for an extension of time was rejected by the WCAT on November 16, 2004. At that time Mr. Laudidio was no longer an associate of Sisett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Olenga signed a second retainer agreement with Sisett &amp; Company on July 3, 2003. The title of the retainer agreement is "Re: Tort Claim - 28 February 2003." There is no dispute about the scope of this second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written retainer agreement which was signed by Mr. Sisett and Mr. Olenga on June 9, 2000 stated that it was "Re: Tort Claim - May 19, 2000". It did not refer to any WCB matters. Mr. Olenga insists that Mr. Sisett said that he would deal with them both. Mr. Sisett says that his firm did not deal with WCB matters, and he would not have taken a retainer which included a WCB claim. Mr. Olenga's claims from the July 1997 accident were statute barred, which meant that Mr. Olenga did not have the right to file an action in court.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requires that a claim arising from a tort, such as a car accident, cannot be brought beyond two years from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Mr. Sisett and Mr. Laudidio say that there was a discussion about Mr. Olenga's WCB claim and his July 1997 accident, as it related to establishing damages arising from the May 2000 accident, including non-pecuniary damages and loss of income, both past and future. Those discussions did not mean that they were retained to represent Mr. Olenga in respect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Laudidio says that he became aware of the WCB claim and the fact that Mr. Olenga wished to pursue it in November 2002, after almost a year of dealing with Mr. Olenga's claim. Mr. Laudidio admitted that he had limited involvement. He prepared an application to extend the time for the hearing of Mr. Olenga's appeal. He says that he did that because he could see that Mr. Olenga was having a hard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the WCB matter related to the first accident was not the subject of the retainer agreement between Mr. Olenga and Sisett &amp; Company. First and foremost, the written agreement is clear: it only refers to the May 2000 accident. Each piece of correspondence between Sisett &amp; Company and Mr. Olenga and Sisett &amp; Company and others referred only to the May 2000 accident. I accept that Sisett &amp; Company does not deal with WCB matters, and it would be most unlikely for Mr. Sisett to agree to represent Mr. Olenga in a claim arising from a motor vehicle accident in 1997. It was no longer a claim that was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evidence to support Mr. Olenga's assertion that the retainer included the July 1997 accident and matters arising from his WCB claim. The first retainer was limited to claims arising from the May 2000 accident and the second retainer was limited to the claims arising from the February 2003 accident. Sisett &amp; Company were not retained to represent Mr. Olenga regarding any claims arising from the July 1997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Wrong Party Named in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Olenga claims that Sisett &amp; Company did not name the proper defendant in the underlying action. Mr. Olenga says that he exchanged information with the driver of the other vehicle at the scene of the May 2000 accident and made a handwritten note of the details, including the name of the driver and the owner of the other vehicle. Mr. Olenga says that the note shows Mr. Xia as the driver and that he was driving his brother, Mr. Xiao's vehicle. There is only one defendant named in the underlying action: Mr. Xiao Guang Zhong Kelvin. Mr. Olenga says that he gave the handwritten note, including the names of both the driver and the owner of the other vehicle, to Mr. Sisett when they met on June 9, 2000. Mr. Sisett does not recall receiving this note from Mr. Olenga.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Olenga met with Leslie Campbell, an insurance adjuster employed by ICBC on May 25, 2000 about the May 2000 accident. Mr. Olenga says that when he gave his statement to Ms. Campbell, he told her that the other driver told him that he was driving his relative's car. He says that he gave her his handwritten note of the details. Ms. Campbell does not recall receiving any documents from Mr. Olenga during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information allegedly contained in Mr. Olenga's handwritten note does not appear on the May 25, 2000 ICBC written statement which is apparently signed by Mr. Olenga. The statement does not mention that the driver was driving someone else's car. Mr. Olenga's explanation of the omission in the written statement is that it is a forgery. Ms. Campbell says that the May 25, 2000 statement is the only statement which was prepared and which she saw Mr. Olenga sign. The statement was opened on May 25, 2000 in the ICBC computer system for about 32 minutes and then closed. A document which is closed on ICBC's system cannot be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Olenga also says that when he dealt with Leslie Campbell on May 25, 2000, and he refused to sign the statement, they got into a "big argument", the police were called, but they did not attend. Ms. Campbell says that she and Mr. Olenga did not have an argument that day, the police were never called, and she recalls the meeting went well and concluded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Xiao provided a signed written statement to ICBC on May 24, 2000 in which he acknowledged that he was the driver and the owner of the vehicle involved in the May 2000 accident with Mr. Olenga's vehicle. He confirmed the same at the examination for discovery which Mr. Laudidio conducted of him on March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Olenga relies on his handwritten note which he says he prepared at the scene of the May 2000 accident to demonstrate that the individual named in the writ of summons and statement of claim as the driver and owner of the other vehicle, Xiao Guang Zhong Kelvin, is in fact incorrect. Neither Ms. Campbell, the ICBC adjuster who took Mr. Olenga's statement on May 25, 2000, nor Mr. Sisett who met with Mr. Olenga on June 9, 2000 recalls receiving this handwritten note. Mr. Xiao admitted to being the owner and the driver of the vehicle in the May 2000 accident both in his statement to ICBC and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Olenga's only response is to say that the ICBC statement which bears his signature is forged. He provides no basis for this. Mr. Campbell has satisfied me that the document is not forged, nor could it be, given ICBC's procedures for closing documents. The allegation of forgery is farfetched. It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Olenga must also be asserting that Mr. Xiao is lying in both his statement and his answers on examination for discovery. There is no evidentiary basis for such an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 foregoing, I find that Mr. Xiao was the proper defendant in the underlying action and that Sisett &amp; Company was not negligent in naming the defendant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Olenga claims that as a result of medication which he takes, he is "sedated" in the morning. He does not schedule events in the morning because he can be "very slow and in a fog".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Olenga says he provided a document to Mr. Sisett from his doctor which confirms his impairment in the morning in their first or second meeting. The document, which Mr. Olenga describes as a "medical certificate" is a memo of Dr. Burns to John Pinty dated March 8, 1999 which indicates that Mr. Olenga was taking medication at the time and that Mr. Olenga said that he was "foggy in the a.m.". Mr. Olenga explained that Dr. Burns was his physician and John Pinty was an instructor in a course at Vancouver Community College in which Mr. Olenga was enrolled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Olenga says that he gave Mr. Sisett the "medical certificate". He says that he told Mr. Sisett, Mr. Laudidio, and two other associates of the law firm that he did not want anyone to ask him a question or make an appointment for him in the morning. Mr. Olenga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do appointments in the morning. I believe when I talked to [Mr. Laudidio] he wanted to schedule an appointment in the morning. I told him that I take medication and therefore in the morning I would not be a good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Sisett was not asked about whether he received the "medical certificate". Mr. Laudidio says that Mr. Olenga did not advise him that medication affected his thinking during the morning. He could not recall seeing the "medical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Olenga asked Mr. Laudidio whether it ever occurred to him that Mr. Olenga had mental difficulties. Mr. Laudidio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think you were incompetent to tell your story - you were able to answer the questions at the discovery and the medical doctors did not suggest that. I did find your evidence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Laudidio was asked if he reviewed the medical-legal reports which were prepared for the underlying action, specifically that of Dr. Derryck Smith, a psychiatrist who prepared an opinion for the defence in the underlying action. Mr. Laudidio said that he did not take from Dr. Smith's opinion nor any of the other medical-legal opinions that he received in the underlying action to suggest that Mr. Olenga was mentally impaired in the morning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Olenga claims that Mr. Sisett and Mr. Laudidio were aware that he was impaired in the mornings and were negligent in arranging for him to attend examinations for discovery, medical appointments, and the mediation which occurred on August 11, 2003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Collins observed Mr. Olenga in the mornings when he conducted an examination for discovery and at the mediation. He said that if he saw that Mr. Olenga was having difficulty understanding what was going on or was not capable of communicating, he would have suggested to Mr. Laudidio that they "call it a day and adjourn, but it didn't happen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Olenga relies on the "medical certificate" which describes his impairment in the morning. The document is clearly not a medical certificate nor has Mr. Olenga proven that it was provided to anyone at Sisett &amp; Company. The medical legal reports which were prepared in the underlying action do not refer to any such impairment. Mr. Laudidio said that he was unaware of Mr. Olenga's impairment in the morning. Neither he nor any of the others, including ICBC's counsel, Peter Collins, had any indication that Mr. Olenga was impaired in the mediation on the morning of August 11,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if Mr. Olenga is impaired in the morning, it has not been proven in evidence, nor has it been proven that Mr. Laudidio or anyone else at Sisett &amp; Company who dealt with his file had knowledge of such impairment. Knowledge of the impairment is an important prerequisite to the requirement that Sisett &amp; Company and others accommodate this impairment. Sisett &amp; Company did not ignore or exploit Mr. Olenga's alleged impairment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Massage Therapy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Sisett &amp; Company rendered its final account, it included a disbursement for massage therapy treatments which Mr. Olenga had received from East Vancouver Therapeutic Massage in the amount of $2,407.18. Mr. Olenga says that Sisett &amp; Company was negligent in not obtaining ICBC's agreement to pay for all of his massage therapy treatments following the May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Laudidio says that he asked ICBC to fund ongoing massage therapy treatments by letter in February 2003. Cheryl Walker, the litigation adjuster for ICBC, refused to pay for any more passive therapy like massage. She did agree to advance $2,500 to Mr. Olenga in order that he could obtain therapy that had been recommended in the plaintiff's medical-legal report from Dr. Cecil Hershler dated September 18, 2002. Mr Laudidio provided the advance money to Mr. Olenga and suggested that he use the money for the recommended treatment, but Mr. Olenga advised him that he intended to use the money for a Dutch law firm he had retained to pursue another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Laudidio included an amount in his mediation brief attributable to past and future massage therapy treatments of $283.20, which had been provided to him by his legal assistant. Special damages were not specifically discussed during the mediation and the offers made by ICBC during the mediation were "global" or all-in-one offers; they did not delineate an amount for each head of damage. It was not until Sisett &amp; Company prepared its final account that it became aware that there was an unpaid massage therapy bill in the amount of approximately $2,400.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clear from the evidence that there was an error in the accounting for the massage therapy treatments. However, ICBC did not agree to pay for ongoing therapy, nor did Sisett &amp; Company. I accept that Mr. Laudidio was not aware of the true amount of physiotherapy treatments when he prepared his mediation brief; however, the settlement was for a global amount and did not specify a particular amount for a particular head of damage. The amount of the settlement was intended to address all of Mr. Olenga's claims, including those claims for special damages, whatever the amount. The payment of the massage therapist was Mr. Olenga's responsibility and was appropriately paid to the massage therapist by Sisett &amp; Company from the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Claim valued at $1,300,000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Olenga describes that during the meeting of June 9, 2000, Mr. Sisett picked up the book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xml:space="preserve"> and after looking at some portion of that book, Mr. Sisett advised him that his claim was worth "1.3 million dollars" and "that is the settlement he would get for me". Mr. Sisett denies that he made such a statement to Mr. Olenga during that meeting or at all.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absolutely never ever state to a client what his claim might be worth. It is standard practice to let the client know that the agreement was a partnership, and we look to the client for the straight goods and we fight for them. Our standard practice is not to mention an amount ... [but to advise the client] that he needs to prove the loss and we will recover to the full extent of the loss that the client can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Sisett says that a summary view of the facts surrounding the May 2000 accident would have alerted him that Mr. Olenga's damages would not be at or near the maximum allowable for non-pecuniary damages. There would not be a significant award made for loss of income or loss of opportunity to earn income in the future; Mr. Olenga had not worked since the July 1997 accident. Mr. Sisett also says that he and his associates were always careful not to create false expectations in their client's beyond the loss that could be proven. Mr. Sisett insists that he did not and does not own a copy of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Olenga's assertion is not believable. Mr. Sisett was clear that he does not make estimates of a plaintiff's claim before he is familiar with the claims and is aware of what can be proven. He was also clear that he and his associates are careful not to create false expectations in their clients. Mr. Olenga did not demonstrate that his claim was worthy of an award of $1,300,000.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Laudidio prepared a draft mediation brief on June 3, 2003. He went over the summary in a meeting with Mr. Olenga. Mr. Laudidio described that he prepared the document by calculating the damages, including referring to the case law for non-pecuniary damages for similar injuries and those dealing with chronic pain. Mr. Laudidio said he put his view of Mr. Olenga's best position in the summary. He reviewed the medical evidence and reviewed Mr. Olenga's examination for discovery. He concluded that the role of the 1997 accident was a very serious complicating factor. He considered that where there are widely spaced incidents which give rise to an injury, the court is likely to apportion the damages to each injury. Mr. Olenga was not able to describe how the May 2000 accident made his injuries worse. The majority of his damages could have been applied to the July 1997 accident for general damages. Mr. Laudidio said he also looked at Mr. Olenga's loss of future opportunity. He explained that a jury would look at the plaintiff's earning capacity and determine whether the July 2000 accident had an effect on his ability to work. This was a problem as Mr. Olenga had not worked since 1997 and therefore it would be hard to establish that he had a loss of capacity arising out of May 2000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Laudidio also assessed the evidence given by Mr. Olenga and Mr. Xiao in their discoveries and considered that Mr. Olenga would have difficulty proving that Mr. Xiao was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Laudidio says that he concluded that $75,000 was the best possible outcome for Mr. Olenga's non-pecuniary damages. The nature of the injuries and the type of accident meant that if the matter was heard by a jury it could be substantially less. The seriousness of the May 2000 accident was minor and this would be an unpredictable factor in determining how a jury would quantify Mr. Olenga's claim. Furthermore, the offer of $75,000 for non-pecuniary damages did not take into account any deduction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loss of earning capacity of $30,000 was nominal because Mr. Olenga had not worked since the July 1997 accident and there was a possibility that he would receive nothing under that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Laudidio met with Mr. Olenga shortly after he prepared the draft to review it. Mr. Olenga asked Mr. Laudidio questions about how he came up with the numbers. Mr. Olenga considered that the numbers in the mediation settlement document were too low. Mr. Laudidio said that in his experience as plaintiff's counsel in personal injury matters that is a common sentiment. No plaintiff has ever suggested that calculation of damages was too high. Mr. Olenga added the words "punitive damages" to the settlement draft. During his meeting with Mr. Laudidio, Mr. Olenga did not mention that Mr. Sisett had stated that the value of his claim was $1,300.000 in their meeting of June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Laudidio revised the brief before presenting it to Mr. Collins and Ms. Walker at the mediation. The brief identified that Mr. Laudidio would recommend settlement to Mr. Olenga on the basis of $75,000 for non-pecuniary damages, $30,000 for loss of earning capacity, $283.20 for special damages, and $22.67 for Court Order Interest, for a total of $105,305.87.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amount of special damages was added up by Mr. Laudidio's legal assistant who included invoices and treatment bills which were outstanding. Mr. Laudidio says that if he was aware that the account was actually in the nature of $2,800 he would have included that in the settlement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Laudidio wrote to Mr. Olenga on July 15, 2003 and advised him that they would meet on Friday, August 8, 2003 at 10 a.m. to prepare for the mediation. Mr. Olenga says that he met Mr. Laudidio to prepare for the mediation at 2 p.m. on August 10, 2003. Mr. Olenga says he called Sisett &amp; Company and arranged an appointment other than in the morning. Mr. Laudidio has no recollection of meeting on August 10, 2003, or of changing the time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Laudidio scheduled the mediation for August 11, 2003 at 10 a.m. Mr. Olenga says he objected to the mediation occurring in the morning. He says that Mr. Laudidio stated "that is how the court works, you cannot change that". Mr. Olenga says that Mr. Laudidio said he could walk in the room and Mr. Laudidio would do the whole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Olenga says he did not know that there was a trial scheduled for September 2003. He understood that a trial date would be obtained from the mediation process. Mr. Olenga says that is why he went to the mediation at 10 a.m. on August 11, 2003. He said that Mr. Laudidio convinced him that "if he did not go there, there would be no trial and that would be it for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Olenga describes the mediation which occurred on August 11, 2003. He says that he was having a hard time that day and was approximately 45 minutes late for the mediation. Mr. Olenga said "I sat down and [Mr. Collins and Ms. Cheryl Walker] started asking me questions". Mr. Olenga expected Mr. Laudidio to answer the questions but Mr. Olenga says Mr. Laudidio said that he had to answer. Mr. Olenga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betrayed. I was asked a bunch of questions. I don't know what I said. When we left, I said to Mr. Laudidio that I was gone and that I was not coming back. He told me not to do that - I would lose the case. I left and got on the bus, but realized that that was stupid so I came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Olenga says that there was a discussion which occurred between Mr. Laudidio and ICBC's representatives. Mr. Olenga says that Mr. Laudidio advised him that there was an offer for $370,000 "new money". New money means in addition to the $2,500 already advanced in February 2003. Mr. Olenga did not explain the basis of his assertion that ICBC made an offer of $370,000. Mr. Olenga says that Mr. Laudidio told him "do you want to throw that away to go to a trial? I won't allow this". Mr. Olenga says that he told Mr. Laudidio "if you want to go to trial we will sue you for the money, and you can't get any other lawyer until you pay our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Olenga says he told Mr. Laudidio that that did not sound right as he came to get a trial date from the mediation, not a settlement. He says that he told Mr. Laudidio that he did not want to settle and pointed out to Mr. Laudidio that Mr. Sisett told him that he would get $1,300,000 for his claim. Mr. Olenga said "I won't accept anything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Laudidio disagrees that the meeting to prepare for the mediation occurred on August 10, 2003 at 2 p.m. That was a Sunday, and Mr. Laudidio is certain that he met with Mr. Olenga during business hours and not on the weekend. He does not recall the time of the meeting. Mr. Laudidio denies saying that the mediation was for the purpose of obtaining a trial date. Trial dates had been fixed and a notice of trial had been filed. Mr. Laudidio specifically sent Mr. Olenga the notice of trial which refers to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Olenga described Mr. Laudidio as "shaking me down" to accept the offer. Mr. Laudidio describes the mediation differently. He prepared notes. His notes describe Mr. Olenga arriving an hour late, meeting for a period, and then "disappearing" for 45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Laudidio said that the first session was a "plenary session" where the Mr. Laudidio, Mr. Olenga, Mr. Collins and Ms. Walker met in a meeting room with the mediator. Mr. Laudidio says that he presented Mr. Olenga's point of view, he pointed out the July 1997 accident but that Mr. Olenga was on the mend when the May 2000 accident occurred. It was a setback and an exacerbation of Mr. Olenga's existing injuries from the July 1997 accident. Mr. Collins then gave his submissions, including that Mr. Olenga was entirely liable for the May 2000 accident and that he was disabled from injuries from the July 1997 accident at the time. Some questions were asked and then Mr. Laudidio said "we started talking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Laudidio went to the breakout room, and Mr. Olenga went outside for air. Mr. Olenga came back 40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Laudidio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Shortly after, we received the first offer from the defence which was presented to us in the plenary room. It was for $20,000 'new money' and $9,500 for costs and disbursements to settle both the 2000 and 2003 motor vehicle accidents and Mr. Olenga's part 7 claim. Mr. Collins had also referred to the $2,500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Olenga says he was not happy with the defendant's offer. Mr. Olenga was impatient and insisted that they had assessed his claim to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Laudidio said that he explained that Mr. Olenga was not going to get $100,000 but that they could make a counter offer. Mr. Olenga wanted substantially more money and Mr. Laudidio explained the difficulties to him including the liability issue and his pre-existing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Laudidio says that, with Mr. Olenga's instructions, they presented a number to settle the case to the mediator. The offer was for $30,000 new money and costs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mediator took that offer to the defendant's representatives and came back with the defendant's final offer of $37,500 new money "all in", meaning that the amount was not broken down into separate heads of damages. Mr. Laudidio said that he presented that offer to Mr. Olenga and they discussed it. They discussed the risks of going to trial and Mr. Laudidio was satisfied that Mr. Olenga understood that. Within about 15 minutes of his accepting the offer, Mr. Olenga told Mr. Laudidio how to distribute the proceeds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Olenga says that when he signed the full and final release of claim and the minutes of settlement he was of no clear and sound mind. He did not know what he signed. He signed it because Mr. Laudidio pressured him to do so. Mr. Olenga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kind of yelling and he terrorized me. He mixed me up to get me to sign the documents while I told him that I didn't want to sign any documents there in the morning, that I would look at it another time but according to him I had to do it then and now. [Mr. Laudidio] said that he wouldn't allow me to lose the new money, that's exactly what he said, I don't know what that means but it is exactly what he told me, because I know at the bottom of my heart, that I couldn't or wouldn't ever sign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Laudidio was in the room with Mr. Olenga when Mr. Olenga signed the documents, including the release of all claims and the minutes of settlement which outlined the terms of the agreement. Mr. Olenga signed them. Mr. Laudidio says that there was no altercation between Mr. Olenga and himself. He did not "terrorize" Mr. Olenga. He told Mr. Olenga that it was his decision to settle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Laudidio says that on August 13, 2003, Sisett &amp; Company received the funds from Mr. Collins office. Mr. Laudidio's assistant prepared the final accounts and cheques. Mr. Laudidio needed to know how Mr. Olenga wanted the cheques to be made out. He had a telephone call with Mr. Olenga. Mr. Laudidio wrote the instructions on one of the pages of the notes that he had taken in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Olenga met with Mr. Laudidio at Sisett &amp; Company on August 20, 2003. Mr. Laudidio presented the "authority to disburse" which was the firm's authority to release the funds from its trust account. The authority to disburse referred to the massage therapy bill of $2,407.18, which was higher than Mr. Laudidio had understood and apparently more than Mr. Olenga expected. Mr. Laudidio explained that the firm had to hold back the entire amount for payment to the massage therapist, although he had gone back to ICBC to see if they would pay it. ICBC declined. After Mr. Olenga signed the authorization, the cheques which were made out in accordance with Mr. Olenga's instructions were provided to him. Mr. Olenga also received the statement of account. The authority to disburse funds confirmed that the total settlement was $37,500 and of that amount, Mr. Olenga was to receive a total of $13,789.35.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Olenga's evidence regarding the mediation is based upon his assertion that he was impaired and that Mr. Laudidio knew that. As I have already determined that Mr. Olenga has not proven that he was impaired in the mornings, or the specific morning of the mediation, or that Mr. Laudidio would be aware of such impairment, I reject Mr. Olenga's evidence about the mediation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clear that there was no offer of $375,000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Olenga, by his objective conduct of signing the release and minutes of settlement, directing Mr. Laudidio concerning the disbursement of funds and taking the cheques, demonstrates that he was fully competent and did accept the offer of $37,500 "new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An essential element of proof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some damage has been suffered by the plaintiff. As is pointed out in Allen M.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Butterworths, 2006) at p.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have been dismissed, on occasion, despite the clear presence of negligent conduct, on the basis that no loss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duty of care expected of a lawyer was defined in </w:t>
      </w:r>
      <w:r>
        <w:rPr>
          <w:rFonts w:ascii="arial" w:eastAsia="arial" w:hAnsi="arial" w:cs="arial"/>
          <w:i/>
          <w:color w:val="000000"/>
          <w:sz w:val="20"/>
          <w:lang w:val="en-US" w:eastAsia="en-US" w:bidi="ar-SA"/>
        </w:rPr>
        <w:t>Tiffin Holdings Ltd. v. Millican</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(1965) 50 W.W.R. 673 (Alta. S.C.), rev'd </w:t>
      </w:r>
      <w:hyperlink r:id="rId480" w:history="1">
        <w:r>
          <w:rPr>
            <w:rFonts w:ascii="arial" w:eastAsia="arial" w:hAnsi="arial" w:cs="arial"/>
            <w:i/>
            <w:color w:val="0077CC"/>
            <w:sz w:val="20"/>
            <w:u w:val="single"/>
            <w:shd w:val="clear" w:color="auto" w:fill="FFFFFF"/>
            <w:lang w:val="en-US" w:eastAsia="en-US" w:bidi="ar-SA"/>
          </w:rPr>
          <w:t>53 D.L.R. (2d) 674</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53 W.W.R. 505</w:t>
        </w:r>
      </w:hyperlink>
      <w:r>
        <w:rPr>
          <w:rFonts w:ascii="arial" w:eastAsia="arial" w:hAnsi="arial" w:cs="arial"/>
          <w:color w:val="000000"/>
          <w:sz w:val="20"/>
          <w:lang w:val="en-US" w:eastAsia="en-US" w:bidi="ar-SA"/>
        </w:rPr>
        <w:t xml:space="preserve"> (Alta. S.C. Apel. Div.), restored </w:t>
      </w:r>
      <w:hyperlink r:id="rId481"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60 D.L.R. (2d) 469</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 of his client.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duty of a lawyer to inform his or her client was described in </w:t>
      </w:r>
      <w:r>
        <w:rPr>
          <w:rFonts w:ascii="arial" w:eastAsia="arial" w:hAnsi="arial" w:cs="arial"/>
          <w:i/>
          <w:color w:val="000000"/>
          <w:sz w:val="20"/>
          <w:lang w:val="en-US" w:eastAsia="en-US" w:bidi="ar-SA"/>
        </w:rPr>
        <w:t>Girardet v. Crease &amp; Company</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370-371, </w:t>
      </w:r>
      <w:hyperlink r:id="rId482" w:history="1">
        <w:r>
          <w:rPr>
            <w:rFonts w:ascii="arial" w:eastAsia="arial" w:hAnsi="arial" w:cs="arial"/>
            <w:i/>
            <w:color w:val="0077CC"/>
            <w:sz w:val="20"/>
            <w:u w:val="single"/>
            <w:shd w:val="clear" w:color="auto" w:fill="FFFFFF"/>
            <w:lang w:val="en-US" w:eastAsia="en-US" w:bidi="ar-SA"/>
          </w:rPr>
          <w:t>3 A.C.W.S. (3d) 304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part of the duty of a solicitor not only to give good advice but also to make his reasons clear to the client. That does not mean writing the client page after page of legal jargon which, to most clients, is unintelligible. But a client has a right to know why. How else can she make an informed judgment on the matter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standard of care to which a lawyer is held is that of a reasonably competent and diligent counsel in Vancouver from 2000 to 2003: </w:t>
      </w:r>
      <w:r>
        <w:rPr>
          <w:rFonts w:ascii="arial" w:eastAsia="arial" w:hAnsi="arial" w:cs="arial"/>
          <w:i/>
          <w:color w:val="000000"/>
          <w:sz w:val="20"/>
          <w:lang w:val="en-US" w:eastAsia="en-US" w:bidi="ar-SA"/>
        </w:rPr>
        <w:t>Startup v. Blake</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2001 BCSC 8</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101 A.C.W.S. (3d) 1194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Special considerations apply in circumstances in which it was alleged that the solicitor was negligent in the settlement of an action. Those considerations were described in </w:t>
      </w:r>
      <w:r>
        <w:rPr>
          <w:rFonts w:ascii="arial" w:eastAsia="arial" w:hAnsi="arial" w:cs="arial"/>
          <w:i/>
          <w:color w:val="000000"/>
          <w:sz w:val="20"/>
          <w:lang w:val="en-US" w:eastAsia="en-US" w:bidi="ar-SA"/>
        </w:rPr>
        <w:t>Karpencov v. Paroian, Courey, Cohen &amp; Houston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(1980), 117 D.L.R. (3d) 383</w:t>
        </w:r>
      </w:hyperlink>
      <w:r>
        <w:rPr>
          <w:rFonts w:ascii="arial" w:eastAsia="arial" w:hAnsi="arial" w:cs="arial"/>
          <w:color w:val="000000"/>
          <w:sz w:val="20"/>
          <w:lang w:val="en-US" w:eastAsia="en-US" w:bidi="ar-SA"/>
        </w:rPr>
        <w:t xml:space="preserve"> at 397-398, </w:t>
      </w:r>
      <w:hyperlink r:id="rId484" w:history="1">
        <w:r>
          <w:rPr>
            <w:rFonts w:ascii="arial" w:eastAsia="arial" w:hAnsi="arial" w:cs="arial"/>
            <w:i/>
            <w:color w:val="0077CC"/>
            <w:sz w:val="20"/>
            <w:u w:val="single"/>
            <w:shd w:val="clear" w:color="auto" w:fill="FFFFFF"/>
            <w:lang w:val="en-US" w:eastAsia="en-US" w:bidi="ar-SA"/>
          </w:rPr>
          <w:t>2 A.C.W.S. (2d) 478</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the decision to settle a lawyer brings all his talents and experience both recollected and existing somewhere below the level of the conscious mind, all his knowledge of the law and its processes. Not least he brings to it his hard-earned knowledge that the trial of a lawsuit is costly, time-consuming and taking for everyone involved and attended by a host of contingencies, foreseen and unforeseen. Upon all of this he must decide whether he should take what is available by way of settlement, or press on. ... In my view it would be only in the case of some egregious error ...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lawyer's duty does not extend to ensuring or guaranteeing expected results for the client: Midland Bank Trust Co. Ltd. v. Hett, Stubbs and Kemp, [1978] 3 All E.R. 571 (Ch.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 lawyer's conduct should not be judged by way of hindsight, but in light of the knowledge he possessed, or reasonably ought to have possessed, at the time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him: </w:t>
      </w:r>
      <w:r>
        <w:rPr>
          <w:rFonts w:ascii="arial" w:eastAsia="arial" w:hAnsi="arial" w:cs="arial"/>
          <w:i/>
          <w:color w:val="000000"/>
          <w:sz w:val="20"/>
          <w:lang w:val="en-US" w:eastAsia="en-US" w:bidi="ar-SA"/>
        </w:rPr>
        <w:t>LaFleur v. Murphy</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2002 BCSC 986</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116 A.C.W.S. (3d) 283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Sisett &amp; Company was not retained in respect of the July 1997 accident, Mr. Olenga's WCB claim or his WCAT appeal. The proper party was named as a defendant in the underlying action. Neither Mr. Sisett nor Mr. Laudidio or any other representative of Sisett &amp; Company was aware of Mr. Olenga's alleged impairment in the mornings. Mr. Olenga was responsible for payment of his massage therapy treatments. Mr. Sisett did not advise Mr. Olenga that his claim was worth $1,300,000, nor did he suggest that he receive that amount by way of settlement or court award. Finally, Mr. Olenga was fully competent when he accepted ICBC's offer to settle his claim for $37,500 "new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These findings mean that even if Mr. Olenga had proven that he suffered damages as a result of the conduct of Sisett &amp; Company, an essential element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which he did not address in his evidence at all, he has not proven that Sisett &amp; Company acted negligently in any aspect of their representation of Mr. Olenga.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Olenga's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Sisett &amp; Company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Osborne v. Harper, [2005] B.C.J. No. 1849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16, 17, 18 and 22, 2005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97-1630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684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Osborne, plaintiff, and Brian Alexander Harper and RBC Dominion Securities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(235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Delivered December 1, 2005. See </w:t>
      </w:r>
      <w:hyperlink r:id="rId493" w:history="1">
        <w:r>
          <w:rPr>
            <w:rFonts w:ascii="arial" w:eastAsia="arial" w:hAnsi="arial" w:cs="arial"/>
            <w:i/>
            <w:color w:val="0077CC"/>
            <w:sz w:val="18"/>
            <w:u w:val="single"/>
            <w:shd w:val="clear" w:color="auto" w:fill="FFFFFF"/>
            <w:lang w:val="en-US" w:eastAsia="en-US" w:bidi="ar-SA"/>
          </w:rPr>
          <w:t>[2005] B.C.J. No. 2625</w:t>
        </w:r>
      </w:hyperlink>
      <w:r>
        <w:rPr>
          <w:rFonts w:ascii="arial" w:eastAsia="arial" w:hAnsi="arial" w:cs="arial"/>
          <w:color w:val="000000"/>
          <w:sz w:val="18"/>
          <w:lang w:val="en-US" w:eastAsia="en-US" w:bidi="ar-SA"/>
        </w:rPr>
        <w:t>.]</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Second supplementary reasons for judgment were released January 11, 2006. See </w:t>
      </w:r>
      <w:hyperlink r:id="rId494" w:history="1">
        <w:r>
          <w:rPr>
            <w:rFonts w:ascii="arial" w:eastAsia="arial" w:hAnsi="arial" w:cs="arial"/>
            <w:i/>
            <w:color w:val="0077CC"/>
            <w:sz w:val="18"/>
            <w:u w:val="single"/>
            <w:shd w:val="clear" w:color="auto" w:fill="FFFFFF"/>
            <w:lang w:val="en-US" w:eastAsia="en-US" w:bidi="ar-SA"/>
          </w:rPr>
          <w:t>[2006] B.C.J. No. 47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2"/>
      <w:bookmarkEnd w:id="154"/>
      <w:r>
        <w:rPr>
          <w:rFonts w:ascii="arial" w:eastAsia="arial" w:hAnsi="arial" w:cs="arial"/>
          <w:b/>
          <w:color w:val="000000"/>
          <w:sz w:val="20"/>
          <w:lang w:val="en-US" w:eastAsia="en-US" w:bidi="ar-SA"/>
        </w:rPr>
        <w:t xml:space="preserve">Commercial law — Specialized relationships — Stock brokers — Damages — Exemplary or punitive damages — When available — Professional responsibility — Professional duties — Fiduciary duties — Particular duties — Avoiding conflicts of interest — Disclosure — Professions — Other — Investment and management consultants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0"/>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Osborne in damages against Harper, her broker, for breach of fiduciary duty,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Osborne met Harper when she was in her 20s. She invested her savings of $10,000 with his firm. She later received $600,000 from her father's estate. She also invested a portion of this money, $354,000, with Harper. She took a course in investing taught by Harper. She testified she did not understand the investments Harper made with her funds. Harper testified that Osborne did understand her investments. Over the course of their 15 year relationship, Osborne and Harper spoke daily on the phone. In total, Osborne had over $800,000 invested with Harper. Osborne claimed she was always clear she wanted safe investments. Harper claimed Osborne rejected safe investment strategies he recommended and advised him to be more aggressive in investing her money. Osborne characterized herself as a na've investor and Harper as her only friend. Three investments lead to the litigation. Of all Harper's 450 clients, Osborne was the only one who made these investments. The first was an investment Harper recommended in a company, involved in cargo shipping, of which he was the sole director. Osborne denied Harper told her the investment was high risk. Harper claimed Osborne sought and received independent advice about investing in his company on his advice. The money Osborne invested in the venture was lost. Following this, Harper asked Osborne for a loan of $58,000 USD which she granted him. Harper repaid the loan with interest six months later. Osborne then purchased a joint venture unit in Canadian Shipping Containers for $25,000. Osborne claimed Harper advised her it was a good investment opportunity. Canadian Shipping was involved with Harper's cargo company. Harper claimed he told Osborne this investment was high risk. This investment was also lost. The third investment giving rise to the litigation involved a purchase of a unit in Victoria Securities Trust. This investment was extremely high risk as it involved posting funds for Harper's essentially insolvent company. Harper claimed he advised Osborne of the situation the company was in but she denied knowledge of the situation. This investment was also lost. The last transaction took place in 1989, giving rise to Harper's argument that Osborne's claims were out of time. Osborne claimed she was not aware there was a problem with the investments until at least 1992. Prior to this, Harper was advising her that the problems with the investments were minor and that he would deal with them. The relationship between Harper and Osborne ended in 1993 when Harper left the investment company he worked for. Osborne claimed a loss of $444,696, based on an asset allocation model consistent with Osborne's tolerance for investment risk. Harper argued for a valuation of loss at the time of the alleged breaches of duty, calculated to be $270,030.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7"/>
            <w:bookmarkEnd w:id="1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relationship between Osborne and Harper was fiduciary in nature. The court found Osborne a more credible witness than Harper. Harper's credibility was brought into question by the fact he engaged in transactions that were unethical. Osborne would not have made investments against Harper's advice, as his testimony suggested. Osborne had a very high degree of trust and confidence in Harper, and was a na've investor. Given the relationship between Harper and Osborne, Harper's knowledge of Osborne's fear of risky investments, and the possible conflict of interest position he was in, Harper should have advised Osborne against making the investments involving his company. Harper abused his position of trust by minimizing the risk involved in the investments and in characterizing the need for independent legal advice as merely a formality. Osborne's claims were in time. Osborne did not have knowledge that she had a cause of action against Harper for her investment losses until 1992, the first time Harper did not reassure her as to the security of her investments. The true condition of the investments was concealed from Osborne by Harper until this point. Osborne was not contributorily negligent. She brought all her doubts about the investments to the attention of Harper. No steps she could have taken would have avoided her losses. Calculation of general damages was reserved. Aggravated damages were not awarded to Osborne as she did not suffer the requisite grief, humiliation, wounded pride, damaged self-confidence or self-esteem, or loss of faith in friends or colleagues. Punitive damages of $20,000 were awarded because of Harper's high-handed behaviour. Harper's employer was found vicariously liable for his 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17"/>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3(3), s. 3(5), s. 6, s. 6(3), s. 6(3)(e), s. 6(3)(h),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3"/>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B.R. McConnan, Q.C. and M. Lawless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G.E.H. Cadman, Q.C. and H.D. Craig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3"/>
      <w:bookmarkEnd w:id="159"/>
      <w:r>
        <w:pict>
          <v:line id="_x0000_s1142"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SIGURDSON J._0"/>
            <w:bookmarkEnd w:id="160"/>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against a broker for losses on three investments made by the plaintiff in 1988 and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Wendy Osborne and the defendant Brian Harper, a broker, had a business relationship that spanned fifteen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sues for damages for breach of fiduciary duty,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three transactions. The claim with respect to one of these transactions is restricted to breach of fiduciary duty because of a concession by the plaintiff's counsel that the claim in connection with the second investment is statute barred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However, the focus of the plaintiff's claim is for damages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claims aggravated damages, punitive damages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say that the plaintiff is not as vulnerable and naïve or unsophisticated as she asserts and that the relationship was not a fiduciary one, but merely contractual. Mr. Harper asserts that the plaintiff was fully aware of the risks of the investments and of his interest in the three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argue that however the claims are advanced,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contract, or in fiduciary duty, the claims are out of time. The defendants also say that the plaintiff was, at a minimum,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case requires a determination of the nature of the relationship between Ms. Osborne and Mr. Harper, and whether it was a fiduciary relationship. Credibility questions are particularly relevant to a number of issues, including the proper characterization of their client/broker relationship, the nature and extent of disclosure made by Mr. Harper, Ms. Osborne's understanding of independent advice that she received in connection with the first investment, and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relationship between the plaintiff and the defendants? Was it a fiduciary relationship?</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did the defendants act in breach of fiduciary duty in connection with any of the investments?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limitation period for the various claims and was it postponed?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issues 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claim by the plaintiff is meritorious and brought in time, what damages should be awarded?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also recover aggravated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recover punitive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special costs?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Wendy Osborne is now 50 years old. She was born in Victoria in 1955 and is a high school graduate. She has some post-secondary education in fine arts and calligraphy. Her main interests are drawing and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Harper is a university graduate in economics. At all material times and until 1993, he was a licensed representative with the defendant RBC Dominion Securities (and its predecessors). Presently he is the CEO of Gateway File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Osborne was raised by her grandparents after her mother left when Ms. Osborne was about 6 years old. She had no siblings. Her father was a quartermaster with the Coast Guard and was away from Victoria a great deal. Ms. Osborne had a troubled and violent relationship with her father; alcohol apparently was the problem. He lived with Ms. Osborne and her grandparents when he was in Victoria; Ms. Osborne cooked and did laundry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1979, Ms. Osborne was introduced by her grandmother to Mr. Harper, who at that time was a broker at Pitfield McKay Ross, a predecessor to RBC Dominion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Ms. Osborne met Mr. Harper in 1979 she was in her 20s and a student at Camosun College. She had savings of around $10,000, money that she had apparently mostly received from her father. She opened an account with Mr. Harper's firm and acquired some gold or silver stocks that she had heard about on the radio from Mr. Semple, an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1980, Ms. Osborne's grandmother died. In 1984, her father died and a year later her grandfather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1979 and 1984, Ms. Osborne, it appears, did not work. She has never had nor does she have any training for what could be termed a conventional job. She has invigilated exams, but not recently, has done some homecare (i.e. housekeeping and cleaning) and has assisted with security at real estate open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Osborne's father left his estate to his sister, not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Harper recommended that Ms. Osborne obtain legal advice about what she could do about her father's estate. After consulting a lawyer (and some litigation) a settlement was reached in which she received her father's entire estate which was worth about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Osborne said that her grandparents had told her stories about the Depression and that she wanted investments that would be safe. She described herself as a worrywart who was concerned about world calamity.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Harper taught an investment course at Camosun College for about 13 years and one year Ms. Osborne took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August 1984, the plaintiff opened an options account and signed a margin agreement with Mr. Harper's firm. There is an issue of her understanding of this type of investing and the risk that she was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that Mr. Harper described the margin account as a formality, that it enabled him to do "certain manoeuvres" and that it was necessary because he had "special techniques he wanted to employ". She testified that she understood a margin account means that you borrow money from the company. She said that she tried to read the margin account agreement but did not understand it. She said that Mr. Harper described options as being like insurance - they keep you safe. Ms. Osborne testified that she did not understand the risks or Mr. Harper's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Harper disputed this evidence. He acknowledged that the "know your client" duty requires an understanding of the client's risk tolerance, investment objectives and investment experience, but he testified that Ms. Osborne understood options and margin trading, that she understood the risks and his strategies, and that options and trading on margin were acceptable given her risk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is one example of the credibility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Since her grandfather died, Ms. Osborne has lived alone. The plaintiff has lived off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exact nature of the legal relationship between Ms. Osborne and Mr. Harper is in dispute, it is not disputed that Mr. Harper spoke to Ms. Osborne on a daily basis throughout the years of their dealings. Ms. Osborne described Mr. Harper as a sympathetic listener; he testified that he was more like a sounding board. It was suggested that Mr. Harper was aware of issues surrounding her father's drinking, his estate, the death of her grandmother in 1981 and her boyfriend. Ms. Osborne testified that much of their discussions were around personal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least a portion of the proceeds of her father's estate, it appears, were initially invested at Royal Trust. In July 1987, $354,000 was transferred to her account with Mr. Harper at Dominion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September 1987, Ms. Osborne signed a new account agreement for cash or margin accounts. Mr. Harper said that a new account agreement was done at this time because the receipt of her father's estate was a material change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Harper testified that at the time of the account opening he marked down her responses to his inquiries about her investment objectives and tolerance for risk which he said she appeared to understand. The form that she signed showed that she then had net liquid assets of $800,000 and described her investment factors as 40 percent investment grade, 20 percent good quality, 10 percent speculative and 30 percent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Osborne denied that she was prepared to accept that kind of risk. She said that high risk was unthinkable to her, that she was obsessed with feeling safe and that Mr. Harper knew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of 1988, following the serious stock market downturn in October of 1987, Mr. Harper wrote to Ms. Osborne: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prospect for a recession beginning late in 1988, early 1989 suggests that a singularly more cautious balance of cash, bonds and equities be employed.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a more appropriate balance would be 20% cash, 50% bonds and 30% equities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met in Mr. Harper's office following that letter but dispute what happened. Ms. Osborne said that they discussed the letter and it reflected what she wanted. Mr. Harper testified that Ms. Osborne rejected the strategy suggested in the letter. He said that she opted for a more aggressive one, the course of action that he said she had been following. Mr. Harper testified that he counselled her on a more conservative approach, but he said that she instructed him to continue as before and that it was "a time to be bold".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Harper did not confirm the discussion between himself and Ms. Osborne at the meeting in writing. In fact, the January 1988 letter appears to be the only correspondence that Mr. Harper wrote to Ms. Osborne in his capacity as a broker during their fifteen year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years leading up to the transactions in question there is no dispute that there were a great number of trades done by Ms. Osborne in her account. Although Ms. Osborne had in the past directed some trades based on tips that she received from a radio commentator, I find that most of the trades were made on the advice, recommendation and, in substance, the direction of Mr.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Over time, Ms. Osborne became a fairly large client of Mr. Harper's and one of his most active, if not the most active, clients. During his time at RBC Dominion Securities, Mr. Harper had as many as 450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Now let me describe the three investments that are the subject of this litigation. The first and third investments were for units held by Victoria Securities Depository Inc. ("VSDI") in the Victoria Securities Trust, and the second was for joint venture units in Canadian Shipping Containers ("CSC"). Mr. Harper had a personal interest in all of these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Investment - "April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April 1988, Ms. Osborne made the first of the three investments. She subscribed for four units in the Victoria Securities Trust at a cost of USD $60,000. VSDI was to hold shares of a company called MB Canadian Tropic Line Ltd. This investment has been referred to as the April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the MB Canadian Tropic Line Ltd. business plan dated February 1, 1988, that company was formed to acquire the rights to a marine transport service said to be modelled upon European coastal freighter companies. 50.1% of the common shares of MB Canadian Tropic Line were to be owned by VSDI and 49.9% would be owned by Michael Von Brauchitsch of Hamburg, Germany.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was this investment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VSDI, which would hold in trust the investors' interests (the "units") in this venture, had been incorporated in 1981. (Apparently the company is now called "Gateway", the company that Mr. Harper is presently involved with.) MB Canadian Tropic Line was incorporated in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Harper, the president and sole director of VSDI, was described in the business plan as being in charge of the treasury functions for the company and responsible for assessing projects and implementing a requisite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Mr. Harper's evidence, this was a venture capital investment under which Mr. Von Brauchitsch was seeking an investor group to develop a shipping business along the west coast of North America. Mr. Von Brauchitsch's group would hold the minority interest in MB Canadian Tropic Line and VSDI for the trust would hold the majority interest in MB Canadian Tropic Line. Mr. Harper testified that, rather than putting the investor's money into MB Canadian Tropic Line, the trust provided an extra layer to act as a unified front in dealing with Mr. Von Brauchitsch, whom he characterized as an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investment appeared to involve at least four entities which were closely related: VSDI, Tequila Leasing, MB Canadian Tropic Line, and Canadian Shipping Containers. The precise relationship was unclear. The evidence indicated that Canadian Shipping Containers (which does not appear to be mentioned in the business plan at the outset) would buy the containers, lease them to Tequila Leasing which would lease them to MB Canadian Tropic Line. It appears from the business plan that Mr. Von Brauchitsch is the principal for two vessels involved in the proposal, the Tequila Sunshine and the Tequila Sunrise. Ms. Osborne testified that she did not hear about Mr. Von Brauchitsch from Mr. Harper until 1992 or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Tequila Leasing was incorporated in February 1988 and Mr. Harper was the sole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Osborne testified that Mr. Harper requested her to become involved and purchase units of the Victoria Securities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Osborne said that Mr. Harper described it as a special opportunity and a wonderful thing for her to participate in. He said that they were going to ship Corona beer. Ms. Osborne said Mr. Harper told her she should put in USD $60,000 from her American account. She said that she invested because she thought Mr. Harper was looking after her, and because he had told her that the contract with Corona beer was "in the bag". The pro forma statements attached to the business plan showed revenues of over $26 million and profit of over $3 million dollars in the third year, but Ms. Osborne testified that she did not know what a pro forma financial statement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Osborne denied that Mr. Harper told her that the investment was high risk and that it did not necessarily have liquidity. She said she knew Mr. Harper was involved in some way, but she was not clear on what kind of involvement he had. She did not think it was her business to ask, she testified. At the time, Mr. Harper was the president of VSDI and was the sole director. She testified that he told her that getting independent advice was a formality; he did not tell her that it was required due to the level of risk of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Harper's evidence paints a different picture. He testified that at the time he had been in and out of the office. He explained to her that he was participating in an investment in a cargo shipping operation. He said that Ms. Osborne mentioned that her grandfather was a sea captain and her father had a similar background. He testified that she had said she thought the investment was interesting. He testified that he told her that the venture was an early situation that he could not discuss at that time, but he left the business plan of MB Canadian Tropic Line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Harper denied that he had said it was a wonderful opportunity, or that he offered the investment to her. He testified that he told Ms. Osborne it was a high risk opportunity which he was undertaking personally, but one that he thought had great potential. He denied telling her that she should not speak to anyone about the investment, but he did testify that there was a confidentiality agreement for the trust. The idea, he said, was to present a united front against what he described in his evidence as the unknown minority partner, Mr. Brauchitsch.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Harper said that he recommended to Ms. Osborne to get independent advice as he was in a conflict of interest, and that she received the subscription form from a solicitor acting for the company. She then took the form to a different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is in conflict as to whether Mr. Harper said that he was in a conflict of interest, but the evidence does indicate that before purchasing units of the trust, Ms. Osborne signed the subscription document in front of a lawyer of her choice. She testified that she does not recall whether the lawyer she saw said anything about risk or conflict (she said it was a brief visit). She said that she was planning to go on a trip within a few days to Europe, and that was preoccupying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Osborne testified that she saw the lawyer, but that she did not recall much discussion about the form she signed, particularly the representations in the subscription document stating that she was a close friend or business associate of a director and had a long term business relationship with the director of securities (i.e. Mr. Harper), and that she had the financial ability to bear the economic loss. The subscription form that she signed indicated she had not relied on advice from Mr. Harper notwithstanding her long term relationship. The form also indicated that she acknowledged there were risks involved in subscribing for the units. She said she does not recall discussion about those topics, or seeing the reference in the subscription form of not acting on Mr. Harper's advice. She testified that, in fact, she made this investment because of her trust in Mr.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lawyer that she saw before signing the subscription form for the first investment was not called by either side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payment of USD $60,000 for the units in the Victoria Securities Trust was taken out of her account, leaving her with a debit balance in her account at Dominion Securities of $111,680, something she said she did not notice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a dispute as to what Mr. Harper told Ms. Osborne about this investment, from time to time, after the investment was made. This evidence may relate to the question of whether the limitation period for this action has been postponed. I will discuss that evidence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first investment was ultimately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Loan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September 1988, Mr. Harper asked Ms. Osborne to loan him a significant sum of money. Although this transaction is not one of the three investments that are the subject of this action (because the loan was repaid), I think that it is relevant to understanding the relationship between Mr. Harper and Ms. Osborne at the material time. Ms. Osborne testified that Mr. Harper was not specific as to the purpose of the loan, but she thought that it had something to do with business. There is no suggestion that Ms. Osborne actually received independent advice concerning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September 8, 1988, as reflected on her RBC Dominion Securities account statement, Ms. Osborne loaned to Mr. Harper or his company the amount of USD $58,000.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Osborne said she made the loan because she trusted Mr. Harper absolutely and he gave her his word it would be repaid. She testified that at the time he was her closest and only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Harper described the loan this way. There was a working capital deficiency in MB Canadian Tropic Line and funds were required quickly to cover an overdraft. He testified that a request went out generally to all investors to assist and he said that he made mention of this to Ms. Osborne. He said the understanding was that once the working capital deficiency was corrected, the funds would be returned to her. He testified that although he did not send her for independent legal advice or disclose the conflict in writing, he did so verbally. He said that he knew it was contrary to ethics and proper standards to borrow from clients. He testified that he also knew that Ms. Osborne borrowed money from her margin account to advance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Osborne received a chattel mortgage from VSDI on five cargo containers. The mortgage was signed by Mr. Harper as director of that company. She said she nevertheless thought it was a personal obligation and she took him at his word that it would be repaid. Whether VSDI owned the containers that were the subject of the chattel mortgage was an issue raised on cross-examination but not resolved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October 24, 1988, about six weeks after the loan was made, Ms. Osborne received repayment of CAD $70,460.50, which payment reflected interest in the amount of USD $1,160.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Osborne purchased a joint venture unit in Canadian Shipping Containers in October 1988 for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Osborne borrowed to invest in Canadian Shipping Containers. Ms. Osborne's cheque for $25,000 was paid to Hannah &amp; McLeery Properties, in trust, on October 14, 1988. The second investment therefore was actually undertaken before the loan that Ms. Osborne had made to Mr. Harper or the company was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second investment was described in an offering memorandum as a joint venture to raise $450,000. (Canadian Shipping Containers proposed to enter into the container leasing business by purchasing from Tequila Leasing refurbished marine refrigerated containers, which Tequila Leasing was acquiring or had acquired for leasing to MB Canadian Tropic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Osborne said that Mr. Harper told her it was a very good opportunity, and that only a select group of people were going to be participating. She said that Mr. Harper described it as a very good thing and that she should join in. She testified that she knew the investment had something to do with marine cargo containers.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Hannah &amp; McLeery Properties was described in the documents as the manager of the joint venture and of the assets of the joint venture. She testified that Mr. Harper told her that Hannah &amp; McLeery were very reputable men. Ms. Osborne said she did not know Mr. Harper had any involvement with those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Osborne said that she tried to thumb through the offering memorandum but that Mr. Harper had described it as a "most excellent investment" that was without risk and safe. Ms. Osborne said that she did not read the part in the offering memorandum that described her as a sophisticated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Harper gave quite a different version. He testified that he and Ms. Osborne had earlier discussed container investment, and that she had heard of this one on the radio or from other sources. He told her, he said, that "this was one that I [am] familiar with" and "I [am] going to, intending to take an interest in myself." He testified that he said if her interest was still in the area that she might review this matter. He said that he told her that he was purchasing one unit and might take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Harper said that he recalled giving Ms. Osborne the offering memorandum at his office. He testified that he made it very clear that he had an interest and a conflict and did not recommend the investment. He said that he told her the principal parties included MB Canadian Tropic Line leasing containers from the Tequila Leasing organization, and that he was still fundamentally unsure of the economic viability of the MB Canadian Tropic Line operation, as he had not seen financial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Harper described in his evidence at trial the circular way in which these various companies were involved in the ownership of the containers: Tequila owned them, Canadian Shipping Containers was to buy them, and then the containers were going to be leased to MB Canadian Tropic Line. He could not recall the real purpose of this circular arrangement, but he thought this was the normal way that Hannah &amp; McLeery, who directed them, did these types of "syndications", as he referred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Harper said he told Ms. Osborne of the risk as being high (which she denied). He does not recollect whether he sent her for independent advice, but he did witness her signature on the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cross-examination, Mr. Harper acknowledged that Ms. Osborne was the only one of his clients to get involved in this investment. Mr. Harper also admitted that by the time of this investment, MB Canadian Tropic Line was over its credit limit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second investment was ultimately lost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Investment - The "September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third and final investment in this case was made in the fall of 1989 when Ms. Osborne bought another unit in Victoria Securities Trust. This was referred to at trial as the September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Osborne said that Mr. Harper told her that that it would be prudent to buy more shares and she understood that she was acquiring more units of Victoria Securities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time no subscription form was signed. She said she invested and paid for her investment with Royal Bank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Harper testified that MB Canadian Tropic Line was essentially insolvent at the time, and that he told Ms. Osborne it was extremely serious and was a high risk investment. Apparently there had been a call for capital by MB Canadian Tropic Line and investors had been asked to put up additional funds or loan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Osborne denied being told that MB Canadian Tropic Line was essentially insolvent before she made her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asked if he had recommended this investment, Mr. Harper testified that he had not. However, Mr. Harper said that the company's insolvency had been discussed with Ms. Osborne as it had been with all the other investors. He said that he had told her this was a matter of great concern, and he testified that he had advised her to seek independent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Harper testified: "I made her aware that this was a highly illiquid ... investment and that fundamentally the company was essentially insolvent". When asked why she would put that much money in a company that she was told was insolvent he testified: "there was a prospect of a sale for the company and it was her belief, and certainly other of the investors' belief that the prospect for sale would provide recovery of all funds that they had invested". He went on to testify that he thought there would be recovery in some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shares in Royal Bank were held for a period of time as security for the company's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third investment was ultimately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All of the three investments failed and have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Harper left RBC Dominion Securities on May 31, 1993 and his client/broker relationship with Ms. Osborne ended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action was started on April 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 on What is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Were the parties, as the plaintiff's counsel contends, in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broker/client relationship is not one of the conventional categories of fiduciary relationships, but it can be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Varcoe v. Sterling </w:t>
      </w:r>
      <w:hyperlink r:id="rId495"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a decision of Keenan J., cited with approval in Hodgkinson v. Simms, </w:t>
      </w:r>
      <w:hyperlink r:id="rId49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is instructive on the test for determining whether the relationship of the plaintiff and the defendant Harper was fiduciary in nature. I quote from Varcoe at 234-35: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of broker and client is not per se a fiduciary relationship. ... [I]t depends on the circumstances of the individual case. Where the elements of trust and confidence and reliance on skill and knowledge and advice are present, the relationship is fiduciary and the obligations that attach are fiduciary. On the other hand, if those elements are not present, the fiduciary relationship does not exist. While the broker may have obligations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client, there is no fiduciary duty. The circumstances can cover the whole spectrum from total reliance to total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Later, at 236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Primarily, a broker's relationship with the client is that of agent and principal. The agent takes instructions from the principal and carries them out with care, skill and diligence. Failure to do so may give rise to an action in breach of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In any case where a broker has an interest in a particular transaction, the broker must make full disclosure and assumes the onus of proving that no advantage was taken of the client, that the transaction was entered into in perfectly good faith and after full disclosure. It is the trust and reliance placed by the client which gives to the broker the power and in some cases, discretion, to make a business decision for the client. Because the client has reposed that trust and confidence and has given over that power to the broker, the law imposes a duty on the broker to honour that trust and respond accordingly. If the broker fails to honour that trust or betrays the trust by taking advantage of the client, the broker has breached that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passage (generally) was cited with approval by Mr. Justice La Forest at 419-20 of the Hodgkinson v. Simms decision. He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passage represents an accurate statement of fiduciary law in the context of independent professional advisory relationships, whether the advisers be accountants, stockbrokers, bankers, or investment counsellors. Moreover, it states a principled and workable doctrinal approach. Thus, where a fiduciary duty is claimed in the context of a financial advisory relationship, it is at all events a question of fact as to whether the parties' relationship was such as to give rise to a fiduciary duty on the part of the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recent case of Hunt v. TD Securities Inc. </w:t>
      </w:r>
      <w:hyperlink r:id="rId497" w:history="1">
        <w:r>
          <w:rPr>
            <w:rFonts w:ascii="arial" w:eastAsia="arial" w:hAnsi="arial" w:cs="arial"/>
            <w:i/>
            <w:color w:val="0077CC"/>
            <w:sz w:val="20"/>
            <w:u w:val="single"/>
            <w:shd w:val="clear" w:color="auto" w:fill="FFFFFF"/>
            <w:lang w:val="en-US" w:eastAsia="en-US" w:bidi="ar-SA"/>
          </w:rPr>
          <w:t>(2003), 66 O.R. (3d) 481</w:t>
        </w:r>
      </w:hyperlink>
      <w:r>
        <w:rPr>
          <w:rFonts w:ascii="arial" w:eastAsia="arial" w:hAnsi="arial" w:cs="arial"/>
          <w:color w:val="000000"/>
          <w:sz w:val="20"/>
          <w:lang w:val="en-US" w:eastAsia="en-US" w:bidi="ar-SA"/>
        </w:rPr>
        <w:t xml:space="preserve"> (C.A.) is also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Hunt v. TD Securities Inc., Madam Justice Gillese, in finding that a fiduciary relationship did not exist between the parties, referred to Mr. Justice La Forest's discussion in Hodgkinson of the three step analysis first enunciated in Frame v. Smith, </w:t>
      </w:r>
      <w:hyperlink r:id="rId49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and she said this (at [paragraph]40-42):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 Forest J. expands considerably on this analysis. His comprehensive judgment in Hodgkinson can be summarized as identifying five interrelated factors to be considered when determining whether financial advisors stand in a fiduciary relationship to their clients: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Vulnerability - the degree of vulnerability of the client that exists due to such things as age or lack of language skills, investment knowledge, education or experience in the stock market.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Trust - the degree of trust and confidence that a client reposes in the advisor and the extent to which the advisor accepts that trust.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 whether there is a long history of relying on the advisor's judgment and advice and whether the advisor holds him or herself out as having special skills and knowledge upon which the client can rely.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Discretion - the extent to which the advisor has power or discretion over the client's account.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Rules or Codes of Conduct - help to establish the duties of the advisor and the standards to which the advisor will be held.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description of these five factors is not intended to be exhaustive and that the evidence relevant to one factor may be relevant also to a consideration of one or more of the other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applying these factors, the words of Forsyth J. in a recent Alberta Queen's Bench decision provide a helpful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[O]ne should consider the broker-client relationship to be a spectrum. At one end is a relationship of full trust and advice. The broker effectively makes all the decisions because of the great reliance and trust reposed in him or her by the client .... This is exacerbated where the account is discretionary, such that the broker has the authority to make trades without the client's consent or even knowledge ... Obviously, there is a fiduciary relationship at this end of the spectrum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other end is a relationship where the broker is merely an "order-taker" for the client, the client does not rely on any advice from the broker, and the broker had no discretion. This was the case in Varcoe itself. Relationships at this end of the spectrum lack the elements of a fiduciary relationship.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Most cases fall somewhere in the middle.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(Kent v. May </w:t>
      </w:r>
      <w:hyperlink r:id="rId499" w:history="1">
        <w:r>
          <w:rPr>
            <w:rFonts w:ascii="arial" w:eastAsia="arial" w:hAnsi="arial" w:cs="arial"/>
            <w:i/>
            <w:color w:val="0077CC"/>
            <w:sz w:val="20"/>
            <w:u w:val="single"/>
            <w:shd w:val="clear" w:color="auto" w:fill="FFFFFF"/>
            <w:lang w:val="en-US" w:eastAsia="en-US" w:bidi="ar-SA"/>
          </w:rPr>
          <w:t>(2001), 298 A.R. 71</w:t>
        </w:r>
      </w:hyperlink>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[2001] A.J. No. 552</w:t>
        </w:r>
      </w:hyperlink>
      <w:r>
        <w:rPr>
          <w:rFonts w:ascii="arial" w:eastAsia="arial" w:hAnsi="arial" w:cs="arial"/>
          <w:color w:val="000000"/>
          <w:sz w:val="20"/>
          <w:lang w:val="en-US" w:eastAsia="en-US" w:bidi="ar-SA"/>
        </w:rPr>
        <w:t xml:space="preserve"> (Q.B.), at paras. 51-53, affd </w:t>
      </w:r>
      <w:hyperlink r:id="rId500" w:history="1">
        <w:r>
          <w:rPr>
            <w:rFonts w:ascii="arial" w:eastAsia="arial" w:hAnsi="arial" w:cs="arial"/>
            <w:i/>
            <w:color w:val="0077CC"/>
            <w:sz w:val="20"/>
            <w:u w:val="single"/>
            <w:shd w:val="clear" w:color="auto" w:fill="FFFFFF"/>
            <w:lang w:val="en-US" w:eastAsia="en-US" w:bidi="ar-SA"/>
          </w:rPr>
          <w:t>(2002), 317 A.R. 381</w:t>
        </w:r>
      </w:hyperlink>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[2002] A.J. No. 1327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it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cases have recognized that the nature of a financial advisory relationship depends very much on the facts. Broker/client relationships can be very different with the mere order-taker at one end and the portfolio manager at the opposite end of the spectrum.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Were there the requisite elements of trust, confidence, reliance on skill and knowledge and advice for the relationship to be a fiduciary one at the time of the three investments in question in this case? The plaintiff's counsel says that there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Cadman argues for the defendants that there is no fiduciary relationship. He submits that the plaintiff was close to the end of the spectrum where she did not depend on the defendant Mr. Harper and was not vulnerable. The defendants argue that the evidence of vulnerability and reliance is essentially contrived. In any event, Mr. Cadman submits there had been full disclosure by Mr. Harper of his personal interest in the three investments. Simply put, he contends that the evidence does not show there was a fiduciary relationship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resolution of the obvious credibility issue that arises from the conflicting evidence of Ms. Osborne and Mr. Harper assists greatly in finding the facts necessary to resolve the question of whether there was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is apparent from my review of the evidence so far, there were significant differences in the evidence of Mr. Harper and Ms. Osborne concerning her level of sophistication, her understanding and tolerance of risk, what was agreed following the 1988 letter about her future investment strategy and whether she understood options trading and margin accounts. There were also serious conflicts in the evidence concerning the discussions between Mr. Harper and Ms. Osborne before the three investments were undertaken. The essence of the dispute is whether Ms. Osborne was a knowledgeable investor, assuming the type of risks inherent in her portfolio and the investments that are the subject of this litigation or whether she was a naïve investor, relying upon and trusting Mr. Harper and having a low tolerance for risk. There were also significant conflicts in the evidence concerning the discussions that the parties had about the prospects for the investments after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Upon a consideration of all of the evidence, I find Ms. Osborne to be more credible than Mr. Harper. I also find that her characterization of her understanding of the transactions she engaged in with the defendants, including those that are the subject matter of this litigation, is far more likely to be accurate than the way it was described by Mr. Harper. Although it was suggested that her evidence of trusting and relying on Mr. Harper was contrived and perhaps developed from newspaper reports of or solicitors' correspondence concerning other cases, I do not accept that submission. Her evidence of trust and reliance upon Mr. Harper was not successfully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also found her evidence concerning her acceptable risk level and her description of herself as a "worry-wart" who feared world calamity to be consistent with my assessment of her and the manner in which she appeared to lead her life. She is not particularly worldly, but rather appeared to be quite a naïve and sheltered person. She had no friends, was not engaged in the working world and appeared to be at least somewhat reclusive. The evidence indicated that she had had a boyfriend for a time who was a professor, but that evidence did not suggest a keen appreciation of investments and the stock market. Her description of Mr. Harper as her only friend rang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the other hand, Mr. Harper's description of Ms. Osborne's understanding of documents and transactions did not ring true. When asked about documents that he said he showed her, such as option agreements or margin accounts, his evidence appeared to be formulaic; he often used a phrase or agreed with a suggestion that "she appeared to understand them". To some degree, Mr. Harper's trustworthiness as a witness was put into question by the very nature of some of the transactions: he borrowed money from a client in clear contravention of ethical standards and in the third investment had his client invest in what appears on the evidence known to him to have been a faltering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Credibility is often best assessed by comparing testimony to objectively proven facts. Here the defendant relies heavily on the plaintiff's trading patterns over an extended period of time to show her tolerance for risk. The fact that she operated a margin account and an option account simply does not suggest to me an in depth understanding of those investment mechanisms in the circumstances of this case; rather I think that they were investment devices that Mr. Harper recommended and used in the operation of her account. I do not think that Ms. Osborne understood the subtleties of option trading or margin trading; rather I think Mr. Harper obviously did, and in fact her account was his most active one. Although she did take stock tips from the radio occasionally, I find that she spoke to Mr. Harper daily and essentially simply followed his advice in the trades that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also prefer her evidence concerning the investment strategy agreed upon following the October 1988 letter. I think that if she had decided to follow an aggressive investment strategy different from that set out in the letter, it is likely that some record or piece of correspondence would reflect such a decision. Rather, I think that the letter reflects the investment course or risk level with which Ms. Osborne told Mr. Harper she was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that Mr. Harper gave about the investments that are the subject of this action appeared contrived. He did not appear to have a very good memory of his dealing with Ms. Osborne with respect to the subject transactions. He was occasionally shown to be inconsistent with respect to his evidence given at discovery compared to his evidence at trial, and I find that Ms. Osborne's evidence did not contain the same level of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Assessing their evidence by reference to the surrounding circumstances and the proven facts, I find that Ms. Osborne's evidence appears to be much more plausible than Mr. Harper's. Take for example the third investment. If, as Mr. Harper suggests, he had made no recommendation to Ms. Osborne to invest further in the Victoria Securities Trust, and if he had in fact warned her that MB Canadian Tropic Line was essentially insolvent and was in extremely serious trouble, then it simply does not ring true that Ms. Osborne would invest further in such a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all of these reasons, I found Ms. Osborne to be a more credible witness than Mr. Harper. Where her evidence conflicts with his, I prefer Ms. Osborne's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was the Nature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Upon a consideration of all of the evidence and circumstances, I find that there was a significant degree of vulnerability on Ms. Osborne's part. She was naïve and unsophisticated. She was very dependent upon her relationship with Mr. Harper and his advice, not only in financial matters, but for friendship and advice on personal matters as well. Although she had a keen interest in the stock market, I find that she was unsophisticated in the transactions in which she engaged. She appears to have readily taken Mr. Harper's advice in the past and in doing so was quite successful with some investments. A person's trading experience may be a very good sign of her knowledge and vulnerability, but I do not think that an examination of the types of trades in her portfolio from time to time demonstrates or reflects Ms. Osborne's level of knowledge and understanding of investments, such as options, or the operation of the margin account. I think that in making those trades she was simply following Mr. Harper's recommendations. They discussed her account literally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Osborne had a very high degree of trust and confidence in Mr. Harper. Although Mr. Harper said that all broker relationships are based on a trust relationship, and that certainly existed here, the trust transcended investments. She discussed issues about her personal life; she appeared to have few other friends. In many ways, the communication with Mr. Harper was her window to at least the commercial world, given that she did not have gainful employment of any consequence. Their relationship lasted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Osborne relied heavily on Mr. Harper. She engaged in trades that were well beyond her understanding and were largely, I find, at his direction or insistence. He had been successful and for that reason, and others, she was confident in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the 1988 letter reflects Ms. Osborne's risk tolerance. I do not think the document in 1984 which objectively suggests a greater tolerance for risk really reflects the risk that she was prepared to tolerate generally. I find that she took great comfort in following Mr. Harper's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Clearly, Ms. Osborne had a great deal of trust in Mr. Harper. She also considered him an important friend and a personal advisor. I find that he encouraged her in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Although Mr. Harper said they had extensive discussions about risk and said that Ms. Osborne understood margin agreements and the option agreement, I think that overstates significantly her understanding of the market. I recognize that occasionally there were investments that she had heard about from other sources, but the substantial number of trades in her account arose essentially at Mr. Harper's behest. Ms. Osborne relied on his advice and on his trading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Considering all of the evidence, I have concluded that there was a strong fiduciary relationship here between Mr. Harper and Ms. Osborne, and that this fiduciary relationship existed at the time of the three investments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Were any of the Three Transactions in Breach of the Defendants' Fiduciary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Varcoe, Keenan J. said at 236: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broker seeks or accepts the client's trust and confidence and undertakes to advise, the broker must do so fully, honestly and in good faith. In any case where a broker has an interest in a particular transaction, the broker must make full disclosure and assumes the onus of proving that no advantage was taken of the client, that the transaction was entered into in perfectly good faith and after full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Dean Holley, an expert witness with extensive experience in the securities industry, testified. He was qualified as an expert witness in the standard of care for registered representatives and in trading practices. His evidence was careful and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described the first investment, the four units in the Victoria Securities Trust, as being of very high risk, the assets of the trust being shares held by VSDI in a non-reporting company (MB Canadian Tropic Line) without history of profitable operations or substantial assets. As a start up, VSDI simply had shares in a high risk venture and the shares were subject to significant resale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short, the first investment was a high risk and an illiquid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say that the plaintiff understood the risk, or that it was within Ms. Osborne's acceptable level or tolerance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that response may of itself not be an answer to this claim for breach of fiduciary duty, the defendants say that the contention that it was an unacceptable risk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touched on this to some degree during the section on credibility. I reviewed in the outline of the facts the type of investing that the plaintiff undertook during her relationship with Mr. Harper. A review of her investments and the form of her investments from time to time suggests a degree of speculation and tolerance for high risk. This is suggested by the margin account and use of options to trade as well as some of the shares that she acquired. However, I find the trading that she did was not indicative of her knowledge of or undertaking of substantial risk, but rather revealed a history of trades made largely upon Mr. Harper's direction and close advice. In other words, I accept that Ms. Osborne had a relatively low tolerance for risk, but was prepared to follow Mr. Harper's advice and recommendations enthusiastically. I think the risks that she took were rooted in the trust that she had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the tolerance that she had for risk was actually as described in his 1988 letter to her. I reject his evidence that she countermanded that letter and suggested a bolder trading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My conclusion is that the first investment was not in accordance with the risk that she was knowingly prepared to tolerate in her portfolio as a general matter. However, did she accept the risk for the first investment, this particular investment in the April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say that Ms. Osborne received independent advice and knew of the risks from Mr. Harper. They argue that the discovery evidence that the plaintiff read in supports this contention. Plaintiff's counsel has read in some discovery evidence at trial that may be contradictory to Ms. Osborne's evidence that Mr. Harper recommended the transaction and did not tell her that it was a high risk investment. I think that evidence has to be assessed with the evidence as a whole to determine Ms. Osborne's understanding of the risk that she was undertaking by this investment. Weight must be given to documents that the plaintiff signed, and the advice and independent advice that she received, but all of that evidence, I find, must be assessed as well in the context of her lengthy relationship with Mr. Harper. Whether he used the word "recommended" or mentioned "high risk" or mentioned his involvement, I find that in substance, he downplayed the risk; he also used his connection to or involvement with the investment to induce her to become involved in the transaction in which he, her devoted advisor and, from her perspective, friend, was apparently involved. I do not think that, in his dealings with Ms. Osborne, Mr. Harper's disclosure of the risk inherent in the first investment could be close to being described as good faith full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Have the defendants shown that the plaintiff was in fact fully informed through independent advice that she received? The defendants point to the fact that prior to the subscription being made for four units in the Victoria Securities Trust, Ms. Osborne received independent legal advice and signed subscription forms or documents that indicated: (1) that she had the financial ability to bear any loss; (2) that she had no need for liquidity of her investment; (3) that she had not relied on Mr. Harper in evaluating the merits and risks of the investment; (4) that she had sufficient financial and business knowledge and experience to evaluate the merits and risks of the investment; (5) that she understood that the investment was speculative and lacked liquidity; and (6) that she had consulted her own legal, accounting, tax and other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evidence is that Ms. Osborne, before the first investment, received a letter from the solicitor for VSDI strongly recommending that she consult independent counsel of her choosing. She said, which I accept, that Mr. Harper described this as a formality. She went to see a lawyer who she testified was recommended by Mr. Harper or the VSDI lawyer, and had a very brief discussion with him about the investment. Ms. Osborne does not recall any discussion about risk or the conflict that Mr. Harper may have been in. She indicated that before she saw the lawyer she had the subscription form and the letter and reviewed them briefly. The subscription form does not disclose the extent of Mr. Harper's involvement in the investment. She said she was preoccupied with her upcoming trip to England, and said that although the document states that she did not rely on his advice, she said that she would not have made the investment without Mr. Harper's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did not call the solicitor who met Ms. Osborne for the signing of the trust deed and subscription form. The only evidence I have is Ms. Osborne's version of that meeting. I think that the independent advice would have been more significant if Mr. Harper had fully disclosed his interest and his conflict of interest, and had been frank in disclosing his knowledge of the risk inherent in this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it is of course necessary to give some weight to the fact there was independent counsel, I find that Ms. Osborne was told that it was a formality, and having received what essentially was Mr. Harper's recommendation to proceed with this transaction, I accept her evidence that she only had a very brief meeting and did not in fact make a fully informed and knowledgeable assessment of the risk. There is no evidence that the person giving independent advice was aware of the extent of Mr. Harper's involvement and discussed the investment with her from a financial risk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Notwithstanding the subscription documents, I find that Ms. Osborne had been told by Mr. Harper that "the beer contract was in the bag" and that she did not appreciate the high risk nature of this investment which a sophisticated investor might understand or assume.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Was Mr. Harper's conduct in connection with this first investment in breach of his fiduciary duty? His obligation was to advise her fully, honestly and carefully while being mindful of her investment objectives and the trust and reliance that she placed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Harper had a substantial interest in this investment. He was the sole director and president of VSDI, which held the majority interest in this new sea freight business (MB Canadian Tropic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degree of trust she had in him is revealed by the fact that of his up to 450 clients, she was the only one who invested. The fact that shortly after this transaction, she made a substantial loan to Mr. Harper (or the company) when the venture was in need of immediate cash, shows not only the trust that she had in him but the fact that he was prepared to exploit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code of ethics and conduct for registered representatives indicates that the client's interest must be the foremost consideration; all recommendations must be based on a careful analysis of both the client information obtained and the information related to the particular transaction. The "know your client rule" is well known and accepted, and requires the investment dealer to determine the general investment needs and objectives of the client and the suitability of a proposed purchase or sale for that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plaintiff's counsel's submission that in the circumstances, Mr. Harper ought to have recommended against this high risk investment. It was outside Ms. Osborne's accepted risk. Rather than acting in good faith by providing her with full and frank disclosure, he failed to warn her of the risk and took advantage of their trust relationship in order to get her to contribute to a start up venture in which he had a substantial stake. The extent to which he disclosed his interest was, I think, somewhat coy, and rather than alerting her to the potential risk probably operated as an inducement to her to make her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think that Mr. Harper's contention that he ensured that she had independent advice with respect to the transaction, and entered it knowing of the risks, is put very much in doubt by his conduct in connection with the other investments which were made when Mr. Harper, and not Ms. Osborne, was aware of significant financial concerns. I think the loan transaction, for example, indicates Mr. Harper's approach to Ms. Osborne and reinforces my conclusion that rather than ensuring that the risk inherent in an investment in which Mr. Harper had an interest was fairly and fully disclosed, Mr. Harper abused his position by minimizing the significance of his interest and the risk and was prepared to take advantage of his relationship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that Mr. Harper, as a fiduciary, did not advise the plaintiff fully, honestly or in good faith in connection with this transaction in which he had a personal interest in seeing was fully subscribed. He did not advise of the high risk. He ought to have advised against this investment. I think he allowed his personal interest to exceed his duty to his client. Accordingly, I conclude that the defendant acted in breach of his fiduciary duty in relation to the first investment.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and Third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second investment was the purchase of a unit in Canadian Shipping Containers on October 18, 1988 for $25,000. As Mr. Holley noted and with which observation I agree, "an investment in Canadian Shipping was a high risk proposition in which investors faced the real possibility of losing their entire investment. In my opinion, securities of Canadian Shipping were unsuitable for all but sophisticated purchasers who had a high tolerance for risk". I accept that as an accurate description of the nature of this investment and find that it was not within the plaintiff's normal tolerance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Mr. Harper told Ms. Osborne this was an excellent investment, and on a consideration of all of the evidence I find that he encouraged her to acquire this unit by, among other things, indicating that he might take units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that Mr. Harper was clearly in breach of his fiduciary obligation to his client in connection with this investment. Again, he had a personal interest in the investment. He should have strongly warned her against the investment, that its high risk was not in accordance with her tolerance for risk, and he should have told her that one of the connected companies in the convoluted structure of companies involved in all of these investments was over its credit limit at the bank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turn to the third investment. The third investment took place in the fall of 1989 when Ms. Osborne appears to have provided instructions to deliver shares of Royal Bank as payment for units of the September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According to Mr. Holley's report, this capital was for VSDI, through the Victoria Securities Trust, to purchase 2,518 common shares of MB Canadian Tropic Lines representing 28.7% of the issued and outstanding capital of MB Canadian Tropic Lines at that time. Not only was MB Canadian Tropic Lines, the underlying company, a high risk venture without a record of profitable operations, but it appears on the evidence that it was essentially insolvent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accept Ms. Osborne's evidence that she was not told of the financial status of MB Canadian Tropic Lines when she made this investment. Mr. Harper, rather than simply not recommending strongly against this investment, should have taken strong positive steps not to allow his client to participate. This was more than a high risk venture. MB Canadian Tropic Lines appears to have been in serious financial difficulty at the time. The best that seems to have been available to investors at the time of this investment was a possible sale of the underlying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find that Mr. Harper clearly breached his fiduciary duty in connection with the third investment as well as the first two investments. As such, I do not have to consider the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with respect to the first and third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say that even if there has been a breach of fiduciary duty all of the plaintiff's claims are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action was not started until April 7, 1997, about four years after the fiduciary relationship of the parties ended when Mr. Harper left RBC Dominion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 limitation period was six years, as the defendants suggest, the causes of action for breach of fiduciary duty, they assert, arose far earlier than April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say that the six year limitation period expired in April 1994 in respect of the Victoria Securities Trust (April Trust) (the first investment), expired in October 1994 in connection with the Canadian Shipping Containers investment (the second investment), and it expired in the fall of 1995 in respect of the Victoria Securities Trust (September Trust) (the third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says that the limitation period for breach of fiduciary duty is ten years, but if it is six years, the plaintiff argues that there has been a postponement of the running of the limitation period under section 6(4) of the Limitation Act, </w:t>
      </w:r>
      <w:hyperlink r:id="rId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because of wilful concealment by Mr. Harper of material facts relating to the cause of action. The material facts, for the purposes of the Limitation Act, include that there was a fiduciary duty that was breached and that the breach caused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Alternatively, the plaintiff argues that the time for the running of the limitation period has been suspended by operation of the equitable or common law doctrine of fraudulent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argues that in the years following the investments in question, the fiduciary relationship continued, which her counsel says is important to the question of the running of time. The plaintiff's counsel says the investments were complex and controlled by Mr. Harper, and that given the ongoing representations by Mr. Harper (which the plaintiff says occurred) as to the viability of the investments, a reasonable person in the shoes of the plaintiff would not and could not have known that any loss had been incurred in the investments (one of the material facts) and hence time does not begin to run until the termination of the relationship. Their relationship did not terminate until May 1993 and by the plaintiff's contention, the limitation period, even if six years, did not expire until 1999, well after the action was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Given those circumstances, the plaintiff's counsel says that all of the claims were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disagree with the plaintiff's approach to this issue. The defendants say that the test for postponement under the Limitation Act is not entirely subjective but includes an objective element. The defendants say that the plaintiff, having had within her means of knowledge those facts that a reasonable person (having taken the appropriate advice a reasonable person would seek on those facts), would regard those facts as showing that an action had a reasonable prospect of success more than six years before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say that a plaintiff seeking postponement must exercise due diligence and that time starts to run when a person in the position of the plaintiff could first have discovered the relevant facts. They say the test is not whether the plaintiff knew or ought to have known the facts, nor whether a reasonable person in her position would have made the effort to discover it, but whether and when the plaintiff had the means of knowing it, that is to say whether, and if so when, she could have discovered it. In that respect the defendant relies on the majority judgment in Karsanjii Estate v. Roque </w:t>
      </w:r>
      <w:hyperlink r:id="rId501"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(C.A.). (The plaintiff argues that it is the minority judgment in that case that has been approved in later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defendants argue that if Ms. Osborne had the means to ascertain that she had suffered a significant loss, enough to warrant bringing an action, then time begins to run, even though the facts at a later time show a much larger claim: Grayson v. Canada Safeway Limited, </w:t>
      </w:r>
      <w:hyperlink r:id="rId502" w:history="1">
        <w:r>
          <w:rPr>
            <w:rFonts w:ascii="arial" w:eastAsia="arial" w:hAnsi="arial" w:cs="arial"/>
            <w:i/>
            <w:color w:val="0077CC"/>
            <w:sz w:val="20"/>
            <w:u w:val="single"/>
            <w:shd w:val="clear" w:color="auto" w:fill="FFFFFF"/>
            <w:lang w:val="en-US" w:eastAsia="en-US" w:bidi="ar-SA"/>
          </w:rPr>
          <w:t>[1981] 2 W.W.R. 321</w:t>
        </w:r>
      </w:hyperlink>
      <w:r>
        <w:rPr>
          <w:rFonts w:ascii="arial" w:eastAsia="arial" w:hAnsi="arial" w:cs="arial"/>
          <w:color w:val="000000"/>
          <w:sz w:val="20"/>
          <w:lang w:val="en-US" w:eastAsia="en-US" w:bidi="ar-SA"/>
        </w:rPr>
        <w:t xml:space="preserve"> (B.C.C.A.). The defendant says that it is irrelevant that she did not realize the investments were a complete loss until 1991 or 1992 as long as prior to April 7, 1991 she had the means of knowledge to ascertain the facts that a reasonable person would regard as capable of supporting an action with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say the plaintiff was aware of information concerning the nature of the investments and their suitability to her portfolio (which relates to whether there was a breach of fiduciary duty), and that well prior to April 7, 1991 (the date six years before the writ was issued), she had within her means of knowledge what would be sufficient for a reasonable person to determine that an actionable breach of duty had occurred. She had many discussions with her advisor in 1989 and 1990 concerning the health of the underlying companies to the investments. Defendants' counsel says that from a review of her tax returns and other financial information, she would have known the investments were failing (which relates to whether there was a loss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Limitation Act provides: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10 years after the date on which the right to do so arose a person may not bring any of the following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in respect of any fraud or fraudulent breach of trust to which the trustee was party or privy;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for the conversion of trust property to the trustee's own use;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trust property or property into which trust property can be traced against a trustee or any other person;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money on account of a wrongful distribution of trust property against the person to whom the property is distributed, or a successor;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Section 3(5) provides for a six-year limitation on all matters not specified in the Limitation Act:</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most important section for this case is s. 6, particularly s. 6(4):</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 set by this Act for an action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will assume for the purposes of this discussion that the limitation period for breach of fiduciary duty is six years. The defendants do not dispute that it is six years but say that it is no longer than that. The plaintiff says it is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says that Mr. Harper, whom she trusted and with whom she was in a fiduciary relationship, assured her that the investments were fine and that she did not realize that they were lost until well after the time at which the defendants say the limitation period began to run. If she did not know the true position of the investments, as she contends, her counsel says that it was because of the information that she was provided by Mr. Harper, who did not reveal but rather misled her as to the true status of the investments, something of which he was surely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says that Mr. Harper dismissed any problem with the investments as things that could be corrected, or as little problems that he would correct. The plaintiff says that in the circumstances it would be unjust to allow the defendants to benefit from a limitation defence when the plaintiff's means of knowledge were reasonably subject to the information she received from her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Harper denied that he did not tell Ms. Osborne of the loss in the investments. He testified that he did so. He testified that he told her he was thinking of using an ABIL (which is a means of writing off a loss for tax purposes) and he said that he told her that, depending upon her financial position, she might want to do that as well. He testified that he told her in early September 1990 about the dissolution of Canadian Shipping Containers. He denied saying, as she asserts, that he would fix it, and testified that he said the problem was of a major nature and that he told her in June 1990 that her investment was lost. He denies ever telling her not to worry about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say that with respect to the Canadian Shipping Containers investment (the second investment) that I should look at evidence of the loss of the investment noted in the documents as of April 1989, the write off of receivables in April 1990, and the reference in June 1990 that the containers would be worth 50 - 70% of their original value. The reasonable person, the defendants submit, would know or would have taken steps in the circumstances to determine that the investment was at least partially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With respect to the two investments in the Victoria Securities Trust, the defendants say that Ms. Osborne had the requisite knowledge and relies on the statements in front of the plaintiff at the time of the original investment, such as the language of the subscription and the letter from the solicitors for the Victoria Securities Trust. The defendants also point to letters of February 1990, April 1990 and June 1990 which are captioned "Canadian Shipping Containers" but, the defendants submit, speak of the health of the overall investments. These letters discussed suspended operations, work out arrangements with creditors and the sale of containers at discounted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asserts that it was not until at least 1993 when the relationship with Mr. Harper ended that she ought to have known that the investments were lost. Alternatively, the plaintiff says that if she had the requisite knowledge, it was at most only in connection with the Canadian Shipping Containers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plaintiff's counsel argues that there is a doctrine of fraudulent concealment that prevents the running of time and the doctrine is independent of the wilful concealment provisions of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on the other hand say that the Limitation Act is a complete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concluded that I do not have to decide whether there is a right beyond the provisions of the Limitation Act for a limitation provision to be postponed by the operation of the equitable or common law doctrine of fraudulent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say that s. 6(3)(h) does not apply to claims for breach of fiduciary duty. I have also concluded that I am able to decide the limitation issue without deciding if a claim for breach of fiduciary duty falls within s. 6(3)(h).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concluded that s. 6(3)(e) is applicable as the plaintiff has established that there were material facts relating to the cause of action of breach of fiduciary duty that were wilfully concealed from her. I will describe those facts when I review the application of s. 6(4) to the evidence that was before me. In summary, they related to whether the plaintiff had suffered a loss: Mr. Harper misled Ms. Osborne on the health of the investments, assuaged her concerns, and left her with the belief that the investments would work out fine and that she should not worry or be concerned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think that what Ms. Osborne knew or ought to have known must be assessed in the context of the continuing fiduciary relationship in which she continued to rely heavily on Mr. Harper, and during which he misled her and minimized any possible concern about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Although the plaintiff still asserts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the first and third investments, not the second, I will deal with only the claims for breach of fiduciary duty as I find that is sufficient to dispose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have concluded that the plaintiff's claims are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My reasons for this conclusion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has the burden of establishing that s. 6(3) of the Limitation Act applies and that under s. 6(4) the circumstances exist such that the time does not begin to run until a time less than six years before the writ was issued. The issue is whether the plaintiff has satisfied the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Supreme Court of Canada in M.(K.) v. M.(H.), </w:t>
      </w:r>
      <w:hyperlink r:id="rId503"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at [paragraph] 46 described this province's limitation legislation as creating a "form of statutory reasonable discoverability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says that s. 6(3) applies to the case at bar in at least two respects: first, because material facts relating to the cause of action have been wilfully concealed (s. 6(3)(e)); and second, because s. 6(3)(h), which refers to actions for breach of trust, includes actions for breach of fiduciary duty. As I mentioned earlier I will deal only with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interpretation and application of a limitation provision involves a balancing of competing interests: that of the plaintiff to have a trial on the merits, and that of the defendant to not be burdened by stale claims: Novak v. Bond, </w:t>
      </w:r>
      <w:hyperlink r:id="rId504"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at [paragraph] 64-69.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Sections 6(3) and 6(4) of the Act prevent the running of time for a cause of action referred to in s. 6(3) (for example, one in which material facts were concealed) until the "facts" (which word is defined to include the existence of a duty and a breach causing damage) within the plaintiff's means of knowledge are such that a reasonable person, knowing those facts, and having taken the advice that a reasonable person would seek on those facts, would regard those facts as showing that (a) an action on that cause of action had a reasonable prospect of success and (b) the plaintiff, in his own interests and taking his circumstances into account, ought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For a cause of action for damages for breach of fiduciary duty, the plaintiff must establish that the defendant owed her a fiduciary duty, that it was breached by the defendant and that the breach of that duty caused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says that the material fact not within her knowledge or her means of knowledge, by reason of the wilful concealment of the defendant, was the fact that she had suffered a loss by reason of the failed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significant phrase in s. 6(4) for the purposes of this case is "those facts within the plaintiff's means of knowledge". Even assuming that it was within her means of knowledge that the defendant had breached his fiduciary duty, was it within her means of knowledge that she had suffered a loss? I think that the question is: Did the plaintiff have or is she considered to have had the requisite knowledge that she had a cause of action which had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As I understood the defendants' submission on this point, they relied heavily on the majority judgment in Karsanjii. However, in 355022 B.C. Ltd. v. CCS Properties </w:t>
      </w:r>
      <w:hyperlink r:id="rId505" w:history="1">
        <w:r>
          <w:rPr>
            <w:rFonts w:ascii="arial" w:eastAsia="arial" w:hAnsi="arial" w:cs="arial"/>
            <w:i/>
            <w:color w:val="0077CC"/>
            <w:sz w:val="20"/>
            <w:u w:val="single"/>
            <w:shd w:val="clear" w:color="auto" w:fill="FFFFFF"/>
            <w:lang w:val="en-US" w:eastAsia="en-US" w:bidi="ar-SA"/>
          </w:rPr>
          <w:t>(1995), 14 B.C.L.R. (3d) 107</w:t>
        </w:r>
      </w:hyperlink>
      <w:r>
        <w:rPr>
          <w:rFonts w:ascii="arial" w:eastAsia="arial" w:hAnsi="arial" w:cs="arial"/>
          <w:color w:val="000000"/>
          <w:sz w:val="20"/>
          <w:lang w:val="en-US" w:eastAsia="en-US" w:bidi="ar-SA"/>
        </w:rPr>
        <w:t xml:space="preserve"> (C.A.), Finch J.A. (as he then was), with Rowles J.A. concurring, explained at [paragraph] 20-21 that the minority opinion of Locke J.A. in Karsanjii had been adopted by a five justice panel of the Court of Appeal in Levitt v. Carr </w:t>
      </w:r>
      <w:hyperlink r:id="rId506"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apprehend the judgment in Levitt, the words "facts within his means of knowledge" in s. 6(3) have been interpreted to mean facts which either were known or ought reasonably to have been known to the claimant. That is essentially the meaning ascribed to the phrase by Mr. Justice Locke in Karsanjii, supra. If this is, as I think it is, a broader meaning than was given to the phrase by the majority of the Court in Karsanjii, then I think that majority view has been overtaken by the judgment of the Court in Levitt.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regard Levitt as interpreting the phrase "facts within his means of knowledge" to mean "facts reasonably within his means of knowledge" (per Locke J.A. in Karsanjii, at 252) or those facts which would have become known to him if he had taken such steps as would have been reasonable for him to take in his circumstances (Levitt, at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What facts were reasonably within the plaintiff's knowledge, or what facts would have become known to her if she had taken steps that would have been reasonable for her to take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At the heart of this issue is when the plaintiff knew or had the means of knowledge that the particular investments had failed. In other words, if the plaintiff shows that she did not have the requisite knowledge in the circumstances, or in the circumstances reasonably could not have known that the investments had failed until 1992, then I think that the plaintiff would have established that the time had not yet begun to run, and that the action is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Was it reasonably within her means of knowledge that she had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Applying the formulation of the test in 355022 B.C. Ltd. v. CCS Properties, supra, the question is when those facts (that she has suffered a loss) were reasonably within the plaintiff's means of knowledge, or when would those facts have become known to her if she had taken the steps that would have been reasonable for her to take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has established that a strong fiduciary relationship continued between Mr. Harper and Ms. Osborne until he left RBC Dominion Securities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Osborne would not know of the status of any of these investments by checking any conventional exchange. The three investments were not listed on any stock exchange. The plaintiff had to obtain information on their status from other sources. The sources of information that were available to her were, essentially, her discussions with Mr. Harper, correspondence she received from Hannah &amp; McLeery, and perhaps discussions with her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the early 1990's Ms. Osborne received letters and documents about the investments. I will discuss the contents of these letters and documents shortly. She testified that she did not know about financial problems in connection with the investments in 1989. She said that when she brought the letters to the attention of Mr. Harper, as I find that she did, he was reassuring, telling her that she need not worry, that he was working on things, and that he would correct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March 1989, under the letterhead of Victoria Securities Depository Inc., Mr. Harper wrote to Ms. Osborne and described a loss for a four month period, which the letter said was largely due to prior period expenses not accounted for earlier and that MB Canadian Tropic Line was considering restating the financial statements to show a profitable operation since October 1988. The letter indicates that the company was in a competitive market and that it hoped to return to more normal freight rates and be self-financing by late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have no doubt that when Mr. Harper discussed the March 1989 letter with Ms. Osborne he was very positive about the future, as he had not yet had her participate in the third investment, which was done in the fall of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April 1989, Hannah &amp; McLeery wrote to Ms. Osborne enclosing the financial statements for Canadian Shipping Containers for the three months ending December 31, 1988. They showed a net loss of about $10,000, or $556.94 per unit, and indicated that general and administrative expenses totalling about $20,000 were one-time costs that would not be repeated the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Osborne testified that when she brought this letter to Mr. Harper's attention, he said that he would fix the little problems, and that she should not be worried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From February 1990 through April 1991, a fourteen month period during which the plaintiff spoke to Mr. Harper on a daily basis, there were four letters that Ms. Osborne received from Hannah &amp; McLeery under the caption "Canadian Shipping Containers (1st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Osborne brought these letters to Mr. Harper's attention. In general terms, she said that when she received a letter, she brought it to Mr. Harper and he told her that she should not be worried.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 letter dated February 21, 1990 indicated that MB Canadian Tropic Line had serious cash flow difficulties and had suspended operations. However, Ms. Osborne testified that Mr. Harper told her that he would correct things. On cross-examination, she said that she did not contact her accountant or a lawyer as she was counting on Mr. Harper to do things as he said that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next letter, dated April 4, 1990, showed net income for Canadian Shipping Containers of about $38,000, and stated that MB Canadian Tropic Lines was attempting to work out arrangements with its creditors. Ms. Osborne said that she did not understand the whole letter, but testified that Mr. Harper told her he would work things out, and that she counted on his reassurance.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next letter, dated June 27, 1990, indicated that MB Canadian Tropic Line was essentially insolvent, and that they were seeking to make recovery by sale and through an insurance claim. Ms. Osborne said that she discussed this letter with Mr. Harper, who said that he was correcting things, and that he disagreed with the seriousness of the matter. She said that she found the investment very complicated and relied on Mr. Harper to advise her. She said that he told her that she need not be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the next letter, dated April 8, 1991, Hannah &amp; McLeery wrote to Ms. Osborne and enclosed the financial statements for Canadian Shipping Containers for the period up to December 31, 1990. They indicated a loss per unit of $384.11, and indicated that the company was trying to sell the containers at a reduced price. Ms. Osborne testified that Mr. Harper told her not to be concerned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Sometime after February 27, 1992, a date within six years of the commencement of this action, Ms. Osborne received a balance sheet of Canadian Shipping Containers which contained this note: "The joint venture sold its remaining assets in December '91 and ceased operations. On February 28, '92 the joint venture was wound up and a final distribution was made to the joint venture unit holders". She said that Mr. Harper told her at this time that he could not pull it together and that he "blamed the German". She testified that at this point she did not think that Mr. Harper had done anything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find that this date in 1992 was the first time that Mr. Harper did not reassure Ms. Osborne as to the security of her investment, and this information was only in connection with the Canadian Shipping Container investment. She testified, and I accept, that she did not know that her investment in Canadian Shipping Containers was lost until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What of this earlier correspondence from Hannah &amp; McLeery? The evidence was that Ms. Osborne discussed all of the correspondence with Mr. Harper, and that he assured her that it was not of concern. According to Ms. Osborne, she had absolute faith in Mr. Harper, did not think that he had done anything wrong, and did not seek advice from another broker or any other professional. Given the high degree of trust she had in Mr. Harper, trust that he had cultivated, I do not think this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to their discussions about these investments in 1989-1992, I prefer Ms. Osborne's evidence to that of Mr. Harper. I do not accept Mr. Harper's evidence and accept Ms. Osborne's evidence where there is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defendants say that the impression Ms. Osborne had of the investments was not reasonable if one looks at the correspondence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my view, the information that it would have been reasonable for Ms. Osborne to take from the correspondence which I have described above must be assessed in light of all of the circumstances. In particular, attention must be paid to the following factors: the existence of a continuing fiduciary relationship; the fact that Ms. Osborne brought all of this correspondence to Mr. Harper; the fact that he was obviously knowledgeable about the investments; and the fact that she consulted with him and accepted what he said about the state of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Let me turn to wilful concealment in s. 6(3) of the Limitation Act. In Cimolai v Hall, </w:t>
      </w:r>
      <w:hyperlink r:id="rId507" w:history="1">
        <w:r>
          <w:rPr>
            <w:rFonts w:ascii="arial" w:eastAsia="arial" w:hAnsi="arial" w:cs="arial"/>
            <w:i/>
            <w:color w:val="0077CC"/>
            <w:sz w:val="20"/>
            <w:u w:val="single"/>
            <w:shd w:val="clear" w:color="auto" w:fill="FFFFFF"/>
            <w:lang w:val="en-US" w:eastAsia="en-US" w:bidi="ar-SA"/>
          </w:rPr>
          <w:t>[2005] B.C.J. No. 81</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Holmes J. said at [paragraph] 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"Wilful concealment" in s. 6(3)(e) thus refers to knowingly keeping secret material facts relating to the cause of action, such that it would be unconscionable to allow a limitation defence to defeat the plaintiff's claim. Such may occur even where the motive for concealment is not a dishonest one. The "fraud" in the equitable sense, is inherent in knowingly preventing the plaintiff from seeking legal redress.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find that the true condition of the investments was concealed from Ms. Osborne by Mr. Harper. I think that he actively misled her as to the health of the investments and that this concealment started even before she had made all of the investments. I think that s. 6(3) is clearly applicable because material facts relating to the cause of action have been wilfully concealed by Mr.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rather than reading those documents to obtain information on the status of the investments, she relied on Mr. Harper's advice about the status of the investments and his reassurance that all would be fine and would work out. I find as a fact that whenever Ms. Osborne brought correspondence to him (as she did with all the material correspondence), Mr. Harper reassured her as to the state of her investments. I think that it was a reasonable step for her to take this correspondence to him for clarification or for an explanation. Mr. Harper's message was that all would be fine and that she need not worry. He told Ms. Osborne that the glitches were minor, and that she need not worry as he was going to fix them. I find that she believed him, that he intended her to believe him, and that in the circumstances it was reasonable for her to believe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find that Mr. Harper expected Ms. Osborne to accept these assurances, and that the steps that a reasonable person in her shoes would take, in the face of the letters, must be assessed in light of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think the third investment is some indication of the nature of the communications between the parties on this subject. By that I mean, had Mr. Harper been as forthright as he suggests he was, the third investment would never have been made. I find it very telling that in 1989, Mr. Harper had Ms. Osborne invest in what he now says was essentially a failing venture. That provides some context for the nature of the influence Mr. Harper had on Ms. Osborne and the accuracy of the information that he was providing about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When was it reasonably within Ms. Osborne's means of knowledge that any of the investments had failed? When would those facts have become known to her if she had taken the steps that would have been reasonable for her to take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accept the submissions of counsel for the plaintiff that these investments were part of a complex investment scheme with companies controlled by Mr. Harper directly or indirectly, and that a reasonable person in the shoes of the plaintiff being told what she was by Mr. Harper would not have known of the losses until at least 1992 or possibly even later (when the fiduciary relationship between the defendant and the plaintiff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By February 1992, Ms. Osborne would have known that the Canadian Shipping Containers investment had failed, and at some later point she ought to have known that the other two investments were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the action was commenced within six years of February 1992, I find that the plaintiff has discharged the burden on her, and has demonstrated that the action was brought within time. I think that it would be unjust for the defendants, given the conduct of Mr. Harper, to be able to argue that the action was commenced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defendants assert that if there has been a breach of fiduciary duty, there should nevertheless be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The defendants say that throughout the material time the plaintiff received accounting advice, had a number of lawyers available to her, and monitored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do not find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Here, the plaintiff invested in each investment on the advice of the defendant Mr. Harper. Had it been shown that the plaintiff had learned of the possible failing of an investment and had not taken steps to discuss it with her broker, that would be one thing, but here, Ms. Osborne brought all documents to Mr. Harper's attention, who essentially advised her until 1992 that all would be right. Moreover, it has not been shown by the defendants that any steps that Ms. Osborne might have taken would have avoided the loss. In the circumstances, I do not find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is entitled to damages for breach of fiduciary duty in connection with each of the failed investments. The difficult question is the date for the assessment of damages, particularly given the length of time that has passed since the breach of fiduciary duty. Neither counsel provided me with authority on this issue as the focus of argument was on the liability and limitation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 points to the date of trial and relied on the evidence of Mr. Holley. In his report, he presents a calculation of the loss with respect to the three investments as amounting to $444,696.07 up until February 2005, a date shortly before the trial. This calculation is based on an asset allocation model that is consistent with the risk tolerance described in Mr. Harper's January 18, 1988 letter, which I have found accords with her risk tolerance. The plaintiff says that other approaches to damages on the basis of different models would produce greater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take a different view and say that the loss should be calculated at the date of the breach, together with pre-judgment interest thereafter. The total loss of principal and interest to trial, according to the defendants, is $270,030.02. That includes interest of $126,720.02.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Another possible approach is to determine the value of a portfolio consisting of the principal amounts of the three investments at the time the fiduciary relationship ended. It appears that such a portfolio, at the end of 1993, would have been worth, on Mr. Holley's calculation, roughly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Because I did not receive full submissions on this difficult point, I invite counsel to appear before me in the next month, and after hearing their submissions, I will fix the appropriate amount of damages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however, that I am able to deal with the other damages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plaintiff claims aggravated damages and relies on Vorvis v. Insurance Corp. of British Columbia, </w:t>
      </w:r>
      <w:hyperlink r:id="rId15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Hill v. Church of Scientology of Toronto, </w:t>
      </w:r>
      <w:hyperlink r:id="rId50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and Huff v. Price </w:t>
      </w:r>
      <w:hyperlink r:id="rId509"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Justice McIntyre in Vorvis at 1099, explained the difference between aggravated damages and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awarded to compensate for aggravated damage. As explained by Waddams, they take account of intangible injuries and by definition will generally augment damages assessed under the general rules relating to the assessment of damages. Aggravated damages are compensatory in nature and may only be awarded for that purpose. Punitive damages, on the other hand, are punitive in nature and may only be employed in circumstances where the conduct giving the cause for complaint is of such nature that it merits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Earlier at 1099, Mr. Justice McIntyre had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Aggravated damages may be awarded in circumstances where the defendants' conduct has been particularly high-handed or oppressive, thereby increasing the plaintiff's humiliation and anxiety arising from the libellous statement. The nature of these damages was aptly described by Robins J.A. in Walker v. CFTO Ltd., </w:t>
      </w:r>
      <w:hyperlink r:id="rId510" w:history="1">
        <w:r>
          <w:rPr>
            <w:rFonts w:ascii="arial" w:eastAsia="arial" w:hAnsi="arial" w:cs="arial"/>
            <w:i/>
            <w:color w:val="0077CC"/>
            <w:sz w:val="20"/>
            <w:u w:val="single"/>
            <w:shd w:val="clear" w:color="auto" w:fill="FFFFFF"/>
            <w:lang w:val="en-US" w:eastAsia="en-US" w:bidi="ar-SA"/>
          </w:rPr>
          <w:t>[1987] O.J. No. 236</w:t>
        </w:r>
      </w:hyperlink>
      <w:r>
        <w:rPr>
          <w:rFonts w:ascii="arial" w:eastAsia="arial" w:hAnsi="arial" w:cs="arial"/>
          <w:color w:val="000000"/>
          <w:sz w:val="20"/>
          <w:lang w:val="en-US" w:eastAsia="en-US" w:bidi="ar-SA"/>
        </w:rPr>
        <w:t>, in these words at p. 111: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is guilty of insulting, high-handed, spiteful, malicious or oppressive conduct which increases the mental distress -- the humiliation, indignation, anxiety, grief, fear and the like -- suffered by the plaintiff as a result of being defamed, the plaintiff may be entitled to what has come to be known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Huff v. Price the Court of Appeal said at 299: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aggravated damages are an award, or an augmentation of an award, of compensatory damages for non-pecuniary losses. They are designed to compensate the plaintiff, and they are measured by the plaintiff's suffering. Such intangible elements as pain, anguish, grief, humiliation, wounded pride, damaged self-confidence or self-esteem, loss of faith in friends or colleagues, and similar matters that are caused by the conduct of the defendant; that are of the type that the defendant should reasonably have foreseen in tort cases or had in contemplation in contract cases; that cannot be said to be fully compensated for in an award for pecuniary losses; and that are sufficiently significant in depth, or duration, or both, that they represent a significant influence on the plaintiff's life, can properly be the basis for the making of an award for non-pecuniary losses or for the augmentation of such an award. An award of that kind is frequently referred to as aggravated damages. It is, of course, not the damages that are aggravated but the injury. The damage award is for aggravation of the injury by the defendant's high-handed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seeks aggravated damages to compensate her for deprivation of her sole confidant, and the loss of faith caused by Mr. Harper's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Although Ms. Osborne had a strong relationship of trust with Mr. Harper that he breached, I do not find in the evidence any additional loss of the type discussed in Vorvis for such matters such as "grief, humiliation, wounded pride, damaged self confidence or self esteem, loss of faith in friends or colleagues, and similar matters" that justifies the awarding of aggravated damages, and as such I make no award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also seeks punitive damages. The plaintiff's written submissions put it this way: "... the Defendant Harper actively pursued the plaintiff as a source of funds to advance his own private pecuniary interest. Later, when the Defendant's investment was in jeopardy, Harper sought further funds from the Plaintiff in an attempt to salvage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Whiten v. Pilot Insurance , </w:t>
      </w:r>
      <w:hyperlink r:id="rId20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Mr. Justice Binnie summarized some points that are relevant to the issue of punitive damages when he said at [paragraph] 94:</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also relies on Huff v. Price, where a promoter received the proceeds of a life insurance policy of the late husband of his unsophisticated investor, and invested it entirely in the stock of a company he was promoting. The plaintiff's counsel describes the conduct of the defendant broker as similarly unscrupulous.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think that there has been high-handed behaviour by Mr. Harper in recommending that his client, who was dependent of her investments for income for her day to day living, invest in ventures in which he had substantial personal interests, were high risk and were in a venture in which he had no previous experience (the marine cargo business). He also had her invest further sums when the business was failing and led her to believe that her investment was fine when he knew the circumstances to be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Punitive damages are appropriate in the circumstances and I award the sum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was not suggested in argument that if I were to find Mr. Harper liable for breach of fiduciary duty that the other defendant RBC Dominion Securities would not be vicariously liable on the basis that the breaches of fiduciary duty were outside the course and scope of his employment. I find that RBC Dominion Securities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plaintiff sought special costs, but I do not see any conduct in connection with the litigation that warrants an award for special costs and I decline to do so: Garcia v. Crestbrook Forest Industries </w:t>
      </w:r>
      <w:hyperlink r:id="rId51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find that the plaintiff is entitled to her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Paramount Resources v. Import Tool Corp., [2018] B.C.J. No. 662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S159487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Paramount Resources, Summit Resources Corp. and Paramount Resources Ltd., Plaintiffs, and Import Tool Corporation Ltd., Baker Hughes Incorporated, Baker Hughes Canada Company, John Doe (Baker Hughes), Weatherford Canada Ltd., Weatherford Artificial Lift Systems Canada Ltd., Precision Energy Services ULC and Weatherford Canada Partnership,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3"/>
      <w:bookmarkEnd w:id="161"/>
      <w:r>
        <w:rPr>
          <w:rFonts w:ascii="arial" w:eastAsia="arial" w:hAnsi="arial" w:cs="arial"/>
          <w:b/>
          <w:color w:val="000000"/>
          <w:sz w:val="20"/>
          <w:lang w:val="en-US" w:eastAsia="en-US" w:bidi="ar-SA"/>
        </w:rPr>
        <w:t>Civil litigation — Civil procedure — Actions — Commencement of — Avoidance of multiplicity of proceedings — Parties — Third party procedure — Availability — Appeal by Import Tool from order of Master that dismissed its application for leave to file third party notice against Command Fishing allowed — Plaintiffs claimed damages against Import for liner hanger equipment becoming stuck and falling into hydrocarbon well — Import alleged Command was actively negligent during attempted retrieval of equipment — Second branch of Adams applied: third party claims were to be allowed where pleadings raised possibility of claim against third party for which plaintiff might not be liable — Requiring Import Tool to proceed by separate action would have created multiplicity of proceedings.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Natural resources law — Oil and gas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Appeal by Import Tool from order of Master that dismissed its application for leave to file third party notice against Command Fishing allowed — Plaintiffs claimed damages against Import for liner hanger equipment becoming stuck and falling into hydrocarbon well — Import alleged Command was actively negligent during attempted retrieval of equipment — Second branch of Adams applied: third party claims were to be allowed where pleadings raised possibility of claim against third party for which plaintiff might not be liable — Requiring Import Tool to proceed by separate action would have created multiplicity of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1"/>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Import Tool Corporation from an order of a Master that dismissed Import Tool's application for leave to file a third party notice against Command Fishing Services Inc. The underlying action involved a claim against Import for damages relating to a hydrocarbon well. Import Tool sold the plaintiffs liner hanger equipment for use in their well. The plaintiffs asserted Import was responsible for the liner hanger equipment becoming stuck and falling into the well, rendering the well unusable. Import Tool's proposed third party notice alleged Command Fishing's recovery of the liner hanger equipment was at fault. Import asserted any damage or expenses suffered by the plaintiffs was caused or contributed to by the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or contract of Command Fishing. Command Fishing relied on the first branch of the rule in the case of Adams: a third party claim would not lie directly against another person for an obligation owed to the plaintiff that the defendant could raise as a defence. Command Fishing asserted Import's proposed third party notice was really a claim that Command Fishing failed to mitigate the plaintiffs' losses and Import Tool had already raised that as a defence.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18"/>
            <w:bookmarkEnd w:id="163"/>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regard to standard of review, the Master's findings were conclusory in nature and the appropriate standard was correctness. It was clear the plaintiffs alleged losses as a result of the liner hanger becoming stuck, and also as a result of it falling into the well. Import Tool alleged Command Fishing was actively negligent during the attempted retrieval of the liner hanger equipment. It was not clear in circumstances where it was alleged the third party was actively negligent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necessarily be imputed to the plaintiffs. Also, the case involved complex contractual and tort relationships among various parties in a project. As such, the second branch of Adams applied: third party claims were to be allowed where the pleadings raised the possibility of a claim against the third party for which the plaintiff might not be liable. Even if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Command Fishing could be attributed, Rule 3-5(1)(c) applied because questions or issues between Import Tool and Command Fishing were substantially the same as those claimed in the main action. To require Import Tool to proceed by a separate action would have been antithetical to whole purpose of third party proceedings, which was to avoid a multiplicity of proceedings and inconsistent results. The Master erred in denying leave to Import Tool to file the third party notice against Command Fishing; leave was granted.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8"/>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3-5(1), Rule 3-5(1)(c)</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a Master of the Supreme Court of British Columbia, dated November 2, 2017 (</w:t>
            </w:r>
            <w:r>
              <w:rPr>
                <w:rFonts w:ascii="arial" w:eastAsia="arial" w:hAnsi="arial" w:cs="arial"/>
                <w:i/>
                <w:color w:val="000000"/>
                <w:sz w:val="20"/>
                <w:lang w:val="en-US" w:eastAsia="en-US" w:bidi="ar-SA"/>
              </w:rPr>
              <w:t>Paramount Resources v. Import Tool Corporation Ltd.</w:t>
            </w:r>
            <w:r>
              <w:rPr>
                <w:rFonts w:ascii="arial" w:eastAsia="arial" w:hAnsi="arial" w:cs="arial"/>
                <w:color w:val="000000"/>
                <w:sz w:val="20"/>
                <w:lang w:val="en-US" w:eastAsia="en-US" w:bidi="ar-SA"/>
              </w:rPr>
              <w:t xml:space="preserve">, 2017 BCSC 2247, Vancouver Registry No.: S159487).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Counsel_24"/>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Import Tool Corporation Ltd. (Appellant): J.E Silvester.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Command Fishing Services Inc. (Respondent): G.J. Roper.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4"/>
      <w:bookmarkEnd w:id="166"/>
      <w:r>
        <w:pict>
          <v:line id="_x0000_s1147"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L.B. GEROW J. (orally)"/>
            <w:bookmarkEnd w:id="167"/>
            <w:r>
              <w:rPr>
                <w:rFonts w:ascii="arial" w:eastAsia="arial" w:hAnsi="arial" w:cs="arial"/>
                <w:b/>
                <w:color w:val="000000"/>
                <w:sz w:val="30"/>
                <w:lang w:val="en-US" w:eastAsia="en-US" w:bidi="ar-SA"/>
              </w:rPr>
              <w:t>L.B. GEROW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Import Tool Corporation Limited appeals the order of a Master dismissing Import Tool's application for leave to file and serve a third party notice against Command Fishing and Pipe Recovery Limited and Command Fishing Services Inc., and granting costs to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hearing of the appeal, Import Tool advised it was abandoning its appeal against Command Fishing and Pipe Recovery Limited and was only proceeding on the appeal dismissing the application for leave to file a third party notice against Command Fishing Services Inc., who I will refer to as Command Fishing. Command Fishing opposes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commenced this action against Import Tool and others on November 17, 2015, claiming damages relating to a hydrocarbon well in Northern British Columbia. Import Tool filed its response on February 2, 2016, and a counterclaim on March 14,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served a list of documents on September 7, 2016. There have been no examinations for discovery and no expert reports have been exchanged. The trial is set for 35 days commencing February 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7, 2017, Import Tool filed an application seeking leave to file and serve third party notices on a number of parties, including Command Fishing. Only Command Fishing and Pipe Recovery Limited and Command Fishing Services Inc. opposed the application. On December 7, 2017, the Master dismissed Import Tool's application for leave to add Command Fishing and Pipe Recovery Limited and Command Fishing Services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are the owner/operators of a well drilled to extract hydrocarbons from shale formations in Northern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Import Tool is a distributor and reseller of liner hangers and other equipment used to install liners and casings in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2013, the plaintiffs purchased liner hanger equipment from Import Tool. On December 13, 2013, the liner hanger equipment became stuck in the well. A recovery operation was undertaken and eventually part of the liner hanger equipment and the liner dropped to the bottom of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allege that Import Tool and others are responsible for the liner hanger equipment becoming stuck while it was in the process of being installed and then subsequently falling down the well. The plaintiffs allege that as a result of the liner hanger equipment falling into it, the well can no longer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notice of civil claim, the plaintiffs allege that Import Tool breached its contract and was negligent by failing to provide appropriate equipment and appropriate advice and personnel for the initial installation of the liner hanger equipment and for the retrieval of the liner hanger equipment and the liner once it became stuck.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stated earlier, Import Tool filed an application seeking leave to add certain third parties, including Command Fishing. Command Fishing was retained by the plaintiffs to assist in the recovery operation. Command Fishing is apparently in the business of providing equipment, services, and personnel for the recovery of piping and equipment from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Import Tool's proposed third party notice alleges that Command Fishing was negligent, or in breach of a duty of care, or in breach of contract, in failing to properly advise on the recovery of the liner hanger equipment, and in carrying out the recovery operation, which caused or contributed to the loss of the liner hanger equipment and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opposing the application to add it as a third party, Command Fishing took the position that the allegations against it were defences that Import Tool could raise against the plaintiffs. Command Fishing further took the position that where the fault alleged against the proposed third party is, in fact, the fault of the plaintiff, the defendant can raise the fault as a defence making third party proceedings unnecessary, relying on the rule from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7, 2017, the Master issued reasons dismissing Import Tool's application for leave to add Command Fishing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first issue to be determined is the appropriate standard of review. In </w:t>
      </w:r>
      <w:r>
        <w:rPr>
          <w:rFonts w:ascii="arial" w:eastAsia="arial" w:hAnsi="arial" w:cs="arial"/>
          <w:i/>
          <w:color w:val="000000"/>
          <w:sz w:val="20"/>
          <w:lang w:val="en-US" w:eastAsia="en-US" w:bidi="ar-SA"/>
        </w:rPr>
        <w:t>Kalafchi v. Yao</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2015 BCCA 524</w:t>
        </w:r>
      </w:hyperlink>
      <w:r>
        <w:rPr>
          <w:rFonts w:ascii="arial" w:eastAsia="arial" w:hAnsi="arial" w:cs="arial"/>
          <w:color w:val="000000"/>
          <w:sz w:val="20"/>
          <w:lang w:val="en-US" w:eastAsia="en-US" w:bidi="ar-SA"/>
        </w:rPr>
        <w:t xml:space="preserve"> at para. 13, the Court of Appeal confirmed that the principles set out in </w:t>
      </w:r>
      <w:r>
        <w:rPr>
          <w:rFonts w:ascii="arial" w:eastAsia="arial" w:hAnsi="arial" w:cs="arial"/>
          <w:i/>
          <w:color w:val="000000"/>
          <w:sz w:val="20"/>
          <w:lang w:val="en-US" w:eastAsia="en-US" w:bidi="ar-SA"/>
        </w:rPr>
        <w:t>Abermin Corporation v. Granges Exploration Limited</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 apply and that the standard of review of a master's order depends upon the type of order made. An appeal from an interlocutory order should not be entertained unless the order is clearly wrong. Where the ruling of a master raises questions that are vital to the final issues in the case or is final in nature, a rehearing is the appropriate form of appeal and a judge may substitute his or her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issue of whether refusing to permit leave to issue a fourth-party proceeding was a final order or an interlocutory order was discussed in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2011 BCCA 320</w:t>
        </w:r>
      </w:hyperlink>
      <w:r>
        <w:rPr>
          <w:rFonts w:ascii="arial" w:eastAsia="arial" w:hAnsi="arial" w:cs="arial"/>
          <w:color w:val="000000"/>
          <w:sz w:val="20"/>
          <w:lang w:val="en-US" w:eastAsia="en-US" w:bidi="ar-SA"/>
        </w:rPr>
        <w:t>, a leave case. The Court concluded that the order refusing leave to issue the fourth party notice was not an interlocutory order and leave to appeal the order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this case, Command Fishing agrees that the Master's decision, in so far as it dealt with the rule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was final in nature and the standard of review with regard to that decision is correctness. However, Command Fishing argues that the Master's conclusion that the pleadings did not disclose an independent cause of action is an interlocutory decision because Import Tool is at liberty to bring a separate action. Command Fishing points to the fact that Import Tool has brought a separate action against it. Command Fishing asserts that the standard of review to be applied to the Master's decision that Import Tool had not pleaded any independent claims in the third party notice is clearly wrong. However, Command Fishing has provided no authority for the proposition that the Master's finding that the third party notice did not allege any independent claims was interlocutory in nature. It is unclear whether Command Fishing will argue that Import Tool is precluded from bringing a separate action against it on the principle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similar argument was made in </w:t>
      </w:r>
      <w:r>
        <w:rPr>
          <w:rFonts w:ascii="arial" w:eastAsia="arial" w:hAnsi="arial" w:cs="arial"/>
          <w:i/>
          <w:color w:val="000000"/>
          <w:sz w:val="20"/>
          <w:lang w:val="en-US" w:eastAsia="en-US" w:bidi="ar-SA"/>
        </w:rPr>
        <w:t>Forest Glen Wood Products Limited v. British Columbia (Minister of Forests)</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2008 BCCA 480</w:t>
        </w:r>
      </w:hyperlink>
      <w:r>
        <w:rPr>
          <w:rFonts w:ascii="arial" w:eastAsia="arial" w:hAnsi="arial" w:cs="arial"/>
          <w:color w:val="000000"/>
          <w:sz w:val="20"/>
          <w:lang w:val="en-US" w:eastAsia="en-US" w:bidi="ar-SA"/>
        </w:rPr>
        <w:t>, in the context of striking portions of a claim. At paragraph 13, the court stated that orders regarding pleadings that have a dispositive effect on a substantive part of the action are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Master's decision dismissing Import Tool's application to bring third party proceedings against Command Fishing, including his finding that Import Tool was not alleging any independent claims against Command Fishing, cannot be said to be interlocutory in nature. The findings made by the Master are conclusory in nature and could preclude Import Tool from seeking any remedy against Command Fishing in this action or in another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Accordingly, I have concluded the appropriate standard of review of the Master's decision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next turn to the legal parameters. Import Tool's application was brought pursuant to Rule 3-5(1)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[any] action may, if that party is not a plaintiff in the action, pursue a third party claim against any person if the party alleges that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Import Tool alleges that in the event the plaintiffs suffered loss,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Command Fishing caused or contributed to that loss. The relevant sections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333</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Command Fishing relies on the first branch of the rule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the plaintiff had retained an engineering firm to design a residential subdivision. The project was delayed and the housing market declined and the plaintiffs alleged they suffered losses as a result. The plaintiff sued the engineering firm for their losses and the engineering firm issued a third party notice against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upholding the chambers judge's orders to strike out the third party notice, Justice McLachlin, as she then was, stated that a third party claim will not lie directly against another person for an obligation owed to the plaintiff which the defendant can raise as a defence. She noted that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a third party is attributable to the plaintiff, there is no need for third party proceedings since the defendant has his whole remedy against the plaintiff. This is referred to as the first branch of the rule. Justice McLachlin went on to note that a third party claim should be allowed where the pleadings raise the possibility of a claim against the third party for which the plaintiff may not be liable. This is referred to as the second branch of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Justice McLachlin discussed the circumstances in which a defendant may be denied the right to bring third party proceedings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Justice McLachlin noted at para. 9, it was a basic legal principle that if there is a possibility that the third party proceedings may succeed, they will be allowed. At paragraph 14, she noted the object of permitting third party proceedings was to avoid multiplicity of actions and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Both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cases were discussed in </w:t>
      </w:r>
      <w:r>
        <w:rPr>
          <w:rFonts w:ascii="arial" w:eastAsia="arial" w:hAnsi="arial" w:cs="arial"/>
          <w:i/>
          <w:color w:val="000000"/>
          <w:sz w:val="20"/>
          <w:lang w:val="en-US" w:eastAsia="en-US" w:bidi="ar-SA"/>
        </w:rPr>
        <w:t>Laidar Holdings Ltd. v. Lindt &amp; Sprungli (Canada) Limited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Laidar Holdings</w:t>
      </w:r>
      <w:r>
        <w:rPr>
          <w:rFonts w:ascii="arial" w:eastAsia="arial" w:hAnsi="arial" w:cs="arial"/>
          <w:color w:val="000000"/>
          <w:sz w:val="20"/>
          <w:lang w:val="en-US" w:eastAsia="en-US" w:bidi="ar-SA"/>
        </w:rPr>
        <w:t>, a defendant chocolatier entered into a lease with the plaintiff for premises in which it intended to operate a retail chocolate operation. However, the premises were not zoned for that use. The plaintiff landlord sued the chocolatier. The chocolatier defended the action on the basis that both the landlord and his agents had misrepresented the ability to use the space for the proposed retail operation. The agents were added as third parties and one of the agents sought to add the law firm who acted as counsel for the chocolatier. The chambers judge found that the proposed fourth party proceedings did not fall within Rule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of Appeal dismissed the appeal. In doing so, the court discussed both the first and second branch of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test noting at paras. 17 to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second branch of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has also been applied in cases involving complex contractual and tort relationships among various parties including professional consultants who have interacted in the course of a project of some kind.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(1986) 19 C.L.R. 153</w:t>
        </w:r>
      </w:hyperlink>
      <w:r>
        <w:rPr>
          <w:rFonts w:ascii="arial" w:eastAsia="arial" w:hAnsi="arial" w:cs="arial"/>
          <w:color w:val="000000"/>
          <w:sz w:val="20"/>
          <w:lang w:val="en-US" w:eastAsia="en-US" w:bidi="ar-SA"/>
        </w:rPr>
        <w:t xml:space="preserve"> (B.C.S.C.), was one such case.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the plaintiff made various allegations founded in breach of contract, improper design, negligent misstatement, and other causes of action against the defendant, "Bow Valley". The plaintiff had contracted with an engineering firm, "Kilborn", for its provision of project management, engineering, procurement, planning, scheduling, construction contract administration and construction management services. The contract specified that Kilborn would be an independent contractor in the performance of these services and would perform them "in accordance with its own or agreed upon methods, subject to compliance with the specifications, schedules and drawings approved by the Client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defendant issued a third party notice against Kilborn. The third party, supported by the plaintiff, applied to have the notice struck out. McEachern, C.J.S.C., as he then was, formed the preliminary view that the case might be a suitable one for third party proceedings in light of the "independent contractor" clause. Counsel for Kilborn argued, however, that two decisions of the Supreme Court of Canada, </w:t>
      </w:r>
      <w:r>
        <w:rPr>
          <w:rFonts w:ascii="arial" w:eastAsia="arial" w:hAnsi="arial" w:cs="arial"/>
          <w:i/>
          <w:color w:val="000000"/>
          <w:sz w:val="20"/>
          <w:lang w:val="en-US" w:eastAsia="en-US" w:bidi="ar-SA"/>
        </w:rPr>
        <w:t>Bilodeau v. A. Bergeron &amp; Fils Ltée</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[1975] 2 S.C.R. 345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Vermont Construction Inc. v. Beatson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[1977] 1 S.C.R. 758</w:t>
        </w:r>
      </w:hyperlink>
      <w:r>
        <w:rPr>
          <w:rFonts w:ascii="arial" w:eastAsia="arial" w:hAnsi="arial" w:cs="arial"/>
          <w:color w:val="000000"/>
          <w:sz w:val="20"/>
          <w:lang w:val="en-US" w:eastAsia="en-US" w:bidi="ar-SA"/>
        </w:rPr>
        <w:t xml:space="preserve">, implied that Kilborn could have no duty to the defendant, with the result that the third party notice must be set aside. Upon examination of these cases, and the decision of McLachlin J. (as she then was) in </w:t>
      </w:r>
      <w:r>
        <w:rPr>
          <w:rFonts w:ascii="arial" w:eastAsia="arial" w:hAnsi="arial" w:cs="arial"/>
          <w:i/>
          <w:color w:val="000000"/>
          <w:sz w:val="20"/>
          <w:lang w:val="en-US" w:eastAsia="en-US" w:bidi="ar-SA"/>
        </w:rPr>
        <w:t>Westcoast Transmission Co. Ltd. v. Interprovincial Steel and Pipe Corp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(B.C.S.C.), the Chief Justice was not persuaded that they stood for the sweeping argument made on behalf of the third party. He noted that the defendant was relying not only on an alleged breach of contract on the part of Kilborn but "rather its conduct as an actor in this particular construction neighbourhood when Kilborn knew there were other legal neighbours who might be injured by its lack of care, if any." (At 169.) Like the accountant in </w:t>
      </w:r>
      <w:r>
        <w:rPr>
          <w:rFonts w:ascii="arial" w:eastAsia="arial" w:hAnsi="arial" w:cs="arial"/>
          <w:i/>
          <w:color w:val="000000"/>
          <w:sz w:val="20"/>
          <w:lang w:val="en-US" w:eastAsia="en-US" w:bidi="ar-SA"/>
        </w:rPr>
        <w:t>Candler v. Crane, Christmas &amp; Co</w:t>
      </w:r>
      <w:r>
        <w:rPr>
          <w:rFonts w:ascii="arial" w:eastAsia="arial" w:hAnsi="arial" w:cs="arial"/>
          <w:color w:val="000000"/>
          <w:sz w:val="20"/>
          <w:lang w:val="en-US" w:eastAsia="en-US" w:bidi="ar-SA"/>
        </w:rPr>
        <w:t xml:space="preserve">. [1951] 2 K.B.164 (C.A.), the banker in </w:t>
      </w:r>
      <w:r>
        <w:rPr>
          <w:rFonts w:ascii="arial" w:eastAsia="arial" w:hAnsi="arial" w:cs="arial"/>
          <w:i/>
          <w:color w:val="000000"/>
          <w:sz w:val="20"/>
          <w:lang w:val="en-US" w:eastAsia="en-US" w:bidi="ar-SA"/>
        </w:rPr>
        <w:t>Hedley Byrne v. Heller</w:t>
      </w:r>
      <w:r>
        <w:rPr>
          <w:rFonts w:ascii="arial" w:eastAsia="arial" w:hAnsi="arial" w:cs="arial"/>
          <w:color w:val="000000"/>
          <w:sz w:val="20"/>
          <w:lang w:val="en-US" w:eastAsia="en-US" w:bidi="ar-SA"/>
        </w:rPr>
        <w:t xml:space="preserve"> [1964] A.C. 465 (H.L.), the flooring subcontractor in </w:t>
      </w:r>
      <w:r>
        <w:rPr>
          <w:rFonts w:ascii="arial" w:eastAsia="arial" w:hAnsi="arial" w:cs="arial"/>
          <w:i/>
          <w:color w:val="000000"/>
          <w:sz w:val="20"/>
          <w:lang w:val="en-US" w:eastAsia="en-US" w:bidi="ar-SA"/>
        </w:rPr>
        <w:t>Junior Books Ltd. v. Veitchi Ltd</w:t>
      </w:r>
      <w:r>
        <w:rPr>
          <w:rFonts w:ascii="arial" w:eastAsia="arial" w:hAnsi="arial" w:cs="arial"/>
          <w:color w:val="000000"/>
          <w:sz w:val="20"/>
          <w:lang w:val="en-US" w:eastAsia="en-US" w:bidi="ar-SA"/>
        </w:rPr>
        <w:t xml:space="preserve">. [1982] 3 All E.R. 201 (H.L.) and even the bottler in </w:t>
      </w:r>
      <w:r>
        <w:rPr>
          <w:rFonts w:ascii="arial" w:eastAsia="arial" w:hAnsi="arial" w:cs="arial"/>
          <w:i/>
          <w:color w:val="000000"/>
          <w:sz w:val="20"/>
          <w:lang w:val="en-US" w:eastAsia="en-US" w:bidi="ar-SA"/>
        </w:rPr>
        <w:t>Donahue v. Stevenson</w:t>
      </w:r>
      <w:r>
        <w:rPr>
          <w:rFonts w:ascii="arial" w:eastAsia="arial" w:hAnsi="arial" w:cs="arial"/>
          <w:color w:val="000000"/>
          <w:sz w:val="20"/>
          <w:lang w:val="en-US" w:eastAsia="en-US" w:bidi="ar-SA"/>
        </w:rPr>
        <w:t xml:space="preserve"> [1932] A.C. 562 (H.L.), the Chief Justice said, Kilborn might be said to have been "operating in the same milieu with the other actors, and duties to legal neighbours arose out of such circumstances whether there were contemporary breaches of contract to someone else or not."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concluded that the defendant should be permitted to proceed with the third party proceeding. (See also </w:t>
      </w:r>
      <w:r>
        <w:rPr>
          <w:rFonts w:ascii="arial" w:eastAsia="arial" w:hAnsi="arial" w:cs="arial"/>
          <w:i/>
          <w:color w:val="000000"/>
          <w:sz w:val="20"/>
          <w:lang w:val="en-US" w:eastAsia="en-US" w:bidi="ar-SA"/>
        </w:rPr>
        <w:t>North Fraser Harbour Commission v. Hardy BBT Ltd</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[1992] B.C.J. No. 2748</w:t>
        </w:r>
      </w:hyperlink>
      <w:r>
        <w:rPr>
          <w:rFonts w:ascii="arial" w:eastAsia="arial" w:hAnsi="arial" w:cs="arial"/>
          <w:color w:val="000000"/>
          <w:sz w:val="20"/>
          <w:lang w:val="en-US" w:eastAsia="en-US" w:bidi="ar-SA"/>
        </w:rPr>
        <w:t xml:space="preserve"> (S.C.), which involved a complex pollution cleanup project undertaken by various parties at various times; and </w:t>
      </w:r>
      <w:r>
        <w:rPr>
          <w:rFonts w:ascii="arial" w:eastAsia="arial" w:hAnsi="arial" w:cs="arial"/>
          <w:i/>
          <w:color w:val="000000"/>
          <w:sz w:val="20"/>
          <w:lang w:val="en-US" w:eastAsia="en-US" w:bidi="ar-SA"/>
        </w:rPr>
        <w:t>G.W.L. Properties Ltd. et al. v. W.R. Grace &amp; Company of Canada Ltd. et al.</w:t>
      </w:r>
      <w:r>
        <w:rPr>
          <w:rFonts w:ascii="arial" w:eastAsia="arial" w:hAnsi="arial" w:cs="arial"/>
          <w:color w:val="000000"/>
          <w:sz w:val="20"/>
          <w:lang w:val="en-US" w:eastAsia="en-US" w:bidi="ar-SA"/>
        </w:rPr>
        <w:t>, (B.C.S.C., Vancouver Registry, Docket C900884) dated June 10, 1992, which involved an asbestos removal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to the 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proposed third party notice, Import Tool makes the following allegations against Command Fishing: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materials times, Command Fishing provided equipment, personnel and services for the retrieval of the liner hanger equipment allegedly lodged in the D-57 Well.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Command Fishing was responsible for providing advice and carrying out the retrieval operations of the D-57 Well, including cutting operations, spearing operations, and fishing operations. Command Fishing advised and worked with the Plaintiffs, in the attempted retrieval of the Liner Hanger Equipment.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Command Fishing was responsible for and conducting all cutting and milling operations as part of the retrieval of the Liner Hanger Equipment and attached pipe which allegedly fell to the bottom of the D-57 Well.</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Plaintiffs suffered any damage or expenses, as alleged or at all, then such damage or expense was caused or contributed to by the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or breach of contract of Command Fishing, the particulars of which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advise on the recovery of the Liner Hanger Equipment;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advise as to where to make cuts and conduct milling operations for the recovery of the Liner Hanger Equipment;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making cuts and milling of the Liner Hanger Equipment which allegedly caused the Liner Hanger Equipment to fall to the bottom of the D-57 Well;</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operating fishing equipment to retrieve the Liner Hanger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Command Fishing argued before the Master that the proposed third party notice is really a claim that Command Fishing failed to mitigate the plaintiffs' losses after the hanger equipment became stuck or otherwise failed to assist the plaintiffs to protect the liner hanger from falling into the well. Command Fishing argued that Import Tool had already raised those claims as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Command Fishing also argued before the Master that there was no allegation that it was involved in the liner hanger equipment becoming stuck, that it was only alleged to have owed contractual and/or tort duties to the plaintiffs, and that the third party notice raised no independent claim against it. Command Fishing took the position that all of the allegations against it in the third party notice had been raised as defences by Import Tool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Master found that Command Fishing was retained to assist the plaintiffs in mitigating their losses, and that Import Tool has pleaded that the plaintiffs had failed to take all reasonable steps to mitigate their losses. The Master concluded that those "facts fall plainly within the stated principles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Laidar Holdings Limited</w:t>
      </w:r>
      <w:r>
        <w:rPr>
          <w:rFonts w:ascii="arial" w:eastAsia="arial" w:hAnsi="arial" w:cs="arial"/>
          <w:color w:val="000000"/>
          <w:sz w:val="20"/>
          <w:lang w:val="en-US" w:eastAsia="en-US" w:bidi="ar-SA"/>
        </w:rPr>
        <w:t>." The Master dismissed the application to add Command Fishing as a third party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Command Fishing argues that the Master was correct in not allowing the claim for contribution and indemnity to proceed against it based on the first branch of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test. In that regard it relies on </w:t>
      </w:r>
      <w:r>
        <w:rPr>
          <w:rFonts w:ascii="arial" w:eastAsia="arial" w:hAnsi="arial" w:cs="arial"/>
          <w:i/>
          <w:color w:val="000000"/>
          <w:sz w:val="20"/>
          <w:lang w:val="en-US" w:eastAsia="en-US" w:bidi="ar-SA"/>
        </w:rPr>
        <w:t>Laider</w:t>
      </w:r>
      <w:r>
        <w:rPr>
          <w:rFonts w:ascii="arial" w:eastAsia="arial" w:hAnsi="arial" w:cs="arial"/>
          <w:color w:val="000000"/>
          <w:sz w:val="20"/>
          <w:lang w:val="en-US" w:eastAsia="en-US" w:bidi="ar-SA"/>
        </w:rPr>
        <w:t xml:space="preserve">, noting that the court rejected the argument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created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from the notice of civil claim that the plaintiffs are alleging the losses occurred as a result not only of the liner hanger becoming stuck, but also as a result of it falling to the bottom of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opinion, the following portion of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case is applicable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fault alleged against the proposed third party is in fact the fault of the plaintiff, the defendant can raise the default by way of defence, making third party proceedings unnecessary. Yemen </w:t>
      </w:r>
      <w:hyperlink r:id="rId531" w:history="1">
        <w:r>
          <w:rPr>
            <w:rFonts w:ascii="arial" w:eastAsia="arial" w:hAnsi="arial" w:cs="arial"/>
            <w:i/>
            <w:color w:val="0077CC"/>
            <w:sz w:val="20"/>
            <w:u w:val="single"/>
            <w:shd w:val="clear" w:color="auto" w:fill="FFFFFF"/>
            <w:lang w:val="en-US" w:eastAsia="en-US" w:bidi="ar-SA"/>
          </w:rPr>
          <w:t>[1976] B.C.J. No. 57</w:t>
        </w:r>
      </w:hyperlink>
      <w:r>
        <w:rPr>
          <w:rFonts w:ascii="arial" w:eastAsia="arial" w:hAnsi="arial" w:cs="arial"/>
          <w:color w:val="000000"/>
          <w:sz w:val="20"/>
          <w:lang w:val="en-US" w:eastAsia="en-US" w:bidi="ar-SA"/>
        </w:rPr>
        <w:t xml:space="preserve"> and Westcoast were such cases. In both cases the plaintiff had hired someone to act in its stead to ensure that the defendant was performing his contract. Any default was attributable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significance in these decisions of the fact that the proposed third party was acting as the agent of the owner in circumstances where his conduct became the responsibility of the owner was pointed out by McEachern C.J. in </w:t>
      </w:r>
      <w:r>
        <w:rPr>
          <w:rFonts w:ascii="arial" w:eastAsia="arial" w:hAnsi="arial" w:cs="arial"/>
          <w:i/>
          <w:color w:val="000000"/>
          <w:sz w:val="20"/>
          <w:lang w:val="en-US" w:eastAsia="en-US" w:bidi="ar-SA"/>
        </w:rPr>
        <w:t>Quintette Coal Ltd. v. Bow Valley Resource Services Ltd. et al.</w:t>
      </w:r>
      <w:r>
        <w:rPr>
          <w:rFonts w:ascii="arial" w:eastAsia="arial" w:hAnsi="arial" w:cs="arial"/>
          <w:color w:val="000000"/>
          <w:sz w:val="20"/>
          <w:lang w:val="en-US" w:eastAsia="en-US" w:bidi="ar-SA"/>
        </w:rPr>
        <w:t>, April 2, 1986, No. C837395, Vancouver Registry, at p.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Yeman and Westcoast were cases where the putative Third Parties were inspectors employed by the Plaintiff to supervise the work of the Defendant. It was not suggested that the Third Parties were guilty of active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their failure to detect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it was assumed that any fault on the part of the Third Parties would be imputed to the Plaintiffs. In this case, however, the Defendant seeks contribution from Kilborn for Kilborn's own alleged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am not satisfied that Kilborn's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Import Tool is alleging Command Fishing was actively negligent during the attempted retrieval of the liner hanger equipment. As set out earlier, Import Tool alleges Command Fishing was negligent in failing to properly advise on the recovery, and was negligent in the manner in which it made cuts, milled, and fished for the equipment during the recovery process. As noted by Chief Justice McEachern, it is not clear in circumstances where the allegation is that the proposed third party was actively negligent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necessarily be imputed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the second branch of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has been applied in cases involving complex contractual and tort relationships among various parties including professional consultants who have interacted in the course of a project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pleadings reveal that this is a case involving complex contractual and tort relationships among various parties in a project, including Import Tool and Command Fishing. Accordingly, I have concluded this case falls within the second branch of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Even if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Command Fishing can be imputed to the plaintiffs, it is my view that Rule 3-5(1)(c) is applicable. The questions or issues between Import Tool and Command Fishing are substantially the same as the questions or issue that relate to or are connected with the relief claimed in the action and the subject matter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Import Tool alleges that if the plaintiffs suffered losses, such loss or expense was caused or contributed to by the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breach of duty or breach of contract by Command Fishing. There is no question that the issues of fact and law between Import Tool and Command Fishing are the same as those between the plaintiffs and Import Tool. The claims involve the same allegations of advice and actions leading to the loss of the liner hanger equipment. In my view, to suggest that Import Tool should proceed by the way of a separate action is antithetical to the whole purpose of third party proceedings, i.e., to avoid a multiplicity of proceedings and inconsistent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reviewed the case law and the pleadings, and having considered the submissions, I have concluded the Master erred in denying leave to Import Tool to file the third party notice against Command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Import Tool is granted leave to file the third party notice against Command Fishing Services Inc. in the form attached as Schedule A to the notice of application filed on September 5, 2017, after deleting any reference to Command Fishing and Pipe Recovery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Import Tool is entitled to its costs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P.S.D. Enterprises Ltd. v. New Westminster (City), [2011] B.C.J. No. 643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21-25, 28-30, July 2, 5-9 and October 13-15,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8 W.W.R. 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868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82 M.P.L.R. (4th)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833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B.C.L.R. (5th) 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P.S.D. Enterprises Ltd., Plaintiff, and Corporation of the City of New Westminster and Tim Whitehead,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December 1, 2011. See </w:t>
      </w:r>
      <w:hyperlink r:id="rId539" w:history="1">
        <w:r>
          <w:rPr>
            <w:rFonts w:ascii="arial" w:eastAsia="arial" w:hAnsi="arial" w:cs="arial"/>
            <w:i/>
            <w:color w:val="0077CC"/>
            <w:sz w:val="18"/>
            <w:u w:val="single"/>
            <w:shd w:val="clear" w:color="auto" w:fill="FFFFFF"/>
            <w:lang w:val="en-US" w:eastAsia="en-US" w:bidi="ar-SA"/>
          </w:rPr>
          <w:t>[2011] B.C.J. No. 2315</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4"/>
      <w:bookmarkEnd w:id="168"/>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Policy decisions — What constitutes — Negligent misrepresentation — Action by property owner against City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Defendant wanted to redevelop block on which plaintiff operated hotel, bar and liquor store — Defendant promised to help plaintiff find new property but made no guarantees — Plaintiff found location for new liquor store, but rezoning was required — Plaintiff ignored legal advice and sold property conditional on third reading of rezoning application, despite four readings being required — Defendant made no misrepresentations — Defendant's notices warned plaintiff not to speak to Council after public hearing, but plaintiff ignored warnings and third reading was rescinded, then defeated.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Planning and development — Zoning regulations — Bylaws — Enactment procedures — Procedure after hearing — Variances — What may be varied — Use — Action by property owner against City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Defendant wanted to redevelop block on which plaintiff operated hotel, bar and liquor store — Defendant promised to help plaintiff find new property but made no guarantees — Plaintiff found location for new liquor store, but rezoning was required — Plaintiff ignored legal advice and sold property conditional on third reading of rezoning application, despite four readings being required — Defendant made no misrepresentations — Defendant's notices warned plaintiff not to speak to Council after public hearing, but plaintiff ignored warnings and third reading was rescinded, then defeated.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2"/>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property owner against the City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wanted to redevelop a block on which the plaintiff held two liquor licenses and operated a hotel, pub and liquor store. The plaintiff understood that if he agreed to sell the property, the defendant would take steps to enable him to move business elsewhere. The plaintiff was able to find a suitable property only for the liquor store, but the neighbourhood was not zoned for a free-standing liquor store. The plaintiff brought an application for rezoning and the defendant recommended that council accept the rezoning. The rezoning application passed two readings and a public meeting was held. The notice of the public hearing clearly stated that no submissions would be considered after the public hearing. The council gave third reading approval and specific four conditions prior to adoption. The plaintiff then attended a council meeting and made a presentation about the by-law. Because council was statutorily prohibited from hearing further submissions from proponents after the public hearing, the third reading was rescinded and a new public hearing was held. The third reading was then unanimously defeated by council. Because the plaintiff had made the sale of his property conditional on the third reading being approved, the sale was completed. The plaintiff was unable to find a new property and lost his liquor licenses. The plaintiff argued that the defendant's staff guaranteed they would find him a new property, misrepresented that the rezoning was a given after the third reading was passed, encouraged him to speak to council after the third reading and failed to stop him from speaking.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0" w:name="Holdings of Court_19"/>
            <w:bookmarkEnd w:id="17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defendant was proactive in urging the plaintiff to proceed with the sale and relocation and promised to assist him, it fell short of making any guarantees. The defendant did not encourage the plaintiff to make the agreement for purchase and sale of his property conditional on only the third reading being approved. The plaintiff received legal advice and was told that the by-law would not be in force until it passed the fourth reading. The plaintiff chose to ignore this legal advice. While a planner that worked for the defendant remarked to the plaintiff that he should speak to council after the third reading, any reliance on this advice was unreasonable. The remark was made only in passing and the planner did not advise the plaintiff to speak at the meeting. Furthermore, the plaintiff knew that the planner was not involved with his file. The plaintiff had also received notices from the defendant that clearly warned he could not make further submissions. The plaintiff chose to ignore these warnings. The defendant's policy to stop delegates from speaking after the public hearing was enacted by by-law, so it had a duty to follow its own policy. The defendant discharged its duty by clearly posting and sending out notices that warned no further submissions could be made. Council members stopped the plaintiff from continuing when he began speaking about the by-law, but it was too late. The defendant was not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Legislation Cited_19"/>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540" w:history="1">
        <w:r>
          <w:rPr>
            <w:rFonts w:ascii="arial" w:eastAsia="arial" w:hAnsi="arial" w:cs="arial"/>
            <w:i/>
            <w:color w:val="0077CC"/>
            <w:sz w:val="20"/>
            <w:u w:val="single"/>
            <w:shd w:val="clear" w:color="auto" w:fill="FFFFFF"/>
            <w:lang w:val="en-US" w:eastAsia="en-US" w:bidi="ar-SA"/>
          </w:rPr>
          <w:t>SBC 2003, CHAPTER 26, s. 124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CHAPTER 323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2" w:name="Counsel_25"/>
      <w:bookmarkEnd w:id="1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H.W. Veenstra, D.T.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Poole, G. Allen.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3" w:name="Judgment_25"/>
      <w:bookmarkEnd w:id="173"/>
      <w:r>
        <w:pict>
          <v:line id="_x0000_s1152"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4" w:name="J.M. GROPPER J._0"/>
            <w:bookmarkEnd w:id="174"/>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P.S.D. Enterprises Ltd. (P.S.D.) asserts that the City of New Westminster (the City) has engaged in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failure to warn and promissory estoppel. This action arises out of events between P.S.D. and the City in 2006 and 2007, involving the City's desire to redevelop the block at 700 Columbia Street in downtown New Westminster, and P.S.D.'s desire to relocate its liquor licences from the Windsor Hotel on that block to another location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P.S.D. is not proceeding with its claim against Tim Whitehead.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2006, P.S.D. Enterprises Ltd. owned the Windsor Hotel in the 700 block of Columbia Street in New Westminster. P.S.D. held two licences from the Liquor Control and Licensing Board of British Columbia (LCLB): a liquor primary (LP) licence authorizing the pub operation; and a liquor retail store (LRS) licence which authorized the operation of a liquor store. Nirmal Walia, the principal of P.S.D., operated a small hotel, a pub and a liquor store. He had no intention of selling the property or changing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early 2006, the City of New Westminster explored opportunities to revitalize and redevelop the 700 block of Columbia Street. The City sought interest from Ballenas Project Management Ltd., which had redeveloped another area of downtown New Westminster, to purchase the three properties on that block of Columbia Street, including the Windsor Hotel. The plan was that Ballenas would demolish the hotel and build a new development on the site. Mr. Walia understood that if he agreed to sell his property to Ballenas, the City would take necessary steps to enable him to move his liquor businesses to another property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Walia wished to relocate his business to 12th Street in New Westminster and attempted to find a suitable location for a small hotel, pub and liquor store. By September 2006, based on the types of property available on 12th Street, Mr. Walia decided to open a liquor store only. 12th Street was not zoned for a free standing liquor store; thus a zoning amendment by-law (rezoning)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rezoning process requires two readings by City council, followed by a public hearing, a third reading by council and, if approved, the imposition of conditions on the applicant. Upon completion of those conditions, the rezoning is placed before council for fourth reading. If the by-law passes fourth reading, rezoning is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case, after the third reading of the by-law passed, and before it came back to council for a fourth reading, Mr. Walia appeared before council and made submissions concerning the community's view and his own plans to open a liquor store on 12th Street. Council, upon receiving legal advice that the public hearing process had been compromised, rescinded third reading. A second public hearing was held and when the rezoning returned for third reading a second time, it was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rejection of the rezoning, P.S.D. tried to repudiate its purchase and sale agreement with Ballenas. They engaged in litigation. In March 2007, the litigation concluded and Ballenas' purchase of the Windsor Hotel completed. P.S.D. was unable to find another location for its liquor store, and in June 2008 the LCLB cancelled the LRS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P.S.D. claims against the City for damages for negligent misrepresentation. It asserts that:</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 Whitehead, the City's director of development services at the time, provided a guarantee that the City would find a new location for P.S.D.'s liquor business and the liquor business could be moved to a different location in the City (the "guarantee representations");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Whitehead and the senior planner of the City at the time, Steven Scheving, made representations regarding third reading being the appropriate condition precedent in P.S.D.'s agreement with Ballenas (the "third reading representation");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 Hurst, a senior planning analyst with the City, represented to Mr. Walia that he should bring his concerns to City Hall (the "Hurst representation");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failed to advise Mr. Walia before he spoke to the council meeting after third reading (the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P.S.D. claims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on the basis that the City employees failed to warn Mr. Walia that he should not speak at a council meeting after third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P.S.D. also asserts that the City should be estopped in this case from rescinding third reading. While that is no longer feasible, P.S.D. claims that an appropriate remedy is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denies the allegations but argues that if the court finds the defendant to have committed the tort of negligent misrepresentation, then P.S.D. is contributory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2006, the 700 block of Columbia Street consisted of three buildings: the B.C. Electric Railway (BCER) building at 774 - 782 Columbia Street, built in 1911, the Phillip's block at 752 Columbia Street, built in 1922, and the Windsor Hotel at 738 Columbia Street, built in 1899.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2005, the BCER building was operating as a Value Village store. The Salvation Army, which ran a thrift store in property it owned at 811 Columbia Street, agreed to sell its property and purchase the BCER building with the intention of moving its thrift store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City's development services department entered into discussions with the Salvation Army about its plans for the BCER. The Salvation Army advised the City that it intended to make improvements to the interior of the building, but would retain the existing exterior metal cladding.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same time the City was exploring opportunities for the possible redevelopment of that block of Columbia Street and considering a heritage revitalization of the block. The City's development services department began discussions with the Salvation Army about its plans for the BCER building. It suggested that the Salvation Army sell some of its density for the BCER building to a developer to provide funding for a heritage revitalization of the exterior of the building. The developer would use the extra density to build a development on the Phillips block site. The City decided to contact Ballenas, who had developed another property in downtown New Westminster. Negotiations involving Ballenas' principal, Peter Newall, the Salvation Army and City officials focused on a concept whereby Ballenas would agree to pay the Salvation Army for a transfer of density to be used for a development; the Salvation Army would use the funds from Ballenas for renovation and revitalization of the BCER building, particularly the heritage building facade; and the City and the Salvation Army would enter into a heritage revitalization agreement and amendments to the zoning by-law to allow for this transfer of density.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Salvation Army insisted that the exterior renovation to the BCER building had to be completed before it moved its thrift store into that location in early 2007. Tim Whitehead met with Mr. Newall to advise that the City supported the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spring of 2006, Ballenas entered into an agreement for the purchase of the Phillips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Walia says that in February or March 2006 he was told by the mayor that something was coming up that would involve the Windsor Hotel. Mr. Walia said the mayor told him that it would be a good deal for Mr. Walia. Mr. Walia says that in February and March 2006 he was invited to meet with Mr. Whitehead. There were several meetings at which Mr. Whitehead introduced the concept of selling the Windsor Hotel property so that the block could be redeveloped. Mr. Walia says he was willing to sell the Windsor Hotel property but he was not interested in selling his liquor licences. Mr. Walia says he advised Mr. Whitehead that he would consider a sale of the Windsor Hotel for an acceptable price provided he could relocate his pub and liquor store to a new location in New Westminster. On April 12, 2006, Mr. Whitehead met with Mr. Walia and Mr. Newall to discuss the possibility of Ballenas purchasing the Windsor Hotel and including that property in the project. Mr. Walia says that he was told during that meeting that the Salvation Army had strict timelines.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13, 2006 Ballenas made a written offer to purchase the Windsor Hotel from P.S.D. for $1.25 million. P.S.D. rejected the offer and made a counter-proposal for $1.95 million. The counter-proposal specified that the sale would not include the liquor licences and that the contract would be subject to P.S.D. entering into a firm contract to purchase a replacement property for its pub and liquor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19, 2006 Mr. Scheving and Mr. Newall made a presentation at an informal information meeting with the mayor and councillors about the status of the plans for the project. The purpose of the information meeting was to express the City objectives of restoring the important heritage buildings, and highlight any challenges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20, 2006, the City's planning department faxed information to Mr. Walia regarding the ownership of several properties on 12th Street in New Westminster, including the names of the owners of those properties. Mr. Walia was out of the country from April 22 to May 9, 2006. He says when he returned he had discussions with the LCLB and began looking for a site on 12th Street which would accommodate both his pub and a liquor store, and potentially a restaurant and small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1, 2006, Messrs. Whitehead and Scheving met with Mr. Walia to discuss the potential sale of the Windsor Hotel and the relocation of his pub and liquor store. Mr. Walia says that both Mr. Whitehead and Mr. Scheving "assured him of the City's support for his relocation." Mr. Walia wanted the commitment in writing. Mr. Whitehead says that he told Mr. Walia he could not offer a guarantee that he would be allowed to move his business if he sold the Windsor Hotel to Ballenas. Mr. Whitehead indicated that as director of development services he was a "professional recommender" and advisor to council, but that it was council's decision whether or not they accepted Mr. Whitehead's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5, 2006 the City issued a "comfort letter" to P.S.D. signed by Mr. Whitehead. It acknowledged that the City was assisting Mr. Walia in looking at new locations for his pub and liquor store.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letter is to convey to you the encouragement of the Development Services Department in coming to an agreement with respect to the sale of the Windsor Hotel property in order to bring about a comprehensive redevelopment of this block on Columbia Street. ... I also offer our assistance in your plans to relocate your business from the present location to another area in the City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my Department will assist you by looking at various locations to which you may move your business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zoning ... [s]taff will work with you and your architect to assist you through the review process in order to expedite development approvals ... The City has very knowledgeable personnel who can outline for you the steps to follow and the avenues of consultation needed to bring your application to the City Council's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your project offers significant benefits to yourself and the city. I would like to help you bring these benefits to fruition. I am especially encouraged by your commitment to reduce the number of seats and to upgrade the scale of your business. I feel that this positive direction will assist to undergird your efforts and help to facilitate the process. I would like to work with you to bring your dreams into reality and I would like to begin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on June 5, 2006, Ballenas made a further offer to P.S.D. to purchase the Windsor Hotel property for $1.6 million. P.S.D. rejected that offer and made a counteroffer for $2 million. Throughout June 2006, Ballenas and the Salvation Army expressed concern to Mr. Whitehead about time delays resulting from the inclusion of the Windsor Hotel in the Columbia Street revitalization project. The City's preference, expressed through Mr. Whitehead, was that the Windsor Hotel had to be part of the project. On June 9, 2006 Mr. Walia attended a meeting with Mr. Whitehead. Mr. Walia considered that Mr. Whitehead was angry at him for not coming to terms with Mr. Newall regarding Ballenas' purchase of the Windsor Hotel. Mr. Walia says that Mr. Whitehead said that the City could come in and shut his business down at anytime. Mr. Walia says he felt intimidated that the City was going to take some action which could reduce the value of his property. He was concerned that the City was on the side of Ballenas in its attempt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of this meeting, Mr. Walia said he considered that P.S.D. should negotiate a sale with Ballenas and that it should make further efforts to find an acceptable site for his liquor licences on 12th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Walia began to look for a smaller property which would accommodate a free standing liquor store. This change of focus was significant, as the City permitted the use of a combined pub and liquor store on 12th Street under the current zoning, but a free standing liquor store would require a full rezoning process, including a public hearing and multiple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June 15, 2006, P.S.D. arranged to lease property at 628 12th Street, which provided for 1700 square feet of retail space. This would be adequate for a retail liquor store, but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June 19, 2006, Mr. Walia met with Messrs. Whitehead and Scheving to discuss the status of P.S.D.'s negotiations with Ballenas. They discussed the rezoning application process, including that the rezoning application would have to receive first and second reading from City council, be discussed at a meeting of the advisory planning commission, go through a public hearing process, receive third reading from City council, and then receive fourth reading from City council before it was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Also discussed at this meeting was the process for rezoning and the effect of third reading. Mr. Walia says that before the meeting he had been advised by his solicitor to seek fourth reading of the rezoning application as a condition on the sale of the Windsor Hotel to Ballenas. Mr. Newall did not wish to wait for fourth reading. He advised Mr. Walia that he needed to have certainty about the scope of the project by September 2006 in order to meet the Salvation Army's guidelines. He did not want any delay in the completion of any conditions imposed between the third and fourth reading of the rezoning by-law. Mr. Walia says that Messrs. Whitehead and Scheving advised him that third reading is when the substantive decision is made by council. Once the applicant for rezoning satisfies the conditions on third reading it goes back for fourth reading and the council adopts the by-law. Mr. Walia was advised by Mr. Scheving that the council has never turned down a by-law on adoption, which is the fourth reading, once the by-law had already passed third reading. Mr. Walia said that, based on what he was told about third and fourth readings, he agreed that the sale would be subject to the condition of the rezoning by-law passing third reading. Mr. Walia knew that the adoption of the by-law would not occur until fourth reading. He also thought that his choice was either to agree to the third reading condition or not proceed with the deal at all. Mr. Walia signed the purchase and sale agreement and agreed to a third reading as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21, 2006 P.S.D. and Ballenas entered into a purchase and sale agreement in respect of the Windsor Hotel property. The purchase price was $2 million. The completion date was February 28, 2007. The agreement acknowledged that the sale did not include the liquor licences. There was a vendor's condition providing: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anything herein set forth, the Vendor's obligation to complete the Transaction will be subject to the condition that the Council of the City of New Westminster give third reading of a zoning amendment by-law to allow a liquor store to be located on and operated from premises at 628 12th Street,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condition had to be satisfied or waived not later than 50 days after the execution date, by August 10, 2006. Also on that date, Mr. Whitehead issued a formal report to council and committee of the whole recommending that the application for rezoning of the property at 628 12th Street to allow for a free standing liquor store be approved. In his report to council of the whole, Mr. Whitehead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development services department recommends that council should only approve free standing liquor stores in exceptional circumstances, for instance, where a strategic objective that benefits New Westminster residents city-wide can be obtained. Such is the case with this particular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 of the 1700 square foot liquor store will assist in bringing "on stream" a major catalytic development encompassing the entire block of the Downtown, with associated city-wide dividends for all New Westminster residents in terms of liveability, economic development and new tax assessment. In the view of the development services department, this greater good is of strategic importance to the future well-being of the city. It should be an overriding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22, 2006, P.S.D. applied for rezoning of the property at 628 12th Street. That transaction did not proceed as the vendor would not consent to the application for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June 28, 2006, P.S.D. entered into an agreement to purchase property at 944 12th Street from Mahmoud Haghshenas. Mr. Haghshenas also signed a handwritten letter authorizing the purchaser (P.S.D.) to apply for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Shortly after he agreed to sell the property, Mr. Haghshenas attended City Hall to discuss plans. He met with Mr. Scheving and Keith Coeuffin, the supervisor of licensing at the City of New Westminster, to see whether he could move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Haghshenas was advised by Mr. Coeuffin that his specific business could not be relocated without rezoning. Mr. Haghshenas apparently changed his mind and wanted to get out of the agreement. He alleged through his lawyers that Mr. Walia had given him drinks and made him intoxicated prior to his signing the purchase and sale agreement. On July 13, 2006 Mr. Whitehead provided Mr. Haghshenas with a letter conveying the "encouragement and assistance of the development services department in [his plans] to relocate [his business] from 944 12th Street to another area on 12th Street." The letter promised assistance with regard to zoning and an opinion that relocating to another location on 12th Street would be of benefit to the surrounding neighbourhood, the City and Mr. Haghshenas. Mr. Whitehead closed the letter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work with you to bring your dreams into reality and I would like to begin now. Should any one location not prove satisfactory, my department will assist you in searching for other locations to which you may move your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 forward to your application for this exciting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P.S.D. did not pursue its dealings with Mr. Haghshenas.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July 16, 2006, P.S.D. entered into an interim lease agreement in respect of property at 804 12th Street. On July 17, 2006 P.S.D. applied for rezoning on that property to provide for a liquor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July 19, 2006 P.S.D. entered into an agreement amending the purchase and sale agreement of June 21, 2006. The amendment provided that the closing date was moved up to January 9, 2007; the purchase price was increased to $2,030,000 and the vendor's condition was amended to reflect the new location at 804 12th Street. A further paragraph was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foregoing condition is for the sole and exclusive benefit of the Vendor and will be deemed to be waived by the Vendor forthwith upon the Council of the City of New Westminster giving third reading of the zoning amendment by such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24, 2006 at a regular council meeting, council gave first and second reading to the zoning amendment by-law and set a public hearing date for August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26, 2006, P.S.D. submitted an application to the LCLB for the transfer of the LRS licence to 804 12th Street. Also on that date P.S.D.'s rezoning application was considered at a meeting of the City's advisory planning commission. The commission voted not to support the application. Mr. Whitehead advised Mr. Walia that the result was not unexpected and the recommendation of the advisory planning commission was not binding on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August 21, 2006, P.S.D. held an open house at the Carpenters' Hall on 12th Street to discuss the proposed rezoning of 804 12th Street. Mr. Walia said Mr. Whitehead handled the presentation and explained the proposal regarding the liquor store to those in attendance. Mr. Whitehead said Mr. Walia made a presentation of the elevation drawing for the new liquor store and talked about his business plan. Mr. Whitehead says that he sat in the gallery and then made one remark: his opinion that the liquor store was a positive addition to 12th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preparation for the August 28, 2006 public hearing of P.S.D.'s rezoning application for 804 12th Street, the City published Notices of Public Hearing in the local newspaper on August 16 and 19, 2006. At the bottom of these notices the City included the following warning in bold type: "no further submissions can be considered by Council after the conclusion of the Public Hearing." Mr. Walia saw the notice and the warning. He says that he thought it only applied to public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28, 2006, the City held a public hearing regarding P.S.D.'s rezoning application. There was significant opposition to the application. Following the public hearing, council gave third reading approval to the rezoning by-law by a vote of 5 to 2. The resolutions specified four conditions prior to the adoption (fourth reading) of the by-law:</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the surrounding neighbourhood on the final site plan;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the surrounding neighbourhood on the final building elevations and associated aesthetics;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Negotiation of a Good Neighbour Agreement with adjacent residents;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undertaking of crime prevention through environment design analysis (CPTED).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September 15, 2006, the LCLB sent separate letters to the City and to P.S.D. The letter summarized the rules: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licencee of a LRS must also be the licencee of a liquor-primary establishment.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licencee will only receive approval to relocate a LRS once all conditions, including the need to have an operating liquor primary establishment, are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LRS is operating at a new location, the licence of the associated liquor primary establishment may be placed into dormancy for 12 months, or longer on approval, due to major renovations, and/or a catastrophic event. During the period the liquor primary licence is dormant, the licencee must maintain a valid interest in the property and the LRS may continue to operate.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licencee who owns the property or who has a signed lease agreement with the property owner is considered to hold a valid interest in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property is sold and the licencee does not retain a valid interest in the property, then the licences for the liquor-primary establishment will be cancelled and the application for the LRS relocation will be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contents of the letter raised two factors for P.S.D.'s ongoing business. First, although it could apply to place its LP licence into dormancy, it had to have a "valid interest" in premises for that LP licence. Second, it had to have a new LRS location open and operating prior to the liquor primary premises ceasing to operate, which would occur, in accordance with the amendment agreement, on January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18, 2006 P.S.D. and Ballenas entered a right of first offer agreement. The agreement required that Ballenas offer the commercial space on the ground floor of its Columbia Street development to P.S.D., who could make an offer on the premises. The agreement stated that a liquor store would not be allowed on the leased premises. The agreement was to satisfy the "valid interest in property" requirement to allow the LP licence to be placed into dormancy.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September 19, 2006, Ballenas wrote P.S.D., waiving all the conditions precedent and confirming that it considered the purchase and sale agreement in respect of the Windsor Hotel to be firm and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Walia says that through the rest of September he made numerous inquiries of the development services department to determine the status of the four conditions placed on the third reading of the rezoning. Mr. Walia considered that Mr. Whitehead was no longer returning his calls and he was hearing nothing from the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Walia attended at the development services department office on Friday, September 29, 2006. He spoke to Jim Hurst, a senior planning analyst with the City at the counter. Mr. Walia asked Mr. Hurst what steps were being taken regarding satisfying the conditions attached to third reading and whether he should be hiring a lawyer to assist or whether he should be speaking to council. Mr. Walia says that Mr. Hurst warned him against getting lawyers involved but told him that if he wanted to speak to council to "be my guest". Mr. Hurst recalls that he told Mr. Walia "you can go upstairs and speak to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Monday, October 2, 2006, Mr. Walia met with Keith Coeuffin to discuss a draft Good Neighbour Agreement. Mr. Walia says he told Mr. Coeuffin that he intended to attend the council meeting that night to advise council that all the terms were agreed to. Mr. Coeuffin does not recall that being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evening of October 2, 2006, Mr. Walia attended a meeting at City council. Before he spoke, he completed a delegation request form setting out his request to speak. The form contained the following in bold font: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IMPORTANT: you are not permitted to make a submission on any land use by-law (eg. OCP amendment, rezoning) after the Public Hearing for that by-law has been concluded (unless the by-law has already been adopted or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Walia did speak at the meeting of City council and made a presentation referring to the Ballenas project, the meeting he had with community groups, and the meetings he had with City staff concerning the Good Neighbour Agreement. Councillor Osterman, who had made it known that he opposed the rezoning, asked Mr. Walia a number of questions. After a few minutes the mayor stated "we will have to move on because we are not allowed to discuss this since it's at third reading already." Mr. Whitehead then stated: "I was going to interject that council should not be taking any further information from Mr. Walia prior to fourth reading. The situation is in staff's hands ... and hopefully we can wrap this up and bring it all forward at the next council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Council has a rule that it not hear substantive further submissions from a proponent of a by-law change after the public hearing is complete. It is a requirement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City's </w:t>
      </w:r>
      <w:r>
        <w:rPr>
          <w:rFonts w:ascii="arial" w:eastAsia="arial" w:hAnsi="arial" w:cs="arial"/>
          <w:i/>
          <w:color w:val="000000"/>
          <w:sz w:val="20"/>
          <w:lang w:val="en-US" w:eastAsia="en-US" w:bidi="ar-SA"/>
        </w:rPr>
        <w:t>Council Procedure By-law</w:t>
      </w:r>
      <w:r>
        <w:rPr>
          <w:rFonts w:ascii="arial" w:eastAsia="arial" w:hAnsi="arial" w:cs="arial"/>
          <w:color w:val="000000"/>
          <w:sz w:val="20"/>
          <w:lang w:val="en-US" w:eastAsia="en-US" w:bidi="ar-SA"/>
        </w:rPr>
        <w:t xml:space="preserve"> provides that it "shall not permit any delegation to speak on a by-law where a public hearing has already taken place" (s. 15(1)(c)). In addition, the City has a long standing practice of stopping a proponent from speaking before he or she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City obtained legal opinions concerning the effect of Mr. Walia's appearance before council. Both opinions considered that Mr. Walia's comments may have compromised the public hearing aspect of the zoning amendment process and that the by-law could potentially be challenged on that basis. A further public hearing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October 16 or 17, 2006, Messrs. Walia and Newall met with Mr. Whitehead and other City officials. They were advised that the City intended to rescind its third reading and hold a new public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Walia says that after this meeting, Mr. Newall indicated that it was Ballenas' preference to cancel their agreement and that the new development would go ahead without the Windsor Hotel. Mr. Walia says that he and Mr. Newall had a conversation the next day where Mr. Newall confirmed that he wanted to move ahead with the development just with the Phillips block. Mr. Newall denies that and says that he never agreed to terminate the purchase and sale agreement. The matter resulted in litigation, which found that the purchase and sale agreement remained binding on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Given the positions of P.S.D. and Ballenas, it was not clear to the City whether the sale of the Windsor Hotel would conclude and whether Mr. Walia intended to move his liquor store to 12th Street. During late October 2006, council was considering holding a meeting to rescind the third reading of the by-law and scheduling a new public hearing. A meeting of council was held on October 19, 2006 but no steps were taken in respect of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6, 2006, Mr. Walia contacted the City and asked that the rezoning process for 804 12th Street continue. At a closed council meeting that day, Mr. Whitehead advised that he had to review the CPTED, Good Neighbour Agreement and site planning for the project, and upon completion of that review the process for a further public hearing could proceed. The drafting of the Good Neighbour Agreement and the CPTED analysis did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November 7, 2006 the LCLB wrote Mr. Walia to confirm that P.S.D.'s application to transfer its LRS licence to 804 12th Street had been accepted. It asked for detailed floor plans and other information, including the right of first offer with Ballenas which P.S.D.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November 10, 2006 counsel for P.S.D. wrote to the City solicitor advising of P.S.D.'s rezoning application and asking that it be dealt with as quickly as possible. He emphasized that the timing was tight and matters would need to proceed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November 20, 2006 P.S.D.'s counsel's November 10, 2006 letter was circulated at a closed council meeting. Council asked staff to bring forward a report to council on November 27, 2006. At the closed council meeting of November 27, 2006, council was advised that a report would be forthcoming at a future meeting. The committee of the whole and regular council meeting set for November 27, 2006 were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a regular council meeting on December 4, 2006, council passed a motion that the third reading of the rezoning by-law in regard to 804 12th Street be rescinded. It announced a new public hearing would be held on January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December 15, 2006, Ballenas brought a summary trial application before the B.C. Supreme Court seeking specific performance of its agreement with P.S.D. Mr. Justice Truscott reserved his reasons for judgment until January 5, 2007, when he allowed Ballenas' claim for specific performance and ordered that March 15, 2007 was the new completion date for the purchase and sale of the Windsor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January 2, 2007, the LCLB confirmed approval in principle of P.S.D.'s application to transfer its licence to 804 12th Street and approved the floor plans that had been submitted. The right of first offer had been accepted by the LCLB as giving an adequate interest in property to allow for the liquor primary licence to be placed in dormancy.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evening of January 22, 2007 a second public hearing was held on the rezoning of 804 12th Street. At the subsequent council meeting, third reading of the rezoning application was defeated unanimously.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the rezoning was defeated, Mr. Walia attempted to find another location for his pub and liquor store. He made some efforts to sell his licences. He applied to the LCLB for numerous extensions of time, a number of which were granted. On June 6, 2008, P.S.D. was notified that the LCLB was not prepared to grant any further extensions. The LRS licence was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tort of negligent misrepresentation was recently described by Chief Justice Finch in </w:t>
      </w:r>
      <w:r>
        <w:rPr>
          <w:rFonts w:ascii="arial" w:eastAsia="arial" w:hAnsi="arial" w:cs="arial"/>
          <w:i/>
          <w:color w:val="000000"/>
          <w:sz w:val="20"/>
          <w:lang w:val="en-US" w:eastAsia="en-US" w:bidi="ar-SA"/>
        </w:rPr>
        <w:t>Smith v. Landstar Properties Inc.</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2011 BCCA 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at paras. 26-31 and paras. 33-35: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at 110, Mr. Justice Iacobucci identified the five requirements of a claim for negligent misrepresentation: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This formulation is helpful for identifying the necessary elements, but it must be remembered that negligent misrepresentation at its base is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shares the same analytical framework. Each of the requirements listed above corresponds with the requirements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duty of care, standard of care, causation and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Mr. Justice La Forest made it clear that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for a duty of care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2 All E.R. 492, now updated by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applies in cases of negligent misrepresentation. He said the following at para.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branch of the </w:t>
      </w:r>
      <w:r>
        <w:rPr>
          <w:rFonts w:ascii="arial" w:eastAsia="arial" w:hAnsi="arial" w:cs="arial"/>
          <w:i/>
          <w:color w:val="000000"/>
          <w:sz w:val="20"/>
          <w:lang w:val="en-US" w:eastAsia="en-US" w:bidi="ar-SA"/>
        </w:rPr>
        <w:t>Anns/Kamloops</w:t>
      </w:r>
      <w:r>
        <w:rPr>
          <w:rFonts w:ascii="arial" w:eastAsia="arial" w:hAnsi="arial" w:cs="arial"/>
          <w:color w:val="000000"/>
          <w:sz w:val="20"/>
          <w:lang w:val="en-US" w:eastAsia="en-US" w:bidi="ar-SA"/>
        </w:rPr>
        <w:t xml:space="preserve"> test demands an inquiry into whether there is a sufficiently close relationship between the plaintiff and the defendant that in the reasonable contemplation of the latter, carelessness on its part may cause damage to the former. The existence of such a relationship - which has come to be known as a relationship of "neighbourhood" or "proximity" - distinguishes those circumstances in which the defendant owes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the plaintiff from those where no such duty exists. In the context of a negligent misrepresentation action, then, deciding whether or not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necessitates an investigation into whether the defendant-representor and the plaintiff-representee can be said to be in a relationship of proximity or neighbourhood.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para.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supra, at p. 110, the plaintiff and the defendant can be said to be in a "special relationship" whenever these two factors inhere.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key inquiries are whether reliance by the plaintiff was reasonably foreseeable by the defendant and whether that reliance by the plaintiff was reasonable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At para. 43 of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xml:space="preserve">, Mr. Justice La Forest cited with approval five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reasonable reliance identified by Professor Bruce Feldthusen: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these five indicia are not a strict test of reasonable reliance, they help distinguish cases where reliance is reasonable from those where it is not. As all of 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are present in this case, a prima facie duty of care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considers whether there are policy considerations that negative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at the first stage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 deliberate misrepresentation may be more accurately described as fraudulent rather than negligent, but that cannot act to bar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notwithstanding the fact that fraud or deceit was not pleaded by the plaintiff. Injustice would result if defendants were absolved of liability because their actions were deliberate rather than careless.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at 125, Mr. Justice Iacobucci said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representor's subjective belief in the accuracy of the representations and his moral blameworthiness, or lack thereof, are highly relevant when considering whether or not a misrepresentation was fraudulently made, they serve little, if any, purpose in an inquiry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noted above, the applicable standard of care is that of the objective reasonable person. The representor's belief in the truth of his or her representations is irrelevant to that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Although the comments reject the idea that moral blameworthiness is a necessary element of negligent misrepresentation, the obverse must also be true. If subjective belief in the truth of statements is irrelevant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knowledge that the statement is false cannot act to bar a claim for negligent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final two required elements are causation and damage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P.S.D.'s reliance on the members of the development services and planning teams was reasonably foreseeable. The City employees were aware that Mr. Walia was not familiar with business relocation issues or rezoning processes. This is shown in the evidence of Mr. Scheving in examination for discovery where he agreed that Mr. Walia did not know about licensing issues; in the evidence of Mr. Hurst where he described P.S.D. as a "mom and pop" operation; and in the evidence that the City provided assistance to Mr. Walia in preparing for the open house and the public meetings which were required for rezoning. In addition, I accept that Mr. Walia initially had no intention of selling the Windsor Hotel or moving his business and did not do so until he was approached by the City in early 2006. I further find that members of the planning department seeking to develop the City's downtown were encouraging and proactive in urging Mr. Walia to sell the Windsor Hotel and relocate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also find that Mr. Walia's reliance on the City was reasonable, addressing the five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set out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The City had a direct or indirect financial interest in respect of which the representation was made: it was the job of the City's employees in the planning department; the City is professional and possesses special skill, judgment and knowledge in matters of rezoning; the advice and information was provided in the course of the City's business; and the information and advice was given deliberately and in response to specific inquiries or requests by Mr. Walia.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There are several authorities in which the courts have found the duty of care between a property owner and a municipality to exist, where a municipal officer or employee provides advice relating to zoning issues which affect an owner's property: </w:t>
      </w:r>
      <w:r>
        <w:rPr>
          <w:rFonts w:ascii="arial" w:eastAsia="arial" w:hAnsi="arial" w:cs="arial"/>
          <w:i/>
          <w:color w:val="000000"/>
          <w:sz w:val="20"/>
          <w:lang w:val="en-US" w:eastAsia="en-US" w:bidi="ar-SA"/>
        </w:rPr>
        <w:t>Jung v. Burnaby (District)</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(1978), 91 D.L.R. (3d) 592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Windsor Motors Ltd. v. District of Powell River</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(1969), 4 D.L.R. (3d) 155</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Harris v. Fredericton Junction (Village)</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(1993), 109 D.L.R. (4th) 115</w:t>
        </w:r>
      </w:hyperlink>
      <w:r>
        <w:rPr>
          <w:rFonts w:ascii="arial" w:eastAsia="arial" w:hAnsi="arial" w:cs="arial"/>
          <w:color w:val="000000"/>
          <w:sz w:val="20"/>
          <w:lang w:val="en-US" w:eastAsia="en-US" w:bidi="ar-SA"/>
        </w:rPr>
        <w:t xml:space="preserve"> (N.B.Q.B.).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Guarantee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P.S.D. asserts that Mr. Whitehead guaranteed that the City would find a new location for P.S.D.'s liquor business and that the liquor business could be moved to a different location. The guarantee representation was clearly untrue as Mr. Whitehead could not make any such guarantees on behalf of the City. P.S.D. asserts that Mr. Whitehead did not exercise the standard of care required, as he "absolutely" failed to provide the advice to Mr. Walia that a reasonably prudent planning advisor would provide, namely that such assurances could not be provided because the decision to rezone ultimately rested with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Mr. Whitehead did not make the guarantee representation. While he was proactive in urging Mr. Walia to proceed with the sale to Ballenas and the relocation of his business to 12th Street, he did not make any guarantees. The comfort letter of June 5, 2006 falls short of a guarantee. It provides words of assistance and encouragement only. It does not suggest that there are binding legal relations between P.S.D.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accept that Mr. Walia wanted a written guarantee and considered that he was provided such a guarantee in the comfort letter. However, the comfort letter does not establish that the City intended to create a contractual arrangement in the manner of a guarantee between P.S.D. and the City. Further, as the City points out, a municipality cannot enter into a contractual arrangement which fetters its own legislative discretion. This was confirmed in </w:t>
      </w:r>
      <w:r>
        <w:rPr>
          <w:rFonts w:ascii="arial" w:eastAsia="arial" w:hAnsi="arial" w:cs="arial"/>
          <w:i/>
          <w:color w:val="000000"/>
          <w:sz w:val="20"/>
          <w:lang w:val="en-US" w:eastAsia="en-US" w:bidi="ar-SA"/>
        </w:rPr>
        <w:t>Vancouver (City) v. British Columbia (Registrar of Land Registration District)</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[1955] 2 D.L.R. 709</w:t>
        </w:r>
      </w:hyperlink>
      <w:r>
        <w:rPr>
          <w:rFonts w:ascii="arial" w:eastAsia="arial" w:hAnsi="arial" w:cs="arial"/>
          <w:color w:val="000000"/>
          <w:sz w:val="20"/>
          <w:lang w:val="en-US" w:eastAsia="en-US" w:bidi="ar-SA"/>
        </w:rPr>
        <w:t xml:space="preserve"> (B.C.C.A.)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Looking at it in another way, a contract of a municipal corporation by which it engages in advance that its council will pass a by-law involving the exercise of a discretion such as that vested in it by the </w:t>
      </w:r>
      <w:r>
        <w:rPr>
          <w:rFonts w:ascii="arial" w:eastAsia="arial" w:hAnsi="arial" w:cs="arial"/>
          <w:i/>
          <w:color w:val="000000"/>
          <w:sz w:val="20"/>
          <w:lang w:val="en-US" w:eastAsia="en-US" w:bidi="ar-SA"/>
        </w:rPr>
        <w:t>Town Planning Act</w:t>
      </w:r>
      <w:r>
        <w:rPr>
          <w:rFonts w:ascii="arial" w:eastAsia="arial" w:hAnsi="arial" w:cs="arial"/>
          <w:color w:val="000000"/>
          <w:sz w:val="20"/>
          <w:lang w:val="en-US" w:eastAsia="en-US" w:bidi="ar-SA"/>
        </w:rPr>
        <w:t xml:space="preserve"> is contrary to public policy, for by introducing the extraneous consideration of a possible claim against the City for its failure to pass the by-law the contract tends to restrict the freedom of the individual members to decide the merits solely upon the relevant circumstances, as the law requires. I do not think the law will support any such prejudgment by contract of the question to be decided upon the submission of such a by-law any more than it will the judgment of a Judge delivered before he had heard the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Third reading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P.S.D. alleges that Steven Scheving and Tim Whitehead's representations that third reading was an appropriate condition precedent in P.S.D.'s agreement with Ballenas was misleading given:</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foreseeable use of the representation (the insertion of such a condition into the agreement between Ballenas and P.S.D.);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probable damage resulting from an inaccurate statement (the failure to relocate the plaintiff's business and the loss of the LRS licence);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seniority and experience of Messrs. Scheving and Whitehead;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Messrs. Scheving and Whitehead's failure to divulge past examples of rescission of third readings due to procedural defects and/or the potential for rescission of a third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P.S.D. argues that these constitute a breach of the standard of care. The representations made by Messrs. Scheving and Whitehead to P.S.D. did not point out the potential risk of agreeing to third reading as a condition of the purchase and sale agreement, and such a risk was within the special knowledge of Mr. Scheving and could have easily been conveyed.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City says that although Mr. Whitehead was familiar with the process through which by-laws were passed at the City, and knew that the by-law did not come into force until it passed fourth reading, Mr. Walia was also aware of this fact. Mr. Scheving told Mr. Walia that it was rare for a by-law that passed third reading not to pass fourth reading, but he and Mr. Whitehead advised Mr. Walia that the by-law was still subject to the discretion of council at the fourth reading. The City says that Mr. Whitehead knew that council often placed conditions on a by-law after third reading which must be satisfied before the by-law would be returned to council for a fourth reading. There were a number of conditions placed on P.S.D. in regard to the zoning amendment by-law at third reading. The City also argues that it was unreasonable for Mr. Walia to rely on these statements; Mr. Walia was receiving legal advice from his solicitor, Kevin Moore, throughout the process and his solicitor had specifically advised him that he should insist that his contract with Ballenas be contingent on final adoption of the zoning amendment by-law, not third reading. Mr. Walia's agreement to the third reading condition was contrary to the advice of Mr.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find that Mr. Walia was aware that a by-law does not come into force until it passes fourth reading. He was advised of this by his solicitor and he knew that council made binding decisions for the City. I agree with the City that it was unreasonable in this circumstance for Mr. Walia to rely on the statements made by Messrs. Whitehead and Scheving. The reliance was unwarranted, particularly in that Mr. Walia acted contrary to the legal advice which he was given. In accordance with </w:t>
      </w:r>
      <w:r>
        <w:rPr>
          <w:rFonts w:ascii="arial" w:eastAsia="arial" w:hAnsi="arial" w:cs="arial"/>
          <w:i/>
          <w:color w:val="000000"/>
          <w:sz w:val="20"/>
          <w:lang w:val="en-US" w:eastAsia="en-US" w:bidi="ar-SA"/>
        </w:rPr>
        <w:t>Kemaldean v. Edmonton (City)</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(1984), 52 A.R. 97</w:t>
        </w:r>
      </w:hyperlink>
      <w:r>
        <w:rPr>
          <w:rFonts w:ascii="arial" w:eastAsia="arial" w:hAnsi="arial" w:cs="arial"/>
          <w:color w:val="000000"/>
          <w:sz w:val="20"/>
          <w:lang w:val="en-US" w:eastAsia="en-US" w:bidi="ar-SA"/>
        </w:rPr>
        <w:t xml:space="preserve"> (Q.B.) the reasonableness of the plaintiff's reliance on a statement by the defendant "must be judged in light of the fact that he was acting under the advice of a solicitor presumed to be fully competent in planning matters"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Walia could have insisted on fourth reading being the operative condition with the potential risk of not making a deal with Ballenas. It was his decision as a businessman with the benefit of legal advice to freely choose to do otherwise.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Hurst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P.S.D. asserts that Mr. Hurst was a long time planner who had knowledge of redevelopment applications and relocation issues. He had had a number of discussions and meetings with Mr. Walia on the issue of relocation prior to the discussion in late September. Mr. Hurst was aware of the potential effect of council hearing submissions from one party on a by-law after the by-law had completed third reading. P.S.D. asserts that Mr. Hurst's representation satisfies the five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While Mr. Hurst's financial interest in the context of his being a municipal employee may be debatable, he had an indirect financial interest in Mr. Walia's transaction as he was a planner, and his employment and income are related to such transactions. Mr. Hurst's representation was provided in the course of business and related directly to planning and rezoning matters. Mr. Walia was inquiring about how to move the matter forward and Mr. Hurst advised him that he should go see council. While it may not have been deliberate advice, it was clearly given in response to a request from Mr. Walia.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City submits that Mr. Hurst's statement to Mr. Walia should be properly interpreted as a suggestion that Mr. Walia speak to council members informally and outside of the confines of a council meeting. The statement was not a misrepresentation, was not negligent and was not relied upon by Mr. Walia. Even if he relied upon the statement, Mr. Walia's reliance was unreasonable because Mr. Walia knew that Mr. Hurst was not heavily involved in the file and that Mr. Hurst was not qualified to give advice on whether it would be appropriate to speak to council. Finally, the interaction between Mr. Walia and Mr. Hurst was brief, lasting only two to three minutes and Mr. Walia agreed that Mr. Hurst indicated during this time that he had no involvement with Mr. Walia's file and could not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City argues that the five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reasonable reliance set out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xml:space="preserve"> have not been satisfied. Mr. Hurst did not have a direct or indirect financial interest in Mr. Walia's transaction. While Mr. Hurst is a professional with special skill and judgment, it is not on the issue of municipal council procedure. The advice was not provided in the course of Mr. Hurst's business, which is planning and development. The advice was not given deliberately, but was an offhand response at the end of a short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it was not reasonable for Mr. Walia to rely on Mr. Hurst's offhand comment about speaking to council. Mr. Hurst did not say to speak to council at a council meeting. In the context of the exchange and with Mr. Walia's knowledge of Mr. Hurst's lack of involvement in his file, it cannot be construed as a "representation". Even if it is so construed, is not necessarily negligent or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concept of reasonable reliance was explained in </w:t>
      </w:r>
      <w:r>
        <w:rPr>
          <w:rFonts w:ascii="arial" w:eastAsia="arial" w:hAnsi="arial" w:cs="arial"/>
          <w:i/>
          <w:color w:val="000000"/>
          <w:sz w:val="20"/>
          <w:lang w:val="en-US" w:eastAsia="en-US" w:bidi="ar-SA"/>
        </w:rPr>
        <w:t>Micron Construction Ltd. v. Hongkong Bank of Canada</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2000 BCCA 141</w:t>
        </w:r>
      </w:hyperlink>
      <w:r>
        <w:rPr>
          <w:rFonts w:ascii="arial" w:eastAsia="arial" w:hAnsi="arial" w:cs="arial"/>
          <w:color w:val="000000"/>
          <w:sz w:val="20"/>
          <w:lang w:val="en-US" w:eastAsia="en-US" w:bidi="ar-SA"/>
        </w:rPr>
        <w:t xml:space="preserve"> at paras. 102 and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 [T]he more relevant question is whether the reliance was reasonable having regard to all of the circumstances known to and affecting both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The confusion inherent in the term "reasonable reliance" might be reduced if the term "justifiable reliance" was employed to state the test for imposing liability. That is a term which Professor Blom has employed in this context, as in this passage in his 1986-1987 article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86) at p. 283: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suggest the following general proposition, the underlying rationale of which extends beyond negligent misstatement to all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a case of negligent misstatement causing pure economic loss on a contract or other financial transaction, it is not enough that the average person would foreseeably rely on the defendant's statements. The defendant owes the plaintiff no duty of care unless a reasonably prudent and sceptical person, in the plaintiff's position, would have been led by the defendant's words or conduct to believe that he had an assurance of the defendant's taking reasonable care, equivalent in weight to the defendant's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Walia cannot establish that Mr. Hurst led him to believe that Mr. Hurst was taking reasonable care in arriving at any representation regarding communication with council. Further, Mr. Hurst did not advise Mr. Walia that he should make a presentation to the council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P.S.D. claims that the City's failure to advise him that he should not address council at its October 2, 2006 meeting was misleading. P.S.D. refers to the </w:t>
      </w:r>
      <w:r>
        <w:rPr>
          <w:rFonts w:ascii="arial" w:eastAsia="arial" w:hAnsi="arial" w:cs="arial"/>
          <w:i/>
          <w:color w:val="000000"/>
          <w:sz w:val="20"/>
          <w:lang w:val="en-US" w:eastAsia="en-US" w:bidi="ar-SA"/>
        </w:rPr>
        <w:t>Council Procedure By-law</w:t>
      </w:r>
      <w:r>
        <w:rPr>
          <w:rFonts w:ascii="arial" w:eastAsia="arial" w:hAnsi="arial" w:cs="arial"/>
          <w:color w:val="000000"/>
          <w:sz w:val="20"/>
          <w:lang w:val="en-US" w:eastAsia="en-US" w:bidi="ar-SA"/>
        </w:rPr>
        <w:t xml:space="preserve"> No. 6910 s. 15(1)(c)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Council must not permit a delegation to address a meeting of the Council regarding a by-law where a public hearing has been held as required under an enactment as a prerequisite to the adoption of the by-law ("the delegation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P.S.D. asserts that Mr. Walia was not aware of council's by-laws or procedures. He had earlier been advised by Mr. Hurst to go speak to council. P.S.D. argues that the City employees who were present at the council meeting had a duty to positively advise Mr. Walia of the potential consequence of his actions and by failing to do so they impliedly represented to Mr. Walia that he could speak to council. The purpose of the policy and the by-law, which required City employees and council to stop an individual from speaking on a matter, was to avoid exactly the type of situation that occurred here: rescission of third reading due to a procedural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Walia relies on these authorities: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House of Barrs Ltd. v. The Toronto Dominion Bank</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(1997), 43 B.C.L.R. (3d) 117</w:t>
        </w:r>
      </w:hyperlink>
      <w:r>
        <w:rPr>
          <w:rFonts w:ascii="arial" w:eastAsia="arial" w:hAnsi="arial" w:cs="arial"/>
          <w:color w:val="000000"/>
          <w:sz w:val="20"/>
          <w:lang w:val="en-US" w:eastAsia="en-US" w:bidi="ar-SA"/>
        </w:rPr>
        <w:t xml:space="preserve"> (S.C.), where the court stated (at para 27): "There is no dispute that at law a misrepresentation can be a failure to divulge material information - it being just as misleading as a positive misstatement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where the Court stated (at para. 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Undoubtedly, there will be cases such as the present one where the surrounding circumstances are such that it makes little difference, if any, how one characterizes the manner in which the representation is made, and where it would be unjust to deny recovery simply because the representation relied on is said to be implied rather than express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Spinks v. Canada</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[1996] 2 F.C. 563</w:t>
        </w:r>
      </w:hyperlink>
      <w:r>
        <w:rPr>
          <w:rFonts w:ascii="arial" w:eastAsia="arial" w:hAnsi="arial" w:cs="arial"/>
          <w:color w:val="000000"/>
          <w:sz w:val="20"/>
          <w:lang w:val="en-US" w:eastAsia="en-US" w:bidi="ar-SA"/>
        </w:rPr>
        <w:t>, where the Court of Appeal dealt with a misstatement of a government employee and set out the considerations for determining the standard of care at para. 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might emphasize that the standard of care here is that which is reasonably expected of a staffing officer in the circumstances. ... An advisor's responsibility is not one of complete or perfect disclosure. Trivia need not be mentioned. The duty rather, is one of reasonable disclosure, and what is reasonable varies according to circumstances. The mere failure to divulge is but one factor among others to be considered in deciding whether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where an advising person possesses or can easily obtain important and relevant information, and where this advising person fails to divulge this information in circumstances where economic loss is reasonably expected, the standard of care will have been breached. One of the key questions, here, is whether the supplier of information should have known that the information given or withheld was misleading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City refers to the warnings placed on the notices of public hearing published in the local newspaper and on the delegation request form that Mr. Walia completed and signed when he arrived at the October 2, 2006 council meeting before being placed on the speakers list. Mr. Walia acknowledged that he read the notice on the delegation form which warned, in bold font, "Important: you are not permitted to make a submission on any land use by-law (eg ... rezoning) after the Public Hearing for the by-law has been concluded ..." Mr. Walia said that he filled out the top half of the delegation request form and scanned the bottom of the form to see where the line was for his signature, and he signed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City argues that once Mr. Walia saw the warning on the delegation request form, it was incumbent upon him to either refrain from making submissions on the zoning amendment by-law or at least seek clarification as to what he was permitted to say. It was not reasonable to rely on his interpretation of what Mr. Hurst had commented to him on September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have already found that Mr. Walia did not justifiably rely on Mr. Hurst's statement that he could speak to council, and do not consider it as a feature of the omission. I also find that Mr. Walia either read or ignored the notice on the delegation request form. The warning was present and clear. P.S.D. has not satisfied the fourth requirement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that Mr. Walia "must have relied, in a reasonable manner, on said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P.S.D. asserts that City staff members were negligent in failing to follow the City's own policies and a by-law related to the council meeting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 municipality is immune from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the claim for damages is based on a good faith exercise of its legislative function: </w:t>
      </w:r>
      <w:r>
        <w:rPr>
          <w:rFonts w:ascii="arial" w:eastAsia="arial" w:hAnsi="arial" w:cs="arial"/>
          <w:i/>
          <w:color w:val="000000"/>
          <w:sz w:val="20"/>
          <w:lang w:val="en-US" w:eastAsia="en-US" w:bidi="ar-SA"/>
        </w:rPr>
        <w:t>Welbridge Holding Ltd. v. Winnipeg (Greater)</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at 969.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court considered both the foundation of this immunity and the distinction between government policy and the execution of policy. The court stated at para. 38:</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In our view, the exclusion of liability for policy decisions is properly regarded as an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exclusion does not relate to the relationship between the parties. Apart from the legal characterization of the government duty as a matter of policy, plaintiffs can and do recover. The exclusion of liability is better viewed as an immunity imposed because of considerations outside the relationship for policy reasons -- more precisely, because it is inappropriate for courts to second-guess elected legislators on policy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the court held that "as a general rule, the traditional tort law duty of care will apply to a government agency in the same way that it will apply to an individual ..." However, the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determined that "a government agency will be exempt from the imposition of a duty of care in situations which arise from its pure policy decisions" (at para. 28). The analysis of whether such an exemption, which has been called policy immunity, exists must precede a traditional torts analysis, even where a duty of care may be found to exist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Before engaging in a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therefore, I must consider whether an exemption by way of statute or policy-making decision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Les Enterprises Sibeca Inc. v. Municipality of Frelighsburg</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2004 SCC 61</w:t>
        </w:r>
      </w:hyperlink>
      <w:r>
        <w:rPr>
          <w:rFonts w:ascii="arial" w:eastAsia="arial" w:hAnsi="arial" w:cs="arial"/>
          <w:color w:val="000000"/>
          <w:sz w:val="20"/>
          <w:lang w:val="en-US" w:eastAsia="en-US" w:bidi="ar-SA"/>
        </w:rPr>
        <w:t>, at para. 24, the Court noted that the purpose behind allowing "considerable latitude" to elected public bodies is to ensure that political disputes are resolved as democratically as possible. The Court held that in the absence of constitutional issues, it would be "inconceivable" for the courts to interfere in the process by which municipalities perform the functions that require them to take multiple and sometimes conflicting interests into consideration. Courts may only intervene in this process if there is evidence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the Court cited Lord Wilberforce's distinction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between "policy" and "operational"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Most, indeed probably all, statutes relating to public authorities or public bodies, contain in them a large area of policy. The courts call this 'discretion' meaning that the decision is one for the authority or body to make, and not for the courts. Many statutes also prescribe or at least presuppose the practical execution of policy decisions: a convenient description of this is to say that in addition to the area of policy or discretion, there is an operational area. Although this distinction between the policy area and the operational area is convenient, and illuminating, it is probably a distinction of degree; many 'operational' powers or duties have in them some element of 'discretion.' It can safely be said that the more 'operational' a power or duty may be, the easier it is to superimpose upon it a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Atlantic Leasing Ltd. v. Newfoundland</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(1997), 164 Nfld. &amp; P.E.I.R. 119</w:t>
        </w:r>
      </w:hyperlink>
      <w:r>
        <w:rPr>
          <w:rFonts w:ascii="arial" w:eastAsia="arial" w:hAnsi="arial" w:cs="arial"/>
          <w:color w:val="000000"/>
          <w:sz w:val="20"/>
          <w:lang w:val="en-US" w:eastAsia="en-US" w:bidi="ar-SA"/>
        </w:rPr>
        <w:t xml:space="preserve"> (NL C.A.), the court discussed the distinction between policy and operational decisions (at paras. 82 and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It should also be noted that it has been observed by some writers that the policy/operational distinction has its problems and is very difficult in some cases for courts to apply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 Procedural aspects of governmental decision-making may therefore be generally regarded as "operational" where they relate to the process of implementation of other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Birch Builders Ltd. v. Esquimalt</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(1992), 66 B.C.L.R. (2d) 208</w:t>
        </w:r>
      </w:hyperlink>
      <w:r>
        <w:rPr>
          <w:rFonts w:ascii="arial" w:eastAsia="arial" w:hAnsi="arial" w:cs="arial"/>
          <w:color w:val="000000"/>
          <w:sz w:val="20"/>
          <w:lang w:val="en-US" w:eastAsia="en-US" w:bidi="ar-SA"/>
        </w:rPr>
        <w:t xml:space="preserve"> (C.A.) the court applied the distinction at paras. 15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note here that it is not pleaded by the plaintiffs that the clerk, Mr. Gray, was negligent and that the defendant municipality is liable vicariously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plea in the statement of claim is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sole reason for the invalidity of Development Permit No. 2 issued by Esquimalt to the Plaintiffs on November 14, 1988,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Esquimalt in not adopting a resolution authorizing the issuance of the Development Permit as required by Section 971 of the Municipal Act, R.S.B.C. 1979, c. 290.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on the basis of the statement of claim as it is before us, the principles enunciated in Welbridge apply to this case. That is what the Chambers judge held and with respect I agree with him. I do not think the principles enunciated by the Supreme Court of Canada in the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case apply to a case such as this where what is under attack is what, in my opinion, is the legislative function of the municipal council. The passage of the required resolution for the issuance of a development permit is a legislative function. Likewise, the failure to pass such a resolution was legislative, not operational as that concept is developed in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this case, the following statutory authority is relevant: s. 124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Procedure by-laws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(1) A council must, by by-law, establish the general procedures to be followed by council and council committees in conducting their business.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matters that may be dealt with under this section, a council must, by by-law, do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rules of procedure for council meetings, including the manner by which resolutions may be passed and the manner by which by-laws may be adopted in accordance with Division 3 </w:t>
      </w:r>
      <w:r>
        <w:rPr>
          <w:rFonts w:ascii="arial" w:eastAsia="arial" w:hAnsi="arial" w:cs="arial"/>
          <w:i/>
          <w:color w:val="000000"/>
          <w:sz w:val="20"/>
          <w:lang w:val="en-US" w:eastAsia="en-US" w:bidi="ar-SA"/>
        </w:rPr>
        <w:t>[By-law Procedures]</w:t>
      </w:r>
      <w:r>
        <w:rPr>
          <w:rFonts w:ascii="arial" w:eastAsia="arial" w:hAnsi="arial" w:cs="arial"/>
          <w:color w:val="000000"/>
          <w:sz w:val="20"/>
          <w:lang w:val="en-US" w:eastAsia="en-US" w:bidi="ar-SA"/>
        </w:rPr>
        <w:t xml:space="preserve"> of this Part;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rules of procedure for meetings of council committees;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the taking of minutes of council meetings and council committee meetings, including requiring certification of those minutes;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advance public notice respecting the time, place and date of council committee meetings and establish the procedures for giving that notice;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identify places that are to be public notice posting places for the purposes of section 94 </w:t>
      </w:r>
      <w:r>
        <w:rPr>
          <w:rFonts w:ascii="arial" w:eastAsia="arial" w:hAnsi="arial" w:cs="arial"/>
          <w:i/>
          <w:color w:val="000000"/>
          <w:sz w:val="20"/>
          <w:lang w:val="en-US" w:eastAsia="en-US" w:bidi="ar-SA"/>
        </w:rPr>
        <w:t>[public notice]</w:t>
      </w: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the procedure for designating a person under section 130 </w:t>
      </w:r>
      <w:r>
        <w:rPr>
          <w:rFonts w:ascii="arial" w:eastAsia="arial" w:hAnsi="arial" w:cs="arial"/>
          <w:i/>
          <w:color w:val="000000"/>
          <w:sz w:val="20"/>
          <w:lang w:val="en-US" w:eastAsia="en-US" w:bidi="ar-SA"/>
        </w:rPr>
        <w:t>[designation of member to act in place of the mayor]</w:t>
      </w: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the first regular council meeting date referred to in section 125 (1) </w:t>
      </w:r>
      <w:r>
        <w:rPr>
          <w:rFonts w:ascii="arial" w:eastAsia="arial" w:hAnsi="arial" w:cs="arial"/>
          <w:i/>
          <w:color w:val="000000"/>
          <w:sz w:val="20"/>
          <w:lang w:val="en-US" w:eastAsia="en-US" w:bidi="ar-SA"/>
        </w:rPr>
        <w:t>[council meetings]</w:t>
      </w:r>
      <w:r>
        <w:rPr>
          <w:rFonts w:ascii="arial" w:eastAsia="arial" w:hAnsi="arial" w:cs="arial"/>
          <w:color w:val="000000"/>
          <w:sz w:val="20"/>
          <w:lang w:val="en-US" w:eastAsia="en-US" w:bidi="ar-SA"/>
        </w:rPr>
        <w:t xml:space="preserve"> as a day in the first 10 days of December following a general local election.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by-law under this section must not be amended, or repealed and substituted, unless the council first gives notice in accordance with section 94 </w:t>
      </w:r>
      <w:r>
        <w:rPr>
          <w:rFonts w:ascii="arial" w:eastAsia="arial" w:hAnsi="arial" w:cs="arial"/>
          <w:i/>
          <w:color w:val="000000"/>
          <w:sz w:val="20"/>
          <w:lang w:val="en-US" w:eastAsia="en-US" w:bidi="ar-SA"/>
        </w:rPr>
        <w:t>[public notice]</w:t>
      </w:r>
      <w:r>
        <w:rPr>
          <w:rFonts w:ascii="arial" w:eastAsia="arial" w:hAnsi="arial" w:cs="arial"/>
          <w:color w:val="000000"/>
          <w:sz w:val="20"/>
          <w:lang w:val="en-US" w:eastAsia="en-US" w:bidi="ar-SA"/>
        </w:rPr>
        <w:t xml:space="preserve"> describing the proposed changes in general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City enacted the delegation by-law: Council Procedure By-law No. 6910, s. 15(1)(c) which provides: "Council must not permit a delegation to address a meeting of the Council regarding a by-law where a public hearing has been held as required under an enactment as a prerequisite to the adoption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P.S.D. asserts that it is challenging the manner in which certain government policies and practices were implemented. In P.S.D.'s submission, By-law No. 6910 was enacted as part of a policy decision to take steps to avoid exactly the type of situation that occurred here: rescission of third reading due to a procedural defect. P.S.D. says that council's decision not to stop Mr. Walia once he began speaking, when it became clear to the City employees and to the mayor that Mr. Walia was discussing the Windsor Hotel relocation, was an operational decision. More particularly, P.S.D. argues that the decisions of the City clerk, the mayor and Mr. Whitehead not to intervene sooner were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P.S.D. also urges that the City will not be shielded from these employees' negligent actions. While City staff may potentially be acting in a legislative capacity during the course of a council meeting, they also acted in an operational capacity while performing their employment duties not related to their legislative functions. P.S.D. refers to the case of </w:t>
      </w:r>
      <w:r>
        <w:rPr>
          <w:rFonts w:ascii="arial" w:eastAsia="arial" w:hAnsi="arial" w:cs="arial"/>
          <w:i/>
          <w:color w:val="000000"/>
          <w:sz w:val="20"/>
          <w:lang w:val="en-US" w:eastAsia="en-US" w:bidi="ar-SA"/>
        </w:rPr>
        <w:t>Harris v. Fredericton Junction</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(1993), 109 D.L.R. (4th) 115</w:t>
        </w:r>
      </w:hyperlink>
      <w:r>
        <w:rPr>
          <w:rFonts w:ascii="arial" w:eastAsia="arial" w:hAnsi="arial" w:cs="arial"/>
          <w:color w:val="000000"/>
          <w:sz w:val="20"/>
          <w:lang w:val="en-US" w:eastAsia="en-US" w:bidi="ar-SA"/>
        </w:rPr>
        <w:t xml:space="preserve"> (N.B.Q.B.), in which the court held that representations made over the course of a municipal council meeting were not legislative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this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 is that the City clerk, whose duties include the running of council meetings, failed to carry out his operational duty of stopping a delegation from speaking at a council meeting. The clerk would not be providing advice to council on by-law issues or acting in a legislative capacity at this point. Mr. Walia also asserts that the mayor and Mr. Whitehead should have prevented him from speaking to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City argues that council was acting within its legislative function at the council meeting. Its immunity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exercise of its legislative function applies to the actions of its staff. The City argues that the only way for P.S.D. to avoid the impact of this immunity to liability is to establish bad faith, which has not been pleaded and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City says that the staff members in attendance at the October 2, 2006 council meeting were directly involved in carrying out the council's legislative function. The staff members were in attendance in order to facilitate the council meeting and assist the council in hearing delegations, obtaining information relating to issues before council, and voting on proposed resolutions and by-laws. These, the City argues, are functions which are at the very core of the council's legislative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City further asserts that even if P.S.D. establishes that the City staff who attended the council meeting on October 2, 2006, had a duty to stop Mr. Walia from making statements that put the third reading of the zoning amendment by-law in jeopardy and that City staff knew or ought to have known that Mr. Walia was making these statements, any failure of the City staff to stop Mr. Walia does not destroy the City's immunity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exercise of its legislative function, unless the actions are taken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note the principle set out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and reiterated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that deference is afforded to a policy decision, but that less deference will attach to the practical execution of that policy decision. It is the practical execution of the policy decision that is described as "operational" in the case law. To phrase it another way, in imposing on one of its officials a duty to enforce one of its by-laws or resolutions, the City imposes on that employee an operational duty. Although I am mindful of the statement at para. 25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that "a true policy decision may be made at a lower level provided that the government agency establishes that it was a reasonable decision in light of the surrounding circumstances", I am of the view that such reasonable decision must nevertheless be of a policy rather than an operational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present case, the policy decision was the enactment of By-law No. 6910. The phrase "Council must not permit a delegation to address a meeting of the Council regarding a by-law where a public hearing has been held ..." imposed on Council and on City employees an operational duty to implement its policy. Accordingly, actions such as the publication of the Notices of Public Hearing on August 16 and 19, 2006, the printing of the notice regarding submissions on the delegation request form, and the actions of City employees and Council toward delegations addressing Council meetings may all be considered operational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Having determined that the decision not to stop Mr. Walia from addressing council was an operational one, I must now determine whether it was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I noted above, there are several authorities where the courts have found a duty of care between a property owner and a municipality.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the Supreme Court of Canada sets out the requirements for duty of care to exist in relation to an action against public authority: reasonable foreseeability, sufficient proximity and the absence of overriding policy that negatives or otherwise restricts the duty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this case, I find that the City did have a duty of care with regard to following its own policies and by-law with regard to the council meeting process. Harm from failure to follow such policies and the by-law is reasonably foreseeable.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the court referred to the statement in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xml:space="preserve"> that proximity would be made out where "the circumstances of the relationship inhering between P.S.D. and the defendant are of such a nature that the defendant may be said to be under an obligation to be mindful of P.S.D.'s legitimate interests in conducting his or her affairs" (at para. 49). In my view, such is the nature of the relationship between Mr. Walia and the City. Having determined that there is no overriding policy that negatives the duty, I find that a duty of care exists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P.S.D. argues City officials and employees failed to abide by their own by-law and procedures, and so breached the standard of care. P.S.D. says the evidence demonstrates that in other circumstances where a member of the public appeared to speak in regard to a by-law that had passed third reading, the City council or its employees took steps to stop the person from doing so. The failure of the City to abide by its own standard practices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contrast, the City argues that it took reasonable steps to advise the public, including Mr. Walia, of the limitation on speaking to a by-law that had passed third reading, in its notices in the newspaper and its warnings on the delegation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standard practice of the City in executing its policy, as stated in By-law No. 6910, not to permit delegations to speak on matters that had passed public hearing and third reading, appears to have been to inform the public about the policy through publication in the newspaper and on the delegation request form. In addition, City council members and employees would stop members of the public from speaking with regard to a by-law that had passed third reading, where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it appears that the City abided by its standard practice. P.S.D. does not argue that its practice is below the standard of care. Notices were published in the newspaper, the delegation request form which Mr. Walia filled out contained a warning not to speak on a matter that had passed third reading, and council members did stop Mr. Walia once he began to speak about the by-law. It is unfortunate that they did not stop him before the public hearing process was compromised, but in my view this is insufficient to establish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Having determined that there was no breach of the standard of care, I cannot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P.S.D. has not satisfied me that the City engaged in negligent 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dealings with Mr. Walia or P.S.D. It is unnecessary to consider P.S.D.'s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action is dismissed. Unless there are matters of which I am unaware, the City is entitled to costs at Scale B. If they wish, the parties can make submission in respect of costs and may arrange to do so through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Rafiki Properties Ltd. v. Integrated Housing Development Ltd., [2000] B.C.J. No. 1061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1 - 4, 8 - 12, 15 - 19, 22 - 26,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29 - April 1, April 26 - 30, May 3 - 5, 10 - 14,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5 - 6 and August 31,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C972889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C.L.R. (3d)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962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Rafiki Properties Limited, plaintiff, and Integrated Housing Development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25"/>
      <w:bookmarkEnd w:id="175"/>
      <w:r>
        <w:rPr>
          <w:rFonts w:ascii="arial" w:eastAsia="arial" w:hAnsi="arial" w:cs="arial"/>
          <w:b/>
          <w:color w:val="000000"/>
          <w:sz w:val="20"/>
          <w:lang w:val="en-US" w:eastAsia="en-US" w:bidi="ar-SA"/>
        </w:rPr>
        <w:t xml:space="preserve">Building contracts — The contract — Plans and specifications — Liability of development manager — Breach — What constitutes a breach — Fraud and misrepresentation — Misrepresentation — Negligent advice — Inducing contractual relations — Elements of liability — Representations, particular statements — Opinions and estimates — Defences — Agreement excluding liability — Lack of reliance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to owner — Duty respecting budget — Duty to supervise performance by subcontractor — Lack of skilful performance of contract — Payment — Extras — Determination of amount of compensation — For changed conditions — Measure of compensation.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23"/>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Rafiki Properties against Integrated Housing Development for damages for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 of contract. Rafiki owned and operated several hotels. It acquired a property upon which it intended to construct a hotel. Integrated was the development manager. It was responsible for the acquisition of this property and the construction of the hotel. There were several agreements between the parties. Oral agreements were followed by a letter of intent in November 1995. The parties proceeded with the project after they signed an agreement in April 1996. This agreement stated that the parties' rights and obligations were only contractual. The parties agreed that the hotel was to be built to the specifications of a three-star hotel. Integrated was required to provide the completed hotel at a cost of $10,176,000, plus necessary adjustments. Its fee was $825,000. Rafiki became distrustful of Integrated during the term of the agreement. Rafiki contracted with Olson, a construction company, to build the hotel. Construction began in September 1996. The completed hotel was turned over to Rafiki on July 15, 1997. Integrated only received $399,000 of its fee. Rafiki claimed that Integrated misrepresented the amount of experience it had with this type of project. It submitted that Integrated misrepresented the completeness of the plans and specifications that were referred to in the April 1996 agreement. Integrated also represented that the construction drawings would not materially vary from those issued for tender purposes. Rafiki would not have entered the contract with Olson if it was aware of the significant cost increases necessitated by the changes. Rafiki alleged that Integrated owed a duty to exercise reasonable care and diligence in the development and supervision of the project. Rafiki argued that Integrated breached this duty. It failed to provide a budget that accurately reflected project costs. It failed to provide critical information to consultants and to Olson. It also failed to organize and supervise a competitive tendering process. This resulted in its failure to obtain the lowest reasonable construction price. Integrated also failed to cooperate with Olson. Rafiki claimed that Integrated was liable for development costs and an air conditioning downgrade. The units provided were cheaper. However, they were not the units that Rafiki wanted. The contract did not specify which type of units were to be provided. Rafiki also claimed that Integrated was responsible for a 20-day delay in substantial completion of the hotel. Rafiki never questioned the development costs when it was informed about them and was provided with supporting documentation. Also at issue was who was responsible for extra construction costs that resulted from change orders. The total cost of the work that resulted from the change orders was $939,000. There were also extras of $169,000 apart from the change orders.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7" w:name="Holdings of Court_20"/>
            <w:bookmarkEnd w:id="17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Rafiki was awarded $216,000. The limitation period in the April 1996 agreement did not bar Rafiki's claim in fraudulent or negligent misrepresentation. However,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could not proceed in tort. They were based on the contract. Integrated was not liable for breach of contract. Integrated failed to disclose extras known to it when it prepared the original budget. However, Rafiki was aware that many items were not covered. Integrated failed to disclose the true nature of the increased costs that resulted from the construction documents. Rafiki would have proceeded even if these costs were known. No damages resulted from the lack of cooperation between Integrated and Olson. The claims for misrepresentation also failed. Integrated provided accurate information about its qualifications to perform the contract. Integrated did not misrepresent the accuracy of the plans and specifications. Rafiki knew that they were incomplete. It also did not prove that Integrated misrepresented the additional costs occasioned by the construction drawings. Rafiki would have entered into this contract even if the alleged misrepresentations had been made. It was too late for Rafiki to complain about the development costs. It did not suffer damages from the cheaper air conditioning units that were provided. Integrated was not responsible for any breach of duty or contractual breach that delayed the hotel's completion. Rafiki was responsible to pay for $246,000 of the work generated by the change orders. Integrated was responsible for $693,000. Rafiki was responsible for an additional $122,000 in extra work. The adjustments that had to be added to the contract price totalled $436,000. These costs were Rafiki's responsibility. The total cost to Rafiki was $10,612,000. The final cost of the hotel was $11,254,000. Integrated would have been obligated to pay Rafiki the overrun of $642,000. This was reduced to $216,000 because of the unpaid fees owed to Integrated.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8" w:name="Legislation Cited_20"/>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 s. 4.</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A Corrigendum was released October 16, 2000. See </w:t>
            </w:r>
            <w:hyperlink r:id="rId562" w:history="1">
              <w:r>
                <w:rPr>
                  <w:rFonts w:ascii="arial" w:eastAsia="arial" w:hAnsi="arial" w:cs="arial"/>
                  <w:i/>
                  <w:color w:val="0077CC"/>
                  <w:sz w:val="18"/>
                  <w:u w:val="single"/>
                  <w:shd w:val="clear" w:color="auto" w:fill="FFFFFF"/>
                  <w:lang w:val="en-US" w:eastAsia="en-US" w:bidi="ar-SA"/>
                </w:rPr>
                <w:t>[2000] B.C.J. No. 2085</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Counsel_26"/>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F.G. Fox, for the plaintiff. W.E. Knutson and M. Braidwood,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6"/>
      <w:bookmarkEnd w:id="180"/>
      <w:r>
        <w:pict>
          <v:line id="_x0000_s1157"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CLANCY J."/>
            <w:bookmarkEnd w:id="181"/>
            <w:r>
              <w:rPr>
                <w:rFonts w:ascii="arial" w:eastAsia="arial" w:hAnsi="arial" w:cs="arial"/>
                <w:b/>
                <w:color w:val="000000"/>
                <w:sz w:val="30"/>
                <w:lang w:val="en-US" w:eastAsia="en-US" w:bidi="ar-SA"/>
              </w:rPr>
              <w:t>CLANCY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What were the enforceable terms of the contract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between the parties?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On what financial basis was the Project to be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constructed?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What was the scope of the Project?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Did the release from liability, by Rafiki, of the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contractor, operate as a release of Integrated?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Is Integrated liable to Rafiki for negligent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Is Integrated liable to Rafiki for breach of</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value of development costs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air conditioning downgrade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Delay of the Project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Who is responsible for increased costs covered by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A-1 - $8,997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A-2 - $4,725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A-3 - $3,821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A-4 - $20,610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Clotheslines for the hotel rooms - $3,467.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Sanitary napkin containers and robe hooks for the public washrooms - $378.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Bi-fold door for the Elks Office - $147.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144 bi-fold doors changed from wood to mirror - $7,100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Tile to west end of south elevation and to Drake Street entry floor and servery - $2,232.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The breakfast bar - $950.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A-5 - $18,500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A-6 - $140,017.50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A-7 - $97,289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A-8 - $5,990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A-9 - $49,479.29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Added security conduit and box system - $8,472.99.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Conduit for additional telephone outlets - $20,106.30.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Other Changes (not included in security and telephone) - $14,500.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Telephone Pre-wiring - $6,400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A-10 - $1,921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A-11 - $529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A-12 - $5,397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A-13 - $5,750.64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A-14 - $1,041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A-16 - $10,019.30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A-17 - $6,307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A-18 - $1,104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A-19 - $13,653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A-20 - $45,000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A-21 - $1,634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A-22 - $1,263.47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A-23 - $849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A-24 - $1,416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A-25 - $5,833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A-26 - $419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A-27 - $786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A-28 - $10,162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A-29 - $330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A-30 - $1,213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A-31 - $4,686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A-32 - $3,070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A-33 - $765 (CR)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A-34 - $15,585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A-35 - $766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A-36 - $60,905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A-37 - $5,987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A-38 - $348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A-39 - $8,939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A-40 - $1,103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A-41 - $4,649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A-42 - $36,765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A-43 - $38,662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A-44 - $5,909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A-45 - $8,575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A-46 - $4,004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A-47 - $3,338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A-48 - $1,599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A-49 - $507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A-50 - $10,544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A-51 - $76,064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A-52 - $10,957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A-53 - $10,712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A-54 - $2,620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A-55 - $6,710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A-56 - $3,010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A-57 - $2,876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A-58 - $3,969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A-59 - $3,810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A-60 - $3,712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A-61 - $2,106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A-62 - $2,778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A-63 - Final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A-063-I-017 - $16,768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A-063-I-019 - $17,485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A-063-I-029 - $8,581.71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A-063-I-063 - $11,042 (CR)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A-063-I-067 - $633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A-063-I-074 - $364.30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A-063-I-078 - $8,706.12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A-063-I-079 - $2093.77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A-063-I-088 - $760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A-063-I-097 - $899.56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A-063-I-098 - $2,100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A-063-I-100 - $771.53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A-063-I-115 - $1,114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A-063-I-126 - $2,241.97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A-063-I-127 - $1,868.20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A-063-I-131 - $715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A-063-I-136 - $1,187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A-063-I-147 - $3,679.58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A-063-I-154 - $783.54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A-063-I-155 - $4,049.31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A-063-I-157 - $1,800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A-063-I-166 - $6,733.96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A-063-I-168 - $3,031.93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A-063-I-169 - $3,120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A-063-I-172 - $4,106.34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A-063-I-179 - $7,393.64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A-063-I-188 - $3,121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A-063-I-196 - $6,918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A-063-I-199 - $5,052.12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A-063-I-201 - $19,710.58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A-063-I-207 - $872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A-063-I-212 - $721.53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A-063-I-215 - $7,919 (CR)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A-063-I-217 - $360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A-063-I-218 - $580.06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A-063-I-219 - $925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Stuart Olson's Work</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A-063-I-019 - $6,929.48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A-063-I-029 - $5,661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A-063-I-067 - $633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A-063-I-066 - $497.48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 Order A-063-I-196 - $696.18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Summary - Change Orders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Who is responsible for the cost of extras other than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those covered by Change Orders?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$169,000 list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Vinyl wall covering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Suite Entry Locks (Ving Card)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Crown moulding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Gas fireplace in the lobby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Kitchenettes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Carpet Upgrade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Communicating Doors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Lighting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Glass entry doors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Miscellaneous Extras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Premium for Air Conditioning Units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Mirrored Elevators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Painted Stairways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Extra Plugs in Hotel Rooms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Five Handicapped Rooms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Extra Hot Water Tank</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Beyer-Brown Services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Beyer-Brown Extra</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Additional Payment to Architect for Inspections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Legal Expenses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In what amount, if any, is Rafiki responsible for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disputed post-Draw 17 costs?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Change Order 64 - Exterior Post Lights - $3,660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Mechanical and Electrical Additions - $28,097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Del Industries' Invoice - $12,568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EIFS Testing by B.C. Building Sciences - $6,600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Supply of Exercise Equipment - $13,302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Hook-up of Hydro and Water Meter - $1,411.22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 Telephone and T.V. Hook-ups - $14,694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Is Rafiki Liable to Integrated for Breach of</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Rafiki Properties Limited ("Rafiki") is the owner of hotel property located at the corner of Granville and Drake Streets in Vancouver. The property on which the hotel is located was acquired from the Vancouver Elks Lodge No. 1 ("Elks Lodge"). The hotel was constructed in 1996 and 1997. It opened on July 15, 1997. Integrated Housing Development Ltd. ("Integrated") was the development manager responsible for the acquisition of the property and the construction of the hotel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Rafiki now alleges that Integrated made false representations which induced it to enter into the purchase agreement with the Elks Lodge and into the management agreement with Integrated. It further advances, against Integrated, claims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 of contract. It brings this action to recover those alleged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Integrated denies the allegations of Rafiki and accuses it of breach of contract. In particular, Integrated alleges that Rafiki failed to make payments when due, failed to cooperate and interfered with the exercise of Integrated's responsibilities. It counterclaims for a lien against the hotel and for monies it alleges remain due under its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Rafiki owns and operates a number of hotels in the Greater Vancouver and Victoria areas. Its principal shareholder is Akber Kassam and its general manager is Zahir (Zack) Bhatia.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Integrated was incorporated in April 1994. Its principal shareholders, officers and directors are Abe Ligumsky and Thomas Ivanore.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1995, Integrated reached an agreement with the Elks Lodge to develop the property at the corner of Granville and Drake Streets as a combination clubhouse facility and high rise residential building (the "Elks Lodge Residential Project"). Integrated arranged for architectural drawings and a tentative agreement to construct the building was entered into with Stuart Olson Constructors Inc. ("Stuart Olson"). Construction was not to begin until sufficient pre-sales of residential units made the project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Sales did not go well and, in late October or early November 1995, Mr. Kassam and Mr. Bhatia discussed the possible purchase of the property and its development as a hotel with Mr. Ligumsky and Mr. Ivanore. On November 17, 1995, Rafiki and Integrated signed a letter of intent under the terms of which Rafiki was to pay Integrated $10,000.00 to "complete a feasibility study, plans, schedule and cash flow to allow a hotel to be built on the above site" (the "Letter of Intent"). That study was to be completed within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Rafiki paid the $10,000 and eight days later, on November 24, 1995, Integrated had completed the feasibility study. It wrote to Rafiki on that date and advised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pleased to inform you that we have completed the design and cost analysis of the hotel project as per our letter dated Nov. 16/95 (sic - the letter is dated Nov. 17/95).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144 rooms, averaging 330 sq.ft. per room, lobby, breakfast room, public washroom, elevators, amenity room and a minimum of 73 parking stalls we have arrived at a turnkey cost of $12,150,584 including the Elks space of approx. 4000 sq.ft. The Elks space has a cost of $800,000 and therefore the net turnkey cost to you is $11,310,584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ie.</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Cost</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$11,350,000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"November 24, 1995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agree that the turnkey cost of $11,310,584 referred to in that letter was an error. The cost intended to be shown was the net cost of $11,350,000. Attached to the November 24, 1995 Letter was a pro forma budget and certain specifications and drawings. The total cost was shown in the budget as $11,350,584.00. The parties agreed to proceed and to enter into a mutually satisfactory agreement by December 21,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They signed a written agreement on December 11, 1995 (the "December 1995 Agreement") which called for the construction of a mixed use development, comprising a clubhouse facility for the Elks Lodge and a 144 room strata-titled hotel (the "Project"). Rafiki retained the services of Integrated to act as project manager for the Project. When Rafiki had made its financial arrangements, Integrated was to proceed with the project. The December 1995 Agreement referred to plans, specifications and a pro forma budget as attachments to the agreement. In fact, none of the documents were attached. The parties agree that the plans in existence at that time were preliminary drawings prepared by the architects in November 1995 and revised on December 3, 1995. The specifications were contained in a separate binder which was initialled by the parties when the December 1995 Agreement was signed and the pro forma budget was understood to be the budget attached to the November 24, 1995 Letter. In addition to those documents, a further document entitled "Scope of Work and Specifications" had been prepared and amended by Integrated (the "Scope of Work Document"). Both parties and the contractors interested in bidding on the Project had seen that document but it had not been initialled by Rafiki or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agree that they understood that the hotel was to be built to the typical specifications and standards of a 3-star internationally franchised hotel such as Holiday Inn Express or Best Western. There is a dispute as to whether Holiday Inn specifications were delivered by Rafiki to Integrated. I find that Rafiki has failed to establish that specifications were provided. What was delivered by Rafiki before construction began was a document produced by Holiday Inn Express entitled "New Construction Prototype Information". It can be described as a brochure of photographs and plans with some general finishing details. It lacks specifics in respect of 3-star specifications and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Much later, after construction was well underway, Rafiki did provide to Integrated a document entitled "Hampton Inn Section I II III Building and Furnishing Standards". That document provides details of Hampton Inn standards. On the evidence, I find that Hampton Inn hotels are constructed to a 3-star standard, but at the upper end of the range of that grade of hotel. These standards may be of assistance but are not necessarily the standards expected in all 3-star hotels. That is obvious from the evidence. Depending on which evidence is to be accepted, adherence to the Hampton Inn specifications involved an increase in costs of $61,000 or $121,000 over the standard contemplated by Integrated. I need not resolve that dispute. It is sufficient to find, as I do, that there was no agreement that construction standards would meet Hampton Inn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11, 1995, Rafiki also entered into a contract with the Elks Lodge to pay $1,989,000 for the property and the "benefit of and right to use all development plans and studies prepared to date in respect of the lands" (the "Elks Lodge Contract"). In the Elks Lodge Contract, a value of $389,000 was assigned to development plans and a value of $1,600,000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Rafiki proceeded to seek financing for the Project. It encountered delays and on two occasions asked for and obtained time extensions from the Elks Lodge. In order to secure these extensions, Rafiki agreed with the Elks Lodge that, if the Project did not go forward, it would purchase condominium units in the Elks Lodge Residential Project. To obtain the first extension, it agreed to purchase 40 units and to obtain the second extension, it agreed to purchase an additional 13 units, for a total of 53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February, an agreement amending the December 1995 Agreement was signed (the "February Agreement"). It provided for holdback provisions which had not previously been included in the December 1995 Agreement. This was done at the request of the Manager of the Royal Bank with whom Rafiki was negotiating its financing. The amendment further clarified that substantial completion was to include the obtaining of an occupancy permit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26, 1996, the Royal Bank approved the financing arrangements subject to certain conditions, including a provision that the proposed hotel was to be franchised or flagged with an internationally recognized franchise organization such as Holiday 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early March, a number of disputes which had arisen between the parties proved impossible to resolve. The true value of the Elks Lodge plans and studies became an area of dispute. Responsibility for development cost charges had become such a serious issue that Mr. Bhatia no longer trusted Mr. Ligumsky. Issues such as carpet quality could not be settled. Rafiki decided to cancel the December 1995 Agreement and advised the Elks Lodge, through its solicitors, that it had decided to proceed instead with the acquisition of 53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12, 1996, Integrated requested the return of drawings, a model, photographs and invoices in respect of the Project. Integrated complied and Rafiki made the required payment for 53 units in the condominium development by certified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Over the next few days there were discussions between Mr. Ivanore and Mr. Bhatia aimed at continuing with the Project but no agreement was reached. The project remained dormant until April when Mr. Ivanore spoke to Mr. Bhatia about reviving it. He confirmed that Integrated was now prepared to resolve the disagreement over development cost charges by removing them from the budgeted line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Rafiki then agreed to consider an offer from the Elks Lodge. That offer was forthcoming and after further negotiations with Mr. Ivanore, Mr. Bhatia agreed to enter into a new arrangement for the construction of the hotel. At this time he said he was happy to deal with Mr. Ivanore but refused to deal with Mr. Ligumsky because of the dispute over development cost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22, 1996 a new agreement between Rafiki and Integrated was signed (the "April 1996 Agreement"). It contained changes but essentially it mirrored the December 1995 Agreement. Further changes were made in May 1996. At that time, a reference to Integrated being the agent of Rafiki was deleted and there were other minor housekeeping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April 1996 Agreement provided for the retention of the services of Integrated as project manager "in connection with the development and construction of the project upon the Lands on a turnkey basis. . . ". Integrated warranted and represented "that the project can be constructed in accordance with the plans and specifications for the amount shown in the pro forma budget. . .". The pro forma budget and cash flow projection was attached to the agreement. The budgeted cost of the project was $10,176,000.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both the April 1996 Agreement and the December 1995 Agreement, there was a reference to plans and specifications attached but there were no attachments. Instead, as stated earlier, in connection with the December 1995 Agreement, the specifications were contained in a special binder initialled by the parties. The most recent plans had been prepared on December 3, 1995 but they were not attached to the December 1995 Agreement. No new plans and specifications had been prepared by April 1996. It is common ground between the parties that the specifications initialled in December were made a part of the April 1996 Agreement and the reference to plans was to plans then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 forma budget and cash flow projection attached to the April 1996 Agreement differed from the budget contained in the December 1995 Agreement in only six particulars. The transfer tax was increased on the advice of solicitors, hard costs were decreased, structural engineering fees were increased and the development cost charges, real estate commissions and interest charges were all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25, 1996, title to the property was transferred from the Elks Lodge to Rafiki. The stated market value was shown as $1,600,000. No new agreement setting out terms of the sale was produced but that figure is consistent with the prior agreement of the parties which stipulated that the sale price of the property would be $1,989,000 made up of the land valued at $1,600,000 and $389,000 in development costs made up of accounts previously paid by the Elks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early May, Mr. Bhatia had become distrustful of Mr. Ivanore. He retained the services of Helyar Limited, construction cost consultants, to assist him because he said he did not understand how to read specifications. Helyar was to monitor the work of Integrated for Mr. Bhatia. When Mr. Bhatia told Mr. Ivanore of his decision to retain Helyar, Mr. Ivanore felt that was unnecessary. Mr. Bhatia insisted and asked Mr. Ivanore to forward all documents to Helyar. Mr. Bhatia agreed that Rafiki would be responsible for Helyar's fees. The presence of Helyar was a source of many disagreements and Mr. Bhatia eventually dismissed that company in January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Gomberoff, Policzer, architects, had been retained in connection with the Elks Lodge Residential Project. Integrated continued that retainer for the design and construction of the hotel. The hotel plans were incomplete when the April Agreement was executed. The plans had still not been completed by May 1996 when the Project was put out for tender. Tenders based on the incomplete design were opened on July 3, 1996. The low bid of Stuart Olson in the amount of $6,889,000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period July and August 1996, and before a contract with Stuart Olson was signed, Mr. Bhatia's distrust of Integrated grew. Many arguments resulted which hampered the ability of the parties to cooperate. On July 10th, Rafiki's solicitor wrote to the solicitor for Integrated and referred to the increased bickering. He suggested that a contractor be chosen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parties understood that a June 1997 completion date was critical for Rafiki's purposes. Despite their disagreements, a separate contract was, therefore, given to Pacific Blasting for excavation and shoring work. That work was completed during July and August 1996. The cost to Rafiki was $341,622. The parties continued to argue during that period. Rafiki felt that Integrated was delaying the work. Rafiki wrote to Integrated threatening to terminate the contract if it continued to cause delay and refuse to have timely meetings. It was clear that the parties were not getting along over the summer and into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construction contract with Stuart Olson was eventually signed. It is dated September 10, 1996 but was signed a few days later. The architectural drawings had still not been completed when the contract was executed. Shortly after that, the architect finished the drawings. There is a dispute over the date but I find that the completed plans were delivered to Stuart Olson on September 23,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Construction began in September 1996 and, despite many further disputes, the Project was completed. It was turned over to Rafiki for occupancy on July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completed hotel consisted of 143 rooms and a penthouse. Despite the evidence of a land surveyor called to provide the information, it is difficult to compare what was delivered with what was intended to be built is difficult. It can safely be said that the Letter of Intent contemplated a considerably larger structure. I find that little turns on the reduction in size. It is apparent that Rafiki and Integrated agreed on changes as construction proceeded. No claim has been advanced for damages based on a reduction in the size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are many outstanding matters which the parties have been unable to resolve. Those disputes have given rise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33a</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enforceable terms of the contract between the parties?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financial basis was the Project to be constructed?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the Project?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release from liability by Rafiki, of the contractor, operate as a release of Integrated?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Integrated liable to Rafiki for negligent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Integrated liable to Rafiki for breach of contract?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increased costs covered by Change Orders?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cost of extras other than those covered by Change Orders?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what amount, if any, is Rafiki responsible for post-Draw 17 costs?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Rafiki liable to Integrated for breach of contract? (The Counterclaim)</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paragraph the issues. Quicklaw has assigned the number 33a.]</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enforceable terms of the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Later in these reasons, a number of specific determinations will be required as to the obligations of the parties under the contract. Before those determinations can be made, a general understanding of what comprised the terms of the contract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submissions of both parties were premised on the understanding that the April 1996 Agreement was not the whole contract between the parties. To ascertain the terms of the contract between them, it is necessary to refer to oral agreements, other documents, plans and specifications. That understanding is consistent with the general principles of law governing construction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Some principles of law relating to owners and contractors are summarized in I.N. Duncan Wallace, Q.C., Hudson's Building and Engineering Contracts, vol. 1, 11th ed.: (London: Sweet &amp; Maxwell, 1995). I see no reason why those principles should not be applied to the owner and development manager relationship before me. The following statements are particularly important: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will not, to supplement such inadequacies, make the bargain for the parties, nor speculate as to their intention, however probable. This certainty or precision needed to bring a binding contract into existence may be compared with the high degree of certainty required before the courts will agree to imply a term into an existing binding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 necessary requirement that an agreement, in order to be binding, must be sufficiently definite to enable the court to give it a practical meaning. Its terms must be so definite, or capable of being made definite without further agreement of the parties, that the promises and performances to be rendered by each party are reasonably certain." [Scammel v. Ouston, [1941] A.C. 251, at p. 268 per Lord Wright]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mentioned, however, mere absence of an agreement as to price will not be an obstacle if the remaining terms or circumstances show an intention to pay and be paid. (p.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the case of commercial contracts, the courts are loth to hold that there is no binding contract, particularly if the parties have partially performed their promises as if their agreement was binding. "In commercial documents connected with dealings in a trade with which the parties are familiar the court is very willing, if satisfied that the parties thought that they made a binding contract, to imply terms and, in particular, terms as to the method of carrying out the contract, which it would be impossible to supply in other kinds of contract" [Scammel v. Ouston, supra, at p. 255 per Lord Maugham]. "The object of the law of contract is to facilitate the transactions of commercial men and not to create obstacles in the way of solving practical problems." [R. &amp; J. Dempster Ltd. v. Motherwell Bridge and Engineering 1964 s.C. 308, Scotland, per Lord Guthrie] (p.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express terms in a contract are unlikely, except in the most meticulously and comprehensively drafted contracts, to be the final measure of the obligations of the parties, and even in traditional sophisticated contracts it is remarkable how vitally important matters such as design responsibility, the precise extent of the contractor's completion obligation and the intended legal effect of the A/E's approval, satisfaction or certificates are left for implication. It has already been seen that, where work is carried out at the request of the building owner, and no price is mentioned between the parties, then the law will imply a term that a reasonable price should be paid for it. This, of course, is only likely to occur in an unusually informal, and probably not very substantial, building contract. But many other terms can be and are implied in all contracts, and an important part of the specialised law of contract in any particular field consists of the terms which the courts will usually imply, in contracts in that field. (p. 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other more difficult class of case a term will only be implied if it is essential to do so in order to give the contract what has been called "business efficacy." This means that the courts will not imply terms merely to make the contract more reasonable in its consequences. They will only imply a term if, without it, the contract would be commercially unworkable. (p. 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necessary qualifications for a term to be implied have been well summarised in the High Court of Australia:</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reasonable and equitable;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necessary to give business efficacy to the contract, so that no term will be implied if the contract is effective without it;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so obvious that it 'goes without saying';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capable of clear expression;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not contradict any express term of the contract." [B.P. Refinery (Western Port) Pty. Ltd. v. Hastings Shire Council (1978) 52 A.L.J.R. 20] (p.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all the circumstances and background and all the express terms of a contract need to be carefully examined before a term can be implied, and it follows that every case must be determined in the light of its own particular facts and language. (p.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above warning in mind, some of the more important terms usually implied in building contracts may be mentioned. (p. 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first place, in traditional construction projects administered by the owner's A/E, it is clear that over a comparatively long period of time there will need to be a high degree of co-operation between the A/E and the contractor . . . (p. 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particular background to construction contracts gives unusual practical importance to two correlative and generalised implied terms. One, sometimes called the prevention principle, is to the effect that neither party shall do anything to hinder the other from performing the contract. The other is an implied positive obligation to do anything which may be necessary to enable the other to perform his obligations. (p. 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already been noted that a range of implied obligations as to design or quality will apply to such contracts, which are closely allied to their counterparts in the law of sale of goods. Thus there will usually be implied terms that materials and workmanship shall be of a proper standard or quality, and this even where the owner has not relied on the contractor but has selected a named product with only one manufacturer. (p.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parties began their relationship with oral discussions during which a number of agreements were reached. Chief among them was an agreement that, if the project was shown to be feasible and the terms could be agreed upon, Integrated would develop the Elks Lodge property as a hotel for Rafiki. The evidence of Mr. Bhatia, Mr. Ligumsky and Mr. Ivanore, together with references in some of the documents, persuades me that all parties contemplated construction of a 3-star hotel, similar in quality to a Holiday Inn Express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discussions were followed by the Letter of Intent dated November 17, 1995. It provided, inter alia, for Integrated to complete a feasibility study which would allow the hotel to be built for a price of $11,600,000. That figure was superceded by the November 24, 1995 Letter of Intent which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November 24, 1995 Letter from Integrated to Rafiki advised that the turnkey cost of the hotel and Elks Lodge space was $12,150,584. The cost to the Elks Lodge was to be $800,000, leaving a net cost to Rafiki of $11,350,000. When that letter was signed, Integrated was to instruct solicitors to prepare a formal agreement. Attached to the letter were brief specifications and a pro forma budget showing the total cost to Rafiki at $11,350,584. Also attached were a construction schedule, cash flow projections and rudimentary preliminary drawings. The parties signed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November 24, 1995 Letter was followed by the December 1995 Agreement. As stated earlier, that agreement was eventually abandoned and, after further negotiation, was replaced by the April 1996 Agreement. For the most part, the December 1995 and the April 1996 Agreement contained the same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under the terms of the April 1996 Agreement that the parties proceeded with the Project. Those terms must govern their relationship but it is apparent that the April 1996 Agreement does not contain the entire agreement between the parties. Reference must be made to the oral agreements, the Letter of Intent, the November 24, 1995 Letter, some of the provisions of the December 1995 Agreement, other documents, the plans and specifications subsequently developed both for tender and for construction and, to some extent, the provisions of the agreements with the architect and construction contractor. Terms may also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April 1996 Agreement calls for the construction and development of lands purchased from the Elks Lodge: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erecting a mixed use development comprising of a club house facility (the "Elks Facility") of 4,000 sq. ft. for the Vancouver Elks Lodge No. 1 and a 144 rooms strata-titled hotel as described in the Plans and Specifications set out in Schedule "A" (all of which is hereinafter referred to as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Development Manager warrants and represents that the Project can be constructed in accordance with the Plans and Specifications for the amount shown in te pro-forma budget (the "Budget") attached hereto as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 forma budget attached as Schedule "B" provided for a cost of $10,176,000.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Unfortunately, Schedule "A" did not exist. The only plans in existence were rudimentary in nature, a fact which was known to both parties. The specifications were not attached but both parties understood that specifications which had been initialled when the December 1995 Agreement was signed were to be applicable to the April 1996 Agreement. The plans were to be developed by the architects after April 1996. In their final form, the plans were eventually produced on September 23,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specifications attached to the December 1995 Agreement and adopted for use in the April 1996 Agreement were necessarily incomplete. The architect and subcontractors could not address the specifications without completed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parties also worked from the Scope of Work Document. In its original form, it was prepared by Integrated but it underwent a number of revisions after Integrated obtained input from others, including Stuart Olson. It is uncertain whether a version of that document was included as part of the specifications in the December 1995 Agreement, but whether or not it was attached to the agreement, it was considered by the parties to be a part of the agreement and, by inference, it was made part of the April 1996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Evidence of the oral agreements made part of the contract is found in the testimony of the parties, the minutes of site meetings, materials relating to the requirements of a franchise hotel delivered by Rafiki to Integrated and various other memoranda.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in order to understand the contractual arrangements between the parties, it is necessary to incorporate by inference some of the provisions of the contracts with the architect, the construction contractor and the subcontractors. None of those entities were made a party to this action and Rafiki specifically released the architect and Stuart Olson from any claims Rafiki might have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the contract between the parties and the obligations they owed to each other are to be found in the April 1996 Agreement and the pro forma budget attached, the plans of September 23, 1996, the specifications attached to the December 1995 Agreement as subsequently amended, the Scope of Work Document which existed at the time of entering into the December 1995 Agreement which was subsequently amended from time to time and oral agreements made between the parties as evidenced by their testimony and other documentary evidence. In determining the obligations of the parties, further reference must be made to the contractual obligations of the architect, the construction contractor and the subcontractors.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financial basis was the Project to be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April 1996 Agreement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wishes to retain the services of the Development Manager to act as the project manager in connection with the development and construction of the Project upon the Lands on a turnkey basis and to assist the Developer in performing the terms and conditions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a number of other references to construction on a turnkey basis in earlier documents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 forma budget gives a cost of $10,176,000. Neither party takes the position that the references to turnkey mean that the completed hotel was to be delivered for a fixed price of $10,176,000. Both parties acknowledge that because the plans and specifications were incomplete, there would necessarily be adjustments to the budgeted price when the final accounting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fair to say that both parties accept that the construction was to be completed on a "modified" turnkey basis, that is, the hotel was to be built for $10,176,000 plus necessary adjustments to the budgeted price. Those adjustments were to depend on whether or not what was constructed was provided within or outside the scope of the Project. If, in the end, what was provided was within the scope of the Project but not included in the budget, the increase in cost was to be borne by Integrated. If an adjustment in the price was made necessary by provision of an item which was not in the budget nor within the scope of the Project, Rafiki was to bear that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April 1996 Agreement contained this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and the Development Manager shall cooperate in finalizing the Plans and Specifications to reasonably ensure that the Project can be completed for not more than the approved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can be no disagreement that each party was contractually obligated to cooperate with the other in bringing the Project to completion on budget, with necessary adjustments. There are many specific areas of dispute over adjustments to the contract price which will be addressed in the discussion of Change Orders and extras. There is, however, one general dispute which should be resolved as a 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Rafiki concedes that it was always responsible for "F.F. &amp; E." It defines that term as meaning furniture, fixtures and equipment. Mr. Ivanore, in his evidence, insisted that the term stood for "furniture, finishings and equipment." Integrated takes the position that, pursuant to the November 24, 1995 Letter, it was to construct the hotel, exclusive of "furnishing, finishings and equipment." As specifications were refined, the agreement would continue to evolve with respect to "hard costs" only. The evidence does not support that position. Integrated attached draft specifications for the hotel, dated November 1995 to the November 24, 1995 Letter to Rafiki. That draft excluded "furniture/fixtures and equipment cost and fees." There is no reference to "finishings".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further contention of Integrated is that interior design was a matter uniquely within Rafiki's control. That contention is based on the allegation that Rafiki willingly inherited all of the consultants from the Elks Lodge Residential Project except for the interior design consultant and that Rafiki had made its own arrangements with Beyer-Brown &amp; Associates Ltd. to consult on interior design. In Integrated's submission, Rafiki was the hotel expert and was required to participate in the development of the Project, within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Again, the evidence simply does not support that contention. Whether or not Integrated made negligent misrepresentations as to its expertise, there is no doubt that it purported to have expertise in hotel construction. Mr. Ivanore accepted Beyer-Brown as the interior design consultant without objection. He incorporated their suggestions into the hotel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Adam Policzer, the architect for the Project, when testifying concerning drapery tracks, stated that it was up to Beyer-Brown to decide on design specifications and that he was bound to accept their requirements unless he had powerful evidence to the contrary. It cannot be said that Rafiki made its own arrangements with Beyer-Brown. It simply nominated that company as the consultant and Integrated accepted it as the consultant in the area of interior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the interpretation of Rafiki is correct. Although it was responsible for "F.F. &amp; E.", finishings should not be included in that term. The provision of finishings was not an exclusion from the contemplated contract in November 1995. I am unable to find that exclusion provided for by some later agreement. A reasonable interpretation of the contract does not support such an exclusion. If a literal interpretation of the exclusion of finishings is applied, Integrated would be obligated only to provide a bare shell. The evidence shows that was never the intention of the parties. Integrated accepted Beyer-Brown as the design consultant. It was, as submitted by Rafiki, Integrated's duty to co-ordinate Beyer-Brown's design with the design of other consultants and to ensure that the contractor incorporated the various finishing designs.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the essential contract between the parties called for Integrated to develop and supervise the construction of a 3-star hotel. The term "3-star hotel" was understood by all to connote the standards to be expected for a Holiday Inn Express franchise. At trial, the terms "Holiday Inn" and "Holiday Inn Express" were used interchangeably, although differences in the standards were recognized. Mr. Ivanore recalled the Holiday Inn being discussed but did not know whether that was before November 17, 1995. He also said he did not know the requirements for a Holiday Inn Express. On his examination for discovery, he stated that the difference between 3-star and 5-star hotels was common knowledge but that he did not know the requirements for franchises such as Holiday Inn, Hampton Inn and Days Inn. He recalled that the differences between a Holiday Inn and a Holiday Inn Express were explained to him by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minutes of a consultants' meeting held November 30, 1995 at which both Mr. Ivanore and Mr. Ligumsky were present show that, at that meeting, Mr. Ivanore noted that the hotel was to be a "Holiday Inn Express - 2-3 diamonds" and that Mr. Ligumsky was to advise on a comparable hotel and give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evidence, Mr. Ligumsky recalled asking in the initial discussions what type of hotel Rafiki wished to build and that Rafiki had advised that it wanted a budget hotel and that cost was of paramount concern to it. He denied any further discussion of the requirements. On cross-examination he was shown the Holiday Inn Express prototype information. He agreed that it had been received from Mr. Bhatia and that he understood Rafiki wanted that class of hotel. He agreed that he thought Holiday Inn Express was a 3-star hotel. Mr. Ivanore conceded that he had received the prototype information which he passed along to the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Bhatia testified that he had given the Holiday Inn Express written specifications or standards to Integrated in November 1995. That was denied by Mr. Ivanore and it seems certain that the architect never received those standards. I find that Rafiki has failed to establish delivery of the specifications. I am satisfied, however, that the specifications were discussed. Mr. Ivanore has admitted that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Integrated seeks to reduce its obligation to the provision of materials, labour and services necessary for the completion of the hotel in compliance with applicable codes and bylaws and the overall general layout as expressed in the plans and specifications referred to in the April 1996 Agreement. Integrated submits that it is not obligated to supply materials, labour and services specific to a 3-star franchise since the April 1996 Agreement does not contain the phrase "3-star". Finally, Integrated insists that Rafiki had the responsibility to provide finishings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Those submissions have no merit. There were no plans nor specifications suitable for the construction of a hotel in existence in April 1996. Even Integrated acknowledges that some necessary items were discovered during construction. It had agreed to Change Orders for those additional costs. I am also satisfied that Mr. Ivanore knew of several essential requirements not included in the budget of April 1996. He acknowledged in his evidence that he knew there were changes and upgrades to be incorporated in the specifications initialled as part of the December 1995 Agreement. He provided a list of extras in the amount of $169,000 to Stuart Olson on June 7, 1996. As late as July, the parties were still quarrelling over wall coverings, kitchenettes and a gas fireplace. Mr. Ivanore acknowledged that he knew that the architectural drawings in the tender package prepared in mid-June 1996 were incomplete and that the electrical and mechanical drawings would change if the architectural drawings changed. He testified that budget items were simply informed guesses and that he knew there were no landscaping costs, air conditioning costs and many other items included in the budget. He was still working with the contractor to confirm prices. Mr. Ivanore denied trying to keep the true costs from Rafiki. His explanation for failing to provide an updated budget after realizing that items were missing from the April budget was that Integrated was still trying to hold everything within the budget. After conceding that Rafiki had clearly indicated in November 1995 that they would build a hotel if the price was $11.3 million, Mr. Ivanore said "If we were to keep going back and say we need more money, they probably would have cancelled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balance, I conclude that there was an agreement to construct the hotel to the standard of a 3-star hotel based on Holiday Inn Express standards. That agreement forms part of the contract. Where there is no reliable evidence on which to base a conclusion as to 3-star hotel requirements, a reasonable standard must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further that it was not Rafiki's responsibility to provide or dictate reasonable standards. The contract required Integrated to meet either 3-star hotel or reasonable standards. In areas of dispute, I am satisfied that the burden of proving that the provision of a particular item exceeded 3-star or reasonable standards is on Integrated. To the extent it is of assistance, the manual of Holiday Inn Express provided to Integrated by Rafiki is evidence of 3-star hotel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question of reasonableness, the information imparted to Mr. Ivanore by Mr. Bhatia during a tour of Days Inn is of assistance. The recommendations of the consultants accepted by Integrated and incorporated into the completed Project will also be evidence of reasonableness unless there is persuasive evidence that what was supplied was more than would be required by reasonable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Scope of Work Document provides further evidence of what the parties anticipated would be provided and what would be acceptable to them. The determinations of the architect on various disputed items also provides insight.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Integrated had an obligation to work with the architect to ensure the quality of the Project. It was obliged to know the terms of the architectural contract which it had negotiated on behalf of Rafiki. In that contract, the architect is referred to as the consultant. Clauses 2.2.6 and 2.2.7 give the consultant general authority to deal with disputes between the parties. Clause 8.2.2 provides that the parties shall be conclusively deemed to have accepted a finding of the consultant and to have released the other party from any claims in respect of particular matters dealt with by the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Those provisions apply as between Rafiki and Stuart Olson. They do not directly affect the position of Integrated. However, where the architect has acted to resolve disputes, it seems to me that his decision can be taken into account when assessing the reasonableness of the positions taken by Integrated and Rafiki in respect of their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contracts themselves, the specifications and the plans were all approved by the parties. They, too, assist in determining what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May 1996, there was an amendment to the April 1996 Agreement striking out the provision that Integrated was to be the agent of Rafiki. That change was a reflection of Rafiki's distrust of Integrated. By that time, it had involved Helyar in tracking the costs of the Project. The change prevented Integrated from making decisions on behalf of Rafiki. Integrated agreed to that change on the understanding that Rafiki would continue to cooperate, which would imply an obligation on Rafiki to make timely decisions on the advice of Integrated. I cannot see that it diminishes the responsibility of Integrated.</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release from liability, by Rafiki, of the contractor, operate as a release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contract between Rafiki and Stuart Olson called for completion of the work by June 25, 1997. By April 30, 1997, Stuart Olson had estimated completion in mid-August. It was important to Rafiki to have the hotel generate revenue during the tourist season. It, therefore, entered into an agreement of April 30, 1997 with Stuart Olson under the terms of which the time for substantial performance of the work was changed to July 15, 1997. In return for that acceleration of the work, Rafiki paid Stuart Olson $45,000 by approving some previously disputed Change Orders. It paid, as well, an additional $45,000 as compensation for "acceleration costs". The agreement contained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 parties agrees and it is a condition of entering in this Agreement that each waive any claims that it might have against the other for all matters occuring (sic) up to the date hereof that may in any way have contributed to delays in the construction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Stuart Olson is not a party to these proceedings. The question which arises is whether the release of Stuart Olson from any claims against it for its conduct which may have, in any way contributed to delays, also releases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submission of Integrated, if there was a breach by Integrated of its duty to Rafiki, in relation to delayed completion of the Project, then Stuart Olson and Integrated are joint tortfeasors and the release of Stuart Olson releases Integrated from liability for delay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governing principles are found in Tucker v. Asleson </w:t>
      </w:r>
      <w:hyperlink r:id="rId171"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In Tucker, an infant plaintiff sued her mother and two other defendants. She settled with her mother's insurer before the trial. The question which arose was whether that action severed the joint and several liability imposed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 and thereby operated as a release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Southin J.A. accepted that the release of one joint tortfeasor releases all of the others but said that the rule does not apply to "several concurrent tortfeasors". She adopted the following passage from Glanville Williams, 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(London: Stevens &amp; Sons Limited, 1951) at p.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"joint tortfeasor" is, in essence, well understood. Two or more tortfeasors are joint tortfeasors (a) where one is the principal of or vicariously responsible for the other, or (b) where a duty imposed jointly upon them is not performed, or (c) where there is concerted action between them to a common end. Except in the case of nonfeasance in breach of a joint duty, parties cannot be joint tortfeasors unless they have mentally combined together for some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argument could be made that Integrated and Stuart Olson were involved in a concerted action to complete the Project by June 25, 199. However, it is difficult to see how the court could conclude that the two parties worked together to attain that goal since Integrated takes the position that it was under no obligation to see the contract completed by any particular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difficult, as well, to see how the principles have application where there are no allegations of tortious conduct on the part of Stuart Olson. The pleadings of Integrated say only that the responsibility for Stuart Olson's failure to meet its construction schedule lies with Stuart Olson and Rafiki. To give effect to the submission of Integrated, the court would be required to read into that pleading an allegation by Integrated that Stuart Olson was negligent in failing to meet the schedule, find that the delay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find that Integrated and Stuart Olson combined together to meet the schedule and finally, find that the release of Stuart Olson is broad enough to cover negligent contributions to delays rather than breaches of contract. The evidence does not support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another basis on which I find that the argument of Integrated cannot succeed. In Tucker at p. 218, Southin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a formidable argument to be made that the act should have no application when the plaintiff's claims are essentially contractual. I am unable to see any reason why the manufacturer of faulty pipe, if IPSCO was such (see Westcoast Transmission Co. v. Interprovincial Steel &amp; Pipe Corp. </w:t>
      </w:r>
      <w:hyperlink r:id="rId529"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(S.C.)), should be able to claim contribution and indemnity from the inspector hired by the owner who did not discover the fault. The breaches of contract and concurrent torts were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reasons which follow, I conclude that the plaintiff's claims against Integrated are essentially contractual in nature. There is some evidence on which it could be said that either or both parties were negligent in failing to carry out their duties in a timely manner but the essential claim against Integrated is for breach of its contract to provide the completed hotel on budget. If a claim was to be made by Rafiki against Stuart Olson, it would, in all probability, be for breach of their contract to complete the project on the specified date. It would not likely depend on their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are authorities where parties to a building contract have been found to be joint tortfeasors. In Marigold Holdings Ltd. v. Norem Construction Ltd. </w:t>
      </w:r>
      <w:hyperlink r:id="rId563" w:history="1">
        <w:r>
          <w:rPr>
            <w:rFonts w:ascii="arial" w:eastAsia="arial" w:hAnsi="arial" w:cs="arial"/>
            <w:i/>
            <w:color w:val="0077CC"/>
            <w:sz w:val="20"/>
            <w:u w:val="single"/>
            <w:shd w:val="clear" w:color="auto" w:fill="FFFFFF"/>
            <w:lang w:val="en-US" w:eastAsia="en-US" w:bidi="ar-SA"/>
          </w:rPr>
          <w:t>(1988), 31 C.L.R. 51</w:t>
        </w:r>
      </w:hyperlink>
      <w:r>
        <w:rPr>
          <w:rFonts w:ascii="arial" w:eastAsia="arial" w:hAnsi="arial" w:cs="arial"/>
          <w:color w:val="000000"/>
          <w:sz w:val="20"/>
          <w:lang w:val="en-US" w:eastAsia="en-US" w:bidi="ar-SA"/>
        </w:rPr>
        <w:t xml:space="preserve"> (Alta. Q.B.), an architect and contractor were held to be jointly and severally liable. In Nowlan v. Brunswick Construction Ltd. </w:t>
      </w:r>
      <w:hyperlink r:id="rId564" w:history="1">
        <w:r>
          <w:rPr>
            <w:rFonts w:ascii="arial" w:eastAsia="arial" w:hAnsi="arial" w:cs="arial"/>
            <w:i/>
            <w:color w:val="0077CC"/>
            <w:sz w:val="20"/>
            <w:u w:val="single"/>
            <w:shd w:val="clear" w:color="auto" w:fill="FFFFFF"/>
            <w:lang w:val="en-US" w:eastAsia="en-US" w:bidi="ar-SA"/>
          </w:rPr>
          <w:t>(1972), 5 N.B.R. (2d) 529</w:t>
        </w:r>
      </w:hyperlink>
      <w:r>
        <w:rPr>
          <w:rFonts w:ascii="arial" w:eastAsia="arial" w:hAnsi="arial" w:cs="arial"/>
          <w:color w:val="000000"/>
          <w:sz w:val="20"/>
          <w:lang w:val="en-US" w:eastAsia="en-US" w:bidi="ar-SA"/>
        </w:rPr>
        <w:t xml:space="preserve"> (N.B.C.A.), the court found that the architect and building contractor were jointly and severally liable. The same result was reached in respect of a contractor and an engineer/architect in New Look Restoration Ltd. v. Osgood Developments Ltd. </w:t>
      </w:r>
      <w:hyperlink r:id="rId565" w:history="1">
        <w:r>
          <w:rPr>
            <w:rFonts w:ascii="arial" w:eastAsia="arial" w:hAnsi="arial" w:cs="arial"/>
            <w:i/>
            <w:color w:val="0077CC"/>
            <w:sz w:val="20"/>
            <w:u w:val="single"/>
            <w:shd w:val="clear" w:color="auto" w:fill="FFFFFF"/>
            <w:lang w:val="en-US" w:eastAsia="en-US" w:bidi="ar-SA"/>
          </w:rPr>
          <w:t>(1992), 8 C.L.R. (2d) 238</w:t>
        </w:r>
      </w:hyperlink>
      <w:r>
        <w:rPr>
          <w:rFonts w:ascii="arial" w:eastAsia="arial" w:hAnsi="arial" w:cs="arial"/>
          <w:color w:val="000000"/>
          <w:sz w:val="20"/>
          <w:lang w:val="en-US" w:eastAsia="en-US" w:bidi="ar-SA"/>
        </w:rPr>
        <w:t xml:space="preserve"> (Ont. Ct.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each of those authorities, the architect and contractor were both obliged to work together to complete a contract. Integrated and Stuart Olson had different obligations. Stuart Olson was obliged to work with the architect to fulfill its obligations to the owner. Integrated had an obligation to the owner to supervise and manage the project. It had no obligation to design or construct the project. Its role was supervisory.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For all of those reasons, I find that the release of Stuart Olson by Rafiki does not operate to release Integrated from liability.</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Integrated liable to Rafiki for negligent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claims advanced by Rafiki in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dealt with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Rafiki alleges fraudulent or, alternatively, negligent misrepresentation on the part of Integrated. As a result of misrepresentations made by Integrated, Rafiki says that it was induced to enter into the development management agreement and, subsequently, the construction contract. The alleged misrepresentations are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Ivanore and Mr. Ligumsky misrepresented their experience in the development and construction of hotel projects;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Integrated represented that it was aware of the specific needs of a 3-star hotel franchise;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"plans and specifications" referred to in the agreement between the parties would be suitable for the construction of a 3-star hotel and be complete in all material respects;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"development plans" produced in connection with a previous project undertaken by Integrated on behalf of the Elks Lodge would have a significant continuing value to Rafiki of $200,000, or 50 percent of the $389,000 cost of such development plans;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Rafiki entering into the construction contract with Stuart Olson, Integrated represented that the for-construction drawings would not materially vary from those issued for tender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Rafiki alleges that Integrated owed a duty to exercise reasonable care, skill, diligence and competence in the development and supervision of the Project. In breach of that duty, Rafiki alleges that Integrated (a) failed to provide a budget which accurately reflected project costs; (b) failed or delayed to provide critical information to consultants and to Stuart Olson and (c) failed to adequately organize and supervise a competitive tendering process resulting in a failure to obtain the lowest reasonable construction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considered in the context of the claims for breach of contract advanced by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BG Checo International Ltd. v. British Columbia (Hydro and Power Authority) </w:t>
      </w:r>
      <w:hyperlink r:id="rId566"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 the court dealt with concurrent claims of breach of contract and fraudulent misrepresentation. The majority held at pp. 154-155: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view, the general rule emerging from this Court's decision in Central Trust Co. v. Rafuse, </w:t>
      </w:r>
      <w:hyperlink r:id="rId567"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(sub nom. Central &amp; Eastern Trust Co. v. Rafuse) </w:t>
      </w:r>
      <w:hyperlink r:id="rId567" w:history="1">
        <w:r>
          <w:rPr>
            <w:rFonts w:ascii="arial" w:eastAsia="arial" w:hAnsi="arial" w:cs="arial"/>
            <w:i/>
            <w:color w:val="0077CC"/>
            <w:sz w:val="20"/>
            <w:u w:val="single"/>
            <w:shd w:val="clear" w:color="auto" w:fill="FFFFFF"/>
            <w:lang w:val="en-US" w:eastAsia="en-US" w:bidi="ar-SA"/>
          </w:rPr>
          <w:t>37 C.C.L.T. 117</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42 R.P.R. 161</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34 B.L.R. 187</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31 D.L.R. (4th) 481</w:t>
        </w:r>
      </w:hyperlink>
      <w:r>
        <w:rPr>
          <w:rFonts w:ascii="arial" w:eastAsia="arial" w:hAnsi="arial" w:cs="arial"/>
          <w:color w:val="000000"/>
          <w:sz w:val="20"/>
          <w:lang w:val="en-US" w:eastAsia="en-US" w:bidi="ar-SA"/>
        </w:rPr>
        <w:t xml:space="preserve">, is that where a given wrong prima facie supports an action in contract and in tort, the party may sue in either or both, except where the contract indicates that the parties intended to limit or negative the right to sue in tort. This limitation on the general rule of concurrency arises because it is always open to parties to limit or waive the duties which the common law would impose on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rule is not that one cannot sue concurrently in contract and tort where the contract limits or contradicts the tort duty. It is rather that the tort duty, a general duty imputed by the law in all the relevant circumstances, must yield to the parties' superior right to arrange their rights and duties in a different way. In so far as the tort duty is not contradicted by the contract, it remains intact and may be sued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p. 162, the court summarized its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neither principle, the authorities nor the needs of contracting parties support the conclusion that dealing with a matter by an express contract term will, in itself, categorically exclude the right to sue in tort. The parties may by their contract limit the duty one owes to the other or waive the right to sue in tort. But subject to this, the right to sue concurrently in tort and contract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threshold question then is whether the parties, by their contract, limited their duties to each other or waived their right to sue in tort. There is no written or oral agreement other than the April 1996 Agreement which has operable provisions limiting the rights of the parties. The April 1996 agreement contained this provision:</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rights and obligations hereunder are contractual only and nothing herein shall be construed so as to entitle the Development Manager to an interest in the Land except for any lien rights it may have pursuant to the Builders'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its face, that paragraph limits the obligations of the parties to contractual obligations only. But that provision refers only to disputes arising under the contract. It can have no effect on the question of whether Integrated can be held liable in tort for fraudulent or negligent misrepresentation. The argument of Rafiki in that area is that it would not have entered into the contract with Integrated or the construction contract with Stuart Olson had the misrepresentations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therefore, that the claims in respect of fraudulent or negligent misrepresentation are unaffected by the limitation imposed by paragraph 20 of the April 1996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However,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prepare an accurate budget and failing or delaying to provide critical information to the consultants and to Stuart Olson cannot proceed in tort. Those claims arise under the contract and will succeed or fail on the basis of whether or not the alleged actions were in breach of the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Rafiki alleges further that Integrated was negligent in failing to adequately organize and supervise a competitive tendering process and thereby failed to obtain the lowest reasonable construction price. That claim could be considered a claim separate from the contractual provisions but I find that it is not. One of Integrated's duties was to negotiate and submit to Rafiki, for approval and execution, the general construction contract. Failure to organize a competitive bidding process would be in breach of that contractual provision. I am satisfied that this concurrent claim in tort cannot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All three claims advanced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fail. Those issues are properly advanced as allegations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turn to the question of whether Rafiki can succeed in its claim for damages for misrepresentation. In BG Checo, the court reviewed the measure of damages in contract and in tort. At p. 162, it held that the measure of damages in contract and tort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the plaintiff is to be put in the position it would have been in had the contract been performed as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Tort: the plaintiff is to be put in the position it would have been in had the misrepresentation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stated, the court in BG Checo was dealing with a tort claim of fraudulent misrepresentation. Its reference to the measure of damages in tort refer only to that tort. Recognizing that the measure of damages for negligent misrepresentation differs from the measure of damages for breach of contract, the court reasoned, at p. 162,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situations of concurrent liability in tort and contract, however, it would seem anomalous to award a different level of damages for what is essentially the same wrong on the sole basis of the form of action chosen, though, of course, particular circumstances or policy may dictate such a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court went on to hold that once damages in tort were awarded for misrepresentation, an award of damages for breach of contract would allow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court contrasted two situations. In BG Checo, it found that the plaintiff would have entered into the contract whether or not the misrepresentation had been made. The only difference would have been in price. The increase in the bid price was a loss which was not too remote for recovery in contract and was reasonably foreseeable in tort. Other increases in costs caused by the increased bid were also "arguably" reasonably foreseeable. In those circumstances, the court avoided double recovery by referring the matter back for reassessment of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court made reference, as well, to Rainbow Industrial Caterers Ltd. v. Canadian National Railway Co., </w:t>
      </w:r>
      <w:hyperlink r:id="rId568"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In Rainbow, the court found that but for the misrepresentation no contract would have been entered into at all. In assessing damages, the court found that the entering into of the contract was a link in the chain of causation and that the losses of the plaintiff were causally and directly connected to the contract which, in turn, was causally connected to the negligent misrepresentation. Damages were assessed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noted in BG Checo at p. 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Rainbow assessment of damages can obviously lead to a different quantum of damages because this method frees the parties from the burden or benefit of the rest of their bargain. The assessment of damages in a Rainbow situation could be lower or higher than the contract damages depending on whether the contract was a good or bad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question which first must be answered is whether Rafiki would have entered into its contract with Integrated had it known that Mr. Ivanore and Mr. Ligumsky lacked expertise in the development and construction of hotels, they were not aware of the requirements of a 3-star hotel franchise, the plans and specifications referred to in the April 1996 Agreement were unsuitable for the construction of a hotel and the "development plans" did not have a value of at least $200,000. Proof of the factual basis for those allegations is also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To deal first with the factual basis for the misrepresentations, there are conflicting versions of what was said by Integrated as to the expertise of its principals in the early negotiations. Specific representations are difficult to ascertain but I am satisfied that Mr. Ivanore purported to have experience in the development and construction of hotels. Mr. Ligumsky did not misrepresent himself. He discussed the building of a hotel in Whistler but that is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Both Mr. Ivanore and Mr. Ligumsky provided written resumes for use by Rafiki in obtaining financing. There were no misrepresentations in the resume of Mr. Ligumsky. Mr. Ivanore represented that he had experience in constructing two hotels in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need not decide whether Mr. Ivanore's representations were fraudulent. In his testimony, Mr. Bhatia conceded that he knew by April the level of experience that Mr. Ivanore had. He went ahead with the contract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to Integrated's representation that it was aware of the requirements for a 3-star hotel, that representation was made by inference rather than specifically. If Rafiki's evidence is to be accepted, that representation could not have induced it to enter into the contract since it had, in its possession, the standards for a Holiday Inn Express which Mr. Bhatia says he gave to Mr. Ivanore. That is denied, but even on the evidence of Mr. Bhatia, there was no reliance on Integrated's knowledge of the requirements for a 3-star hotel. Integrated may later have failed to meet those requirements but Rafiki did not rely on that misrepresentation in the sense that it would not have entered into the contract had it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further that it cannot be said that Integrated misrepresented the completeness of the plans and specifications referred to in the April 1996 Agreement. Rafiki knew that the plans and specifications were incomplete at that time and had known of their inadequacy from the time it first began to negotiate with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to the continuing value of the development plans, the facts do not support the suggestion that Rafiki would not have entered into the contract had it known the true value of the development plans. Mr. Bhatia conceded in his evidence that he was concerned only with the end price of the hotel. Even with the full payment of $389,000 for the development plans, the hotel was budgeted for an amount less than that. I do not accept that Rafiki would have refused to enter into the contract had it known that the value of the development plans was less than $200,000. Nor do I necessarily accept the true value was approximately $40,000. There was value in the plans. The architectural drawings formed a basis for the plans for the hotel. The development costs expended had resulted in obtaining approval for the Project from the City of Vancouver. That process did not need to be repeated. I accept, as well, that the solicitor for Integrated during negotiations advised Rafiki that the value of the plans was of little consequence since, as part of the sale price for the property, the Elks Lodge insisted on recovering its development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final misrepresentation alleged by Rafiki is the representation by Integrated that, upon completion, the for-construction drawings would not materially vary from those issued for tender purposes. Rafiki says it would not have entered into the construction contract with Stuart Olson had it realized there would be significant increases in costs necessitated by the changes. Although Mr. Ivanore's evidence was unsatisfactory in this area, Rafiki did not establish that Mr. Ivanore deliberately misrepresented the additional costs occasioned by the for-construction drawings. The construction contract was entered into on September 10, 1996, or very shortly after that. The completed plans were delivered on September 23, 1996. The complete specifications would necessarily have had to await the arrival of the final plans. Mr. Ivanore could only have been estimating costs and I am unable to say that he deliberately misrepresented them. Rafiki certainly knew that the plans were not complete when it signed the contract. Although it relied on Integrated for advice on the construction contract, Rafiki was not so unworldly as to base its decision to enter into the contract on an estimate concerning cost made when Mr. Ivanore could only, at best, make an educated guess. I am satisfied Rafiki did not rely on the estimate as a basis for entering into the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For these reasons, as was found in BG Checo, supra, I conclude that Rafiki would have entered into the contract whether or not any of the alleged misrepresentations were made. When the April 1996 Agreement was signed, Mr. Bhatia knew Mr. Ivanore lacked experience in hotel standards and construction and that plans for the hotel were incomplete. He also knew that the Elks Lodge insisted on recovering its development costs. He decided to proceed. As stated, Rafiki has also failed to prove its reliance on Mr. Ivanore's estimate of cost increases and that those estimates were negligently made. Rafiki cannot succeed in its claim of negligent misrepresentation.</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Integrated liable to Rafiki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earlier held that the contract between the parties is to be found in the April 1996 Agreement, the pro forma budget attached to that agreement, the plans of September 23, 1996, the specifications attached to the December 1995 Agreement as subsequently amended, the Scope of Work Document which existed at the time of entering into the December 1995 Agreement and which was subsequently amended from time to time, the Letter of Intent, the November 24, 1995 Letter and oral agreements made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Specifically, the April 1996 Agreement provided that Integrated would act as project manager to develop the property purchased from the Elks Lodge and to construct upon that property a mixed use development comprising a club house facility for the Elks Lodge and a commercial hotel for Rafiki. Integrated warranted that the Project could be constructed for $10,176,000. Both parties were obliged to cooperate in finalizing plans and specifications to ensure that the Project could be completed within budget. Because the plans and specifications were incomplete, both parties understood that adjustments to the project costs would be necessary. I have no doubt that both parties understood that everything which could reasonably be said to be within the scope of the Project was to be provided for in the budget price but that items provided above and beyond the contemplated scope of the Project would be an additional cost 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contract scope required Integrated to develop and supervise the construction of a 3-star hotel similar to a Holiday Inn Express franchise hotel. Where those standards have not been proved or are uncertain, I imply a contractual term that materials and workmanship provided would be of a proper standard or quality. Integrated bears the burden of proving whether the completed Project complied with those contractual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Rafiki relies on the provisions of the April 1996 Agreement which sets out the duties of Integrated in some detail. Those duties include the provision of management services in the planning stages of the project, the retention of consultants, supervision and co-ordination of their services and the negotiation, management, supervision and administration of the construction contract in accordance with plans and specifications approved by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measure of damages for breach of contract is to be determined by considering the position Rafiki would have been in had the breaches not occurred. Unless they are too remote, Rafiki is to be reimbursed for all expenses resulting from breaches of contract, whether expected or not: BG Checo, supra. There must, of course, be proof that losses did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Rafiki has advanced many claims for breach of contract. There are some particular issues with which the court must deal, but a number of the allegations may be dismissed in a rather summary way. Rafiki alleges that Integrated failed to disclose extras known to it when the original budget was prepared, Integrated abandoned the Project, Integrated failed to cooperate with Rafiki, Integrated failed to supervise the preparation of bid documents, Integrated failed to advise Rafiki of the true nature of increased costs in the for-construction documents, Integrated failed to cooperate with the general contractor, Integrated failed to properly supervise the activities of the general contractor, Integrated failed to properly negotiate the construction contract and Integrated failed to supervise and co-ordinate the work of the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Little evidence was adduced and no argument was advanced, in respect of specific losses occasioned by those various allegations. Many of those alleged breaches are factors in the allocation of responsibility for monies due under Change Orders but there is no support for a claim for any additional damages. In the absence of evidence, broadly stated allegations of breach of contract without proof of damages should not attract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To respond in a general way to the list of allegations, I find that Integrated did fail to disclose extras known to it when the original budget was prepared. At that time, Rafiki was well aware there were many items not covered. Whatever losses Rafiki may have suffered are addressed in dealing with change orders. Integrated and Rafiki share responsibility for the abandonment of the Project by Integrated and for the failure to cooperate. There is no evidence of a failure to supervise the preparation of bid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Integrated did fail to advise Rafiki of the true nature of increased costs in the for-construction documents but that Rafiki would have proceeded had those costs been known. No damages have been proven. Similarly, although there was a lack of cooperation between Stuart Olson and Integrated, no damages have been established in connection with that failure or in connection with a lack of supervision of the general contractor. No particulars of the failure to negotiate the construction contract, nor of the failure generally to supervise the contractor and consultants has been proven. No damages have been specifically shown to have arisen from those alleged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were three claims on which evidence was called and which must be addressed. There is a claim for the difference in the represented value of the development costs and their actual value, a claim for the difference in the budgeted cost of air conditioning units and the cost of those actually installed, and a claim for delay of the Project.</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development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When the Elks Lodge undertook to develop the lands as a combined Elks Lodge facility and residential project, it incurred costs, allegedly in the amount of $389,000. Mr. Bhatia testified that early in the negotiations with Integrated, Mr. Ligumsky advised Mr. Kassam and himself that $200,000 was an approximate value to Rafiki of the information obtained because it could be used on the Project. Mr. Bhatia stated that Rafiki would not have proceeded with the purchase had it not been for the expectation that it would acquire that value. I have earlier dismissed that claim advanced as a claim of negligent misrepresentation. Rafiki advances its claim in contract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Rafiki alleges that Integrated knew at the time the representation was made that the only continuing value was $40,231.06 made up of certain fees paid to consultants and to the City of Vancouver. Rafiki claims for $159,768.94, being the difference between $200,000 and $40,231.06.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I understand the claim, Rafiki alleges that Integrated was obliged under the contract to negotiate the purchase of the lands from the Elks Lodge. In misrepresenting the value of the plans, it breached its duty 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considerable doubt as to whether there was, in fact, any contractual obligation on Integrated in respect of the purchase price of the lands. The claim more properly falls into the area of misrepresentation. Assuming that the contractual obligation did exist, there is further doubt in the area of what was said. Mr. Ligumsky denied making any specific representation, although it would appear from the evidence of Allan Ligumsky that something was said which Mr. Bhatia could have interpreted as indicating a value of approximately 50 percent of the costs alleged. I also agree with the position of Integrated that a value of the development costs is virtually impossible to calculate. In addition to the values assigned to it by Rafiki, there was value in the obtaining of permits from the City of Vancouver and in the plans produced for the residential project. They formed the basis of the plans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Finally, and perhaps most importantly, Rafiki was suspicious of the value of the development costs before it purchased the lands from the Elks Lodge. The solicitor for Integrated addressed that issue and told Rafiki that the amount of $389,000 had to be paid whether there was value in the development costs or not. Rafiki also had, in its possession prior to the acquisition of the lands, all of the documentation which made up the development costs. Not having taken the trouble to assess the validity of those costs at the time, Rafiki should not be permitted now to complain that the costs were overstated.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claim for damages in respect of development costs is dismissed.</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 conditioning downgrade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provision of air conditioning units for the hotel rooms was a matter which gave rise to many disputes between the parties. Mr. Bhatia testified, and I accept, that from the earliest discussions he had with Integrated, he had consistently insisted upon Carrier brand air conditioners. Mr. Ivanore made many attempts to have Rafiki accept a different brand which Integrated maintained was of equal value. A great deal of evidence was called in respect of the issue but I need not deal with that evidence in detail. The fact is that, at the end of the day, Carrier air conditioning units were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Rafiki's claim is now based on the fact that the budget called for air conditioning units at a cost of $2,300 per unit and Integrated budgeted $331,200 to supply those units. What was ultimately supplied cost only $1,250 per unit for a total cost of $178,750. Rafiki claims $152,450 which it says represents a downgrade in the cost of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Accepting that factual background as proven, there is no evidence that the units supplied were unsatisfactory. There is nothing in the scope of the work that requires a $2,300 unit to be supplied. That is simply a budgeted cost. Three star hotel requirements have not been shown to have a specific requirement for a certain quality of air conditioner. In the absence of evidence, I am unable to find that the units supplied were not of a proper standard or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that, in the absence of some contractual provision, Rafiki is not entitled to make a claim based solely on the difference between budgeted costs and actual costs. There was no contractual right to a specific unit. The claim of Rafiki for a downgrade in air conditioning costs is dismissed.</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Rafiki seeks to recover damages in the amount of $260,000 for a delay of 20 days in substantial completion of the hotel. The construction contract with Stuart Olson provided for substantial completion by June 25, 1997. As discussed earlier, when it became apparent that the substantial completion date could not be met, Rafiki paid Stuart Olson $45,000 to accelerate completion. It claims that sum, in addition to the $260,000 it says was lost by reason of delay. It estimates its loss at $13,000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was no contract in existence between Integrated and Rafiki which provided for a completion date. The schedule attached to the April 1996 Agreement estimated completion by June 20, 1997 but that was only an estimate. It has not been suggested that the term was contractual. I reject the suggestion of Rafiki that the completion date found in the construction contract with Stuart Olson should be incorporated by reference in the development management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agree with counsel for Integrated that it is for Rafiki to show a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Integrated which resulted in delayed completion in order to succeed in its delay claim against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am unable to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Integrated is a proper consideration. The pleadings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an alternative to breach of contract. The statement of claim states that Integrated, Mr. Ivanore and Mr. Ligumsky owed a duty to the plaintiff to exercise all reasonable care, skill, diligence and competence in the development and supervision of the Project. It goes on to particularize the breaches of duty in respect of delay as failure to prepare an accurate budget, and failure or delay in providing critical information to consultants and the general contractor. Those are both contractual obligations. I earlier held that both claims arise under the contract and ordered that Rafiki could not proceed in tort in respect of those claims. I see no reason to change that finding. The delay claim will succeed or fail on the basis of whether or not breaches of contract by Integrated led to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claim based on the breach of Integrated's duty to prepare an accurate budget cannot succeed. As noted in earlier discussions, Rafiki was well aware at all times that the budget was inaccurate. There was a guarantee based on the budget information but the budgeted contract price was always understood to be flexible in the sense that the parties knew there would be additional costs. The question is whether those costs were within the scope of the Project. The failure to prepare an accurate budget has not been shown to be related to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Rafiki relies on two principal arguments in support of its claim. It alleges delay on the part of Integrated to provide critical information to the consultants and to Stuart Olson in that Integrated delayed in complying with the requirements of the City of Vancouver in respect of the exterior skin of the building, namely the Exterior Insulation and Finishing System ("EIFS"). It says further that Integrated delayed in deciding on the glazing option to be employed in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When I subsequently deal with Change Order A-20, I will find that Integrated was not responsible for the delay in selecting the glazing option. I hold that any delay which increased costs was not Integrated's responsibility but rather the responsibility of Stuart Olson. I hold as well that in approving the Change Order, Rafiki was in breach of its responsibility to cooperate in meeting the budget. In doing so without the approval of Integrated, Rafiki deprived Integrated of the opportunity to contest the increased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That reasoning is applicable to the delay claim. I find that Rafiki has failed to show a breach of contract in respect of the glazing option. Integrated cannot be held liable for delay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to the delay in deciding on how best to comply with the requirements of the City of Vancouver on EIFS, the circumstances are examined in detail during consideration of responsibility for the costs covered by Change Order A-6. The changes to the specifications required by the new city bylaw were unexpected. Mr. Ivanore knew of the bylaw by October 1996. He made his decision as to how to proceed on or about January 27, 1997. After that, the specifics of who was to do the work and how the EIFS contract was to be awarded led to further arguments and some further delay. Certainly some of the delay can be attributed to the actions of Stuart Olson. In fairness to Mr. Ivanore, he approved the issuance of a change directive so that the Project would not be delayed even though he disagreed with the manner of calling for contracts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fair to say that there was much confusion over how to proceed. Meetings among the parties and their solicitors were required. There were arguments over whether the matter should go to arbitration subsequent to a change directive rather than a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all the circumstances, I find that Mr. Ivanore was slow to respond to the emergency but that it was understandable given the unfamiliarity of everyone with the new city standards. How to comply with the bylaw was very much an unresolved issue. I conclude that it would be unfair to hold Integrated in breach of its contractual obligations on the basis that it delayed its decision on the glass to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addition to the alleged causes of delay put forward by Rafiki, I find, as well, that there were weather delays of five days for which Integrated cannot be held responsible. Similarly, Stuart Olson was slow to begin work and, to a large extent, that delay was attributable to the architect's delay in providing plans. Finally, the intransigence of Rafiki substantially contributed to delay. A major cause of the bickering between Mr. Ivanore and Mr. Bhatia was caused by the conduct of Mr. Bhatia. Mr. Bhatia may have had good cause to be angry with both Mr. Ligumsky and Mr. Ivanore, but he failed to put aside his dislike of those parties and get on with the construction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Finally, although I have previously held that the release of Stuart Olson by Rafiki did not release Integrated from liability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same does not apply to contractual obligations. By releasing Stuart Olson, Mr. Bhatia prevented Integrated from pursuing what may well have been legitimate claims against Stuart Olson. Pursuit of those claims could have reduced the contract price or led to a successful claim for damages for delay against Stuart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all the circumstances, I am not satisfied that Rafiki should succeed in its claim for damages for delay. I need not deal with the quantum of damages except to say that I found the quantification of the claim to be poorly particularized. I should add that the suggestion of Integrated that Rafiki had a duty to accommodate guests in its other hotels in the Vancouver area is essentially a claim that Rafiki failed to mitigate. Proof of a failure to mitigate is on Integrated. It was not for Rafiki to show that it could not accommodate guests in its other hotels. Integrated has failed to show a lack of mitigation.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increased costs covered by Change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Change Orders are related to approval for payment of costs which are extra to the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Some, but not all, of the extra costs experienced during construction of the project were paid through the use of Change Orders. By definition, (in paragraph 17 of the construction contract) a Change Order is a written amendment to the contract prepared by the architect and signed by both the owner and the contractor. It sets out their agreement to a change in the work, the method of adjustment or the amount of the adjustment in the contract price, if any, and the extent of any adjustment in contract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Policzer, of the architectural firm Gomberoff, Policzer, was responsible for the administration of the contract. He testified that he handled changes to the contract in the following way:</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were no cost implications for the change, a site directive was issued and signed by the architect only;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were cost implications, he issued a Contemplated Change Order ("CCO"). This again was signed only by the architect;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change was required but there was insufficient time to wait for a price to be established, a Change Directive was used. Change Directives were required to be signed by the architect, contractor and owner. They authorized the work with the price to be established later. When the price was established, a Change Order was issued;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cost of a change was known, a Change Order was issued. It was required to be signed by the architect, contractor and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Policzer said that he was concerned about maintaining trust between himself and the contractor. As a result, many Change Orders were not signed until after the work was done. He also said as time was so short on this contract, in almost every instance he used a Change Directive. Many of the Change Directives were signed only by himself. He relied upon the trusting relationship between himself and Stuart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His understanding of construction contract practice was that Change Orders were considered binding once all three parties had signed them. Site Directives and contemplated Change Orders were not binding on the parties because they had no price stipulated.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testified that if detailed explanations were provided in a Change Directive or a CCO, he did not repeat the explanation in the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Ivanore initialled many Change Orders. He testified that he was simply signifying that he had seen them. He was not approving them for payment. Toward the end of the project, Mr. Ivanore excluded himself from the Change Order process because of his ongoing arguments with Mr. Bhatia.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for Integrated conceded that some Change Orders were paid by Rafiki which it was not obliged to pay. The position of Integrated is that having paid for that work, Rafiki has assumed responsibility. I reject that contention. Liability for payment must be decided on the basis of contractual obligations. No authority was adduced to support the proposition that Rafiki is estopped from denying liability because it made the payments by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reject, as well, the contention of Mr. Ivanore that if a charge was made for work not shown in the drawings, Integrated had no responsibility for it. In fairness to him, Mr. Ivanore did not try to maintain that position. After advancing several other theories for liability, Mr. Ivanore took the position that if consultants made mistakes in areas where Integrated had no expertise, then Rafiki was responsible for those costs. That contention must fail as well. Integrated had control over the consultants. It was Integrated and not Rafiki who arranged for their retention. It was the responsibility of Integrated to supervise the delivery of their services. Rafiki was obliged to cooperate but it neither hired nor supervised the delivery of services by the consultants. That was so, even though the provision in the contract that provided that Integrated was the agent of Rafiki had been deleted. That deletion did not add to the responsibilities of Rafiki. It was still required to cooperate but did not take on new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Responsibility for payment of Change Orders will, therefore, depend on whether or not the costs associated with the changes are for work within or outside the scope of the Project. If the changes were within the scope of the Project, Integrated bears responsibility: if the changes were outside the scope if the Project, the responsibility is with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have settled responsibility for some of the Change Orders. Where an agreement has been reached, my understanding of the agreement will be noted so that the total amount due under Change Orders can be resolved. Where there is no agreement, I will allocate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reaching my conclusions and in considering admissions, I have made no allowance for overhead and profit. In some instances, an allowance may be included and in others, there will be no allowance. The parties agreed during the course of the trial that an appropriate allowance in each instance would be difficult for the court to resolve on the basis of the evidence received. Counsel, therefore, accepted responsibility for making a proper allocation for overhead and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A-1 - $8,997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Integrated has admitted that this Change Order for concrete testing is within the scope of the Project. It is, therefore,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A-2 - $4,725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Integrated admits that rental of an adjacent parking lot is within the scope of the Project. This Change Order is, therefore,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A-3 - $3,821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Integrated admits this Change Order for a street parking permit is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A-4 - $20,610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Integrated admits that the costs enumerated in this Change Order in the amount of $6,336 are within the scope of the Project and its responsibility. It contests responsibility for the balance of the costs. Those contested costs are attributable to six items: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Clotheslines for the hotel rooms - $3,467. In his evidence, Mr. Bhatia said that clotheslines were standard in 3-star hotels but admitted that Days Inn did not have them. Mr. Ivanore's position was that the clotheslines were requested by Rafiki. Mr. Bhatia testified further that he understood that Holiday Inn specifications required clotheslines. That is not reliable evidence. I am not satisfied that clotheslines are required in a 3-star hotel, nor am I prepared to infer that a proper standard or quality requires them. The costs of $3,467 are the responsibility of Rafiki.</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Sanitary napkin containers and robe hooks for the public washrooms - $378. Mr. Bhatia thought the robe hooks were a Hampton Inn upgrade. The Hampton Inn specifications were never provided to the court. A letter from Beyer-Brown was introduced which required double robe hooks. It seems probable that these items were added on the advice of Beyer-Brown. Integrated followed the advice of the interior finishing consultant in installing them. Responsibility rests with Integrated.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Bi-fold door for the Elks Office - $147. Mr. Bhatia knew nothing of this. Mr. Ivanore testified that this was an upgrade to the Elks' requirements and that Rafiki apparently decided not to charge the Elks Lodge because the item was too small. I accept that evidence. The cost is the responsibility of Rafiki.</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144 bi-fold doors changed from wood to mirror - $7,100. The Scope of Work Document called for bi-fold doors. The architectural specifications called for mirrored bi-folds. Mr. Policzer said that Integrated had instructed him to use mirrored doors throughout. He, therefore, changed the tender drawings which had not called for mirrored bi-folds to provide for them in the for-construction drawings. Mr. Ivanore conceded that mirrored doors were requested by Rafiki in May and that he had earlier passed that request on to the architect but it somehow was missed. Mr. Bhatia confirmed that he had made the request during the tour of Days Inn. He recalled that tour as having taken place in November 1995. The question to be answered is whether the request for mirrored doors was made to Mr. Ivanore in time to have them included in the scope of the Project. He takes the position that the request was made after April 1996 and even had it been made before the tender drawings were prepared, that would have resulted in an increase in the tender of approximately $7,000. He contends that the cost is, therefore, the responsibility of Rafiki. Mr. Ivanore's contention cannot be accepted. The minutes of a meeting held February 1, 1996, well before the April 1996 Agreement was signed, show that Rafiki requested mirrors on closet doors to make the rooms look bigger. Since Mr. Ivanore agrees that the request was made and the minutes show that the time of the request preceded the preparation of the budget, the costs of mirrored doors are within the scope of the Project and the responsibility of Integrated.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Tile to west end of south elevation and to Drake Street entry floor and servery - $2,232. The tile covered by this Change Order was provided in two areas. The consulting engineer required that an open arched area on the south elevation be filled to provide seismic support. Mr. Policzer testified that the original design had called for open arches. With the filling of the open areas, he decided to tile the openings instead of leaving them unfinished. Mr. Policzer felt that this was an upgrade to the scope of the work. This was not a cost that could have been anticipated by Integrated. The cost of tiling the filled archways is the responsibility of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tile provided was for flooring at the Drake Street entry, the breakfast room and servery. Mr. Ivanore testified that the addition of tile on the floors was required because of changes made following the issuance of the for construction drawings. The changes emphasized the lane entryway and changed the flooring from carpet to tile. Rafiki's position is that the specifications attached to the November 24, 1995 Letter provided for tile floors. The evidence is unsatisfactory but flooring of some description was required. From the evidence, I am unable to find that the changes in the entryway and in the breakfast area should have had any substantial impact on flooring costs. It is obvious that the provision of flooring would be expected in a hotel of any quality. The flooring would also be expected to meet a proper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also shows that no provision for flooring in this area was made in the tender drawings. A change providing for tile was made in the for-construction drawings. Failure to provide for flooring shows a lack of supervision by Integrated. The cost of flooring tile is the responsibility of Integrated.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evidence was presented, nor were submissions made on how to divide the tiling cost of $2,232. For the purposes of this judgment, I will assume that the cost of tiling the archways and the provision of floor tile was approximately equal and allocate one-half of the cost to each party. If counsel are able to allocate the costs more accurately, they are free to do so.</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breakfast bar - $950. Mr. Bhatia was unclear in his evidence in connection with the breakfast bar. He believed the bar to be a requirement of the Holiday Inn specifications. Mr. Ivanore testified that the breakfast area had to be changed. In the original plans, there was no breakfast bar. One was added based on the Hampton Inn redesign. The redesign took place during the course of construction. I accept the evidence of Mr. Ivanore. The costs of the breakfast bar are outside the scope of the Project and are the responsibility of Rafiki. In the result, responsibility for Change Order A-4 is allocated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019"/>
        <w:gridCol w:w="146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Admitted</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$6,336</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Sanitary Napkin Containers and</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Robe Hooks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$378</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Mirrored bi-fold doors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Tiling</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$1,116</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$14,930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287"/>
        <w:gridCol w:w="156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Clotheslines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$3,467</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Bi-fold door to Elks' Office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Tiling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$1,116</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Breakfast bar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$5,680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Order A-5 - $18,500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costs covered by this Change Order are for the provision of low E (low energy) glass. Integrated admits the glass is within the scope of the Project. The costs are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A-6 - $140,017.50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Change Order A-6 was originally issued for $168,189. It was revised without the approval of Stuart Olson to provide for an amount of $140,017.50. The unpaid balance of $28,000 was ultimately resolved by the issuance of Change Order A-20. Change Order A-6 covers the cost of changing the exterior skin (EIFS) to meet City of Vancouver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argument, Integrated recognized that both the tender drawings and the for-construction drawings for the EIFS provided for in situ application of either stucco or panels. It argued, however, that the fabrication of panels could have been done off site. The architect, Mr. Policzer, agreed that there was a choice between panels or an application of stucco but he testified that whichever choice was made, the exterior skin was to be constructed on site. He said, however, that later, when a redesign of EIFS was required by a change in the city bylaw, that new design required fabrication of panels off site. He testified that it was not possible to do that work in situ.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representative of the contractor, Mr. Jacob, testified that the tender and for-construction drawings could only be interpreted as calling for in situ application. I accept that evidence and the evidence of Mr. Policzer but reject the suggestion of counsel for Integrated that the panelization option in the tender and for-construction drawings could have been chosen and the design requirements met by construction of panels off site. I accept, as well, that Stuart Olson prepared its tender bid on the basis of in situ application. That bid was accepted on July 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August 1, 1996, at the request of Mr. Ivanore and Mr. Policzer, Paul Merrick Architects reviewed the construction documents to assess the completeness of information necessary for accurate cost pricing. In the course of its review, Paul Merrick Architects drew attention to new EIFS requirements of the City of Vancouver imposed because of leaking condominiums in the city. The new standards were set out in Bulletin 95-9 issued by the city on December 22, 1995. It provided that the only EIFS installations acceptable were: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prefabricated total wall elements assembled at a weather-protected and temperature-controlled location;</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pressure-equalized rainscreen designs installed in situ;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EIFS rainscreen if installed on masonry or concrete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receipt of the report of Paul Merrick Architects, Mr. Policzer obtained an opinion from B.C. Building Science and Engineering Ltd. on August 7, 1996. B.C. Building Science and Engineering Ltd. advised that Bulletin 95-9 had been issued but was not being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After obtaining the construction contract, Stuart Olson awarded the subcontract for the exterior skin and the interior drywall to K.D.H. Drywall. Mr. Jacob testified that it would have been a logistical nightmare to use two contractors for the two subcontracts. There were cost advantages to combining them and he felt that most contractors would not be willing to accept a contract for only one aspect of the work. Mr. Policzer agreed that the awarding of one contract for both tasks made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seems certain that Stuart Olson did not know of Bulletin 95-9 before entering into the construction contract of September 10, 1996. When Mr. Jacob became aware of the difficulty is uncertain but from his evidence, it is clear that he knew of it by mid-October. The October 22 site meeting minute shows that Integrated was reviewing the new bylaw requirement with respect to panelization of EIFS. Certainly by that date all parties were aware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Further reference to the review being conducted by Integrated is found in the site meeting minutes of November 5, November 19 and December 3. The December 17 site meeting minutes says that Integrated and Stuart Olson were reviewing alternate forms of EIFS (panelization and rainscreen principle). Stuart Olson was waiting for a price for a STO rainscreen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By early January, Mr. Ivanore had become convinced that the STO system was too expensive. He asked Mr. Jacob to obtain several prices on panelization to allow a quick decision. Mr. Ivanore learned on January 8, 1997 that, contrary to the earlier advice he had been given by B.C. Building Science and Engineering Ltd. that Bulletin 95-9 would not be enforced, the city was, in fact, enforcing the requirements of the Bulletin. The new standards would apply. He must have suspected before that date that the city would enforce the Bulletin. His memorandum dated January 8, 1997 confirms that he and Mr. Jacob had been discussing the issue for "a couple of months." In any event, by January 8th, he felt the STO system was too expensive and he was recommending panelization as the best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his evidence, Mr. Jacob disagreed. He said that Mr. Ivanore had requested prices for both an in situ rain screen design and a panelization system and that he had insisted on further details before he could proceed. Mr. Jacob also wanted a Change Order or Change Directive issued before he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evidence does not support Mr. Ivanore's contention that he had decided on panelization as early as January 8, 1997. A January 17, 1997 memorandum from Mr. Ivanore to Mr. Jacob confirms that Mr. Ivanore was pricing in situ systems and confirmed that Mr. Jacob was to get two prices for panelization. It is apparent that Integrated was still looking at alternatives in mid-January.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January 27, 1997 Mr. Ivanore wrote to the City of Vancouver and asked for confirmation that the EIFS system as shown on the drawings was not acceptable. He said that he was continuing to get prices. In a memorandum to his file, he noted that the city had confirmed that the system shown in the drawings was unacceptable and that a change to one of the approved systems was required. It is likely that it was at that time that Mr. Ivanore accepted panelization as the solution to the problem. He then recommended proceeding with panelization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early February, Mr. Ivanore obtained two prices for panelization, one from Seymour Building Systems Ltd. ("Seymour") and one from a company called Altex. On February 4, the City of Vancouver confirmed its position in writing and on February 5, Mr. Ivanore wrote to Stuart Olson confirming that he was prepared to support Stuart Olson in proceeding with panelization on certain terms and conditions. He stressed that it was up to Stuart Olson to provide prices which agreed with those he had obtained and he noted that schedule restrictions and pricing considerations made it imperative that Stuart Olson inform him of its position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February 12, a contemplated Change Order was sent by Mr. Policzer to Stuart Olson. He requested a price on a system which met City of Vancouver's requirements. On February 17, Stuart Olson wrote to Mr. Policzer reviewing the systems which were in compliance with the city's requirements and recommended that Seymour proceed with panelization. He disagreed with Mr. Ivanore that panelization was an answer to all of the problems but he said that panelization offered more certainty with respect to maintaining the schedule. He asked for approval and a Change Order in the amount of $168,672.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amount of the requested Change Order is significant. It is $28,000 higher than revised Change Order A-6. That differential represents a premium payable to Seymour for providing both EIFS and the interior drywall. Mr. Ivanore disagreed with Seymour being given the contract for both EIFS and the drywall. He recommended separating the two tasks into separate contracts which he said would result in savings. He complained that Stuart Olson had only provided one price. In order to avoid delays, however, he approved the issuance of a Change Directive. He wrote to Stuart Olson on February 18 to advise that he was unable to accept its analysis but, because of the importance of meeting the schedule, he had authorized the architect to issue a Change Directive. He went on to request that the question of price be turned over to an independent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 Change Directive which called for panelization was then signed by Mr. Policzer on February 20, 1997. The panels were to be prefabricated in a controlled location. There is a dispute as to where those panels could have been fabricated but I am satisfied that there was no practical way to produce them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Jacob then refused to begin work on the basis of the Change Directive. At trial, he said he refused because he had no design for the system and because Integrated's analysis of prices was much lower than his own. He saw no reason to accept the extra risk of going to arbitration. On the issue of price, he testified that he told both Mr. Policzer and Mr. Ivanore that he required design information before proceeding. On February 21, he requested approval of the full amount of $168,189. He testified that both Mr. Policzer and Mr. Ivanore then came to the construction site and agreed that the full amount would be paid. He said that Mr. Ivanore had given him that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Jacob said that, relying on that assurance, he then proceeded to let the contract to Seymour that day. He agreed that by doing so, he had taken responsibility for the design of the system and that was unusual. The subcontract let to Seymour was in the amount of $168,189.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the same day, February 21, 1997, Mr. Policzer issued a Change Order for $168,189 signed only by himself. Mr. Ivanore refused to accept the full price. He continued to argue for the Change Directive and arbitration. He felt that there was no downside to Rafiki in going to arbitration since the maximum amount payable would be $168,189. His position was that, because the drawings provided alternatives of stucco application or panelization, Stuart Olson was obliged to provide panels without additional cost 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Ivanore met with Liam Murray of Helyar to discuss whether the switch to panels should be completed by Stuart Olson without extra cost. In a letter to Rafiki of February 28, 1997, after acknowledging that Helyar was not expert in the field of interpreting contracts, Mr. Murray advised Rafiki that Rafiki had the right to require a panelization system which met all local codes including Bulletin 95-9, at no extra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meeting was held on March 5, 1997 to discuss the issue. In attendance were Mr. Ivanore, Mr. Bhatia, Mr. Kassam, Mr. Policzer, and the solicitors, Mr. Third and Mr. Morgan. Mr. Jacob and Mr. Murray were absent. Mr. Ivanore recalled that Mr. Murray was present but the minutes do not confirm this. The minutes show that the action to be taken was that Mr. Policzer was to decide on whether Stuart Olson was responsible for the additional cost of EIFS. Contrary to Mr. Ivanore's recollection, the minutes do not show an agreement that $140,000 was approved for payment. Mr. Policzer conceded that, at the meeting, he was initially of the view that because the specifications were poorly written, an argument could be made that supported Mr. Ivanore's position. He later read the specifications carefully and felt that he had correctly drawn the specifications. He concluded then that it would be unethical for him to require arbitration on an issue which could be resolved on the basis that the specifications were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Accordingly, on March 6, 1997, Mr. Policzer issued Change Order A-6 for $140,017.50. The amount was reduced from $168,189 because, as he stated during the meeting of March 5, 1997, it was his position that the premium paid to Seymour should be borne by Stuart Olson. He made that decision because K.D.H. Drywell was not an acceptable subtrade and Stuart Olson had not submitted its list of subtrades for qualification as it had been required to do under the construction contract. Mr. Jacob signed the Change Order but said he did so under duress because he had already let the contract to Seymour and he feared facing a lawsuit if he refused to sign. By that time, Seymour had been at work for approximately two and one-half weeks. Mr. Ivanore signed the revised Change Order. He said that he had done so because he felt the Project would come to a halt if he did not, not because he agreed with the decision to issue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the question of liability for Change Order A-6, Integrated advanced two arguments. It alleges, first, that Rafiki had the right to demand that Stuart Olson provide panelization. I have accepted the evidence of Mr. Policzer and Mr. Jacob that the revised drawings could only be met by the manufacture of panels off site. Having reached that conclusion, I agree with Mr. Policzer's decision. The opinion of Mr. Murray is flawed. The construction contract does give the owner the right to choose between alternatives and require the contractor to provide its choice without an adjustment to the contract price. Initially, there were in situ alternatives permitted by the specifications but when the requirements of Bulletin 95-9 were known and the specifications altered, there were no alternative solutions available. It cannot be said that Rafiki's failure to enforce its right of choice denied Integrated the opportunity to save the Project $168,189.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second submission of Integrated is that Stuart Olson was in breach of its contract because it failed to provide a list of subtrades in a timely fashion. It failed to keep its costs down by providing multiple quotations for panelization as requested by Integrated and it failed to provide a breakdown of the contract price. Stuart Olson, therefore, lost its right to demand extra payment for the premium of proceeding with Seymour. Rafiki's election to pay this extra is a breach of its April 1996 Agreement with Integrated. That argument relates to Change Order A-20. It was in that Change Order where Rafiki approved payment of the additional $28,000. That approval has no bearing on responsibility for the costs of revising the EIFS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conclude that Rafiki was entitled to an exterior skin which met the city's requirements. It was the obligation of Integrated to be aware of those requirements and to ensure that the architect met them in the drawings. I reject the interpretation of the contract put forward by Helyar and accept that of Mr. Policzer. In any event, Mr. Policzer had authority under the construction contract to decide disputes between the contractor and the owner. When he did so, it was reasonable for Rafiki to accept his decision. Rafiki cannot be said to have breached its contract with Integrated by doing so. While Mr. Ivanore may not have intended to approve the Change Order by signing it, his signature does indicate an acceptance of Mr. Policzer's decision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have earlier found that Integrated was contractually bound to provide, for the contract price, a 3-star hotel or a hotel of reasonable quality. An exterior skin which met the bylaw requirements of the City of Vancouver was necessary in order to meet either standard. In the absence of some reason for allowing Integrated to avoid its contractual obligations, the costs associated with the changes required by the amendment to the city bylaw are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Integrated is responsible for the costs covered by revised Change Order A-6 in the amount of $140,017.50.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A-7 - $97,289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This Change Order covers a number of items, only one of which is in dispute. The disputed item is the cost of drapery tracks in the amount of $36,380. Of that total, Integrated disputes its responsibility for $13,580. That amount is the difference between the drapery tracks supplied and cheaper drapery tracks which Integrated say were suitable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evidence as to suitability comes from Mr. Ivanore. He conceded that he did not have expertise in the area of what was appropriate for drapery tracks and agreed that he would ordinarily be bound by the opinion of the consultant. Beyer-Brown was the consultant and stipulated the provision of what both Mr. Ivanore and Mr. Policzer described as a Cadillac system. The issue of the suitability of the drapery tracks was discussed during construction. Beyer-Brown said that it would not guarantee the operation of the tracks if its specifications were not followed. It argued, as well, over what was included in the guarantee of the alternative system proposed by Integrated but that was never resolved. Rafiki conceded that it had no expertise in the area and insisted on following the advice of Beyer-Brown. Mr. Policzer testified that he would accept Beyer-Brown's opinion as a consultant unless Mr. Ivanore could produce powerful evidence which would persuade him not to do so. He never received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find that Integrated accepted Beyer-Brown as the interior design consultant and was, therefore, bound to accept its advice unless it could show that an alternative track was an equivalent system. No expert evidence was called by either side. I find that Integrated has failed to challenge the expertise of Beyer-Brown. The full cost of the system specified by Beyer-Brown should be included as a cost within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add that Mr. Ivanore's concern that Beyer-Brown were the suppliers of the track and, therefore, had an interest, has not been shown to have any relevance. Integrated cannot succeed in disputing the account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Integrated is responsible for the entire amount of $97,289 covered by Change Order A-7.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A-8 - $5,990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This Change Order covers the additional cost of providing halogen pot lights at door entrances. The original design on the electrical engineer consultant called for halogen pot lights and were specified in the tender drawings. In its bid, however, Stuart Olson provided for a less expensive alternate lighting package than that specified in the tender drawings. Mr. Jacob testified that he had done so because of the provisions in Addendum No. 2 issued by Mr. Policzer June 27, 1996. A clarifying letter of June 26, 1996 was an integral part of Addendum No. 2. The clarifying letter states "Client will accept alternates of equal quality which are substantiated by the contractor." Mr. Jacob stated that he was urged by Mr. Ivanore to provide less expensive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It is probable that the provision in the clarifying letter was requested in general terms by Mr. Ivanore but that the language is that of a junior architect in the office of Mr. Policzer. Mr. Bhatia and his solicitor, Mr. Morgan, had copies of documents which made reference to the alternate light fixture package. There is no evidence that it was approved by them. Mr. Ivanore testified that the electrical engineer consultant had reviewed and approved the package but that is at odds with the evidence of Mr. Policzer who stated that when he reviewed the package, the electrical engineer consultant insisted that halogen be used. Certainly Rafiki made it clear that it insisted on halogen pot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find it unlikely that the electrical engineer consultant did approve the substitution of incandescent lights for halogen lights. While I agree that Rafiki had an obligation to cooperate and could perhaps have approved the alternate package, it was not obliged to do so by the terms of the clarifying letter. That letter can have no binding effect on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Had the dispute been left open, I would have found that, on balance, the electrical engineer consultant's opinion as to what was a reasonable standard, should be accepted. It is unnecessary to make that decision, however, since Integrated has conceded in its letter of January 30, 1997 that this was an area of confusion and that it was "willing to agree that the pot lighting and drop ceiling are not an extra 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light of that admission and for the reasons given, I find that Integrated must bear the responsibility for Change Order A-8 in the amount of $5,990.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A-9 - $49,479.29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This Change Order is made up of four items, all of which are contested.</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Added security conduit and box system - $8,472.99. No provision was made for a security system in the April 1996 Agreement, nor in the other documents comprising the scope of the Project. There was no evidence of any oral agreement in respect of a security system. Mr. Bhatia alleged that the conduit was standard for a 3-star hotel so that a security system could be installed. He said that he had shown Mr. Ivanore a similar system on his tour of the Days Inn Hotel. Mr. Ivanore agreed only that he had seen a television monitor in Mr. Bhatia's office and he disputed the date of the tour of Days Inn. His contention was that, late in the construction phase, Mr. Bhatia had retained the services of a security consultant. The conduit was an expense required to meet the specifications of that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find no reference to security systems in the new construction prototype information of Holiday Inn Express. I find the evidence of Mr. Ivanore to be a reasonable explanation for provision of the conduit. I conclude that the conduit is outside the scope of the Project and is the responsibility of Rafiki.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Conduit for additional telephone outlets - $20,106.30.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original specifications attached to the November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1995 Letter called only for phone jacks in all suites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washrooms. The scope outline in place at the time of the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1995 agreement called for two telephone jacks 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each room and one in the washroom. The electrical scope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work, made part of the April 1996 Agreement,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one telephone outlet in the room and one in the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bathroom.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Ivanore testified that Mr. Bhatia had requested the outlet in the bathroom be removed and then, when construction of the building reached floor six or seven, he requested a second outlet in the room. At that point, it was necessary to drill and jackhammer the concrete. That work accounted for the bulk of the additional costs. Mr Bhatia agreed that he had asked for the removal of the bathroom outlet when he was told it was not permitted. He delayed in requesting the second outlet in the bedroom because he had always anticipated there would be two jacks in the room. That was not a change. It was what was specified and what he had always wanted.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Policzer had not received specifications requiring two outlets in each room until January 1997. The Scope of Work Document had not been provided to him by Mr. Ivanore. When Mr. Policzer learned of the need for a second telephone outlet in each room, he believed the building construction was at approximately the fourth or fifth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only conclude that Integrated failed to provide the Scope of Work Document to the architect. It is no answer to say that it was not obliged to do so because the Project had been abandoned. When the Project was renewed, Integrated had the obligation of providing the document to Mr. Policzer.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Integrated bears the responsibility for conduit for additional telephone outlets in the amount of $20,106.30.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Other Changes (not included in security and telephone) - $14,500.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Ivanore testified that there were five elements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other changes. The first was to provide power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ice machines on alternate floors. That was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because of Rafiki's request for power on every floor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rather than on alternate floors. Secondly, Rafiki wished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provide power to overhead doors in the parking garage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which would allow those doors to be opened by automobile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drivers in a more convenient manner. Third was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requirement that power be connected to commercial dryers.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Fourth, changes to the first floor were required in 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meet Hampton Inn requirements which were delivered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Integrated well after construction was underway. Fifth,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additional changes on the second floor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accommodate the addition of door openers to handicapped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Jacob testified that these changes were miscellaneous changes incurred in co-ordinating the electrical drawings with other consultant drawings. Changes were necessary to provide power to pop machines on alternate floors and to the laundry room on the parking level. Both were required by the Scope of Work Document but not shown on the drawings. Other changes were required to provide power for overhead doors in the parkade and miscellaneous electrical changes to the ground and second level following issuance of the for-construction drawings. Mr. Jacob did not know if the changes related to Hampton Inn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Mr. Bhatia nor Mr. Policzer had any knowledge of the miscellaneous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letter dated December 19, 1996 which refers to changes to be completed on the ground floor as required by the city and pursuant to Hampton Inn suggestions.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Integrated seems to suggest in its submission that there is a connection between the changes for providing power and tiling to alternate floors in Change Order A-9 and similar charges found in Change Order A-54. It proposes a division of costs covered by Change Order A-54. I do not agree. Change Order A-9 covers electrical costs plus tiling. The contractor was Arnold Nemetz. Change Order A-54 refers to roughing in of services for the "balance of floors." The contractor was William Kelly &amp; Sons. There does not appear to be a duplication of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 has accepted responsibility for Change Order A-54. There may be logic in having it accept the charges in Change Order A-9 as well but it has not done so. The parties are free to agree if a consensus can be reached. In the absence of an agreement, I find that neither party has provided proof of the quantum of costs to be charged for the electrical connections. I make no provision to accommodate whatever those costs may have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power connections for commercial washers and dryers, the disposition of Change Order A-43 has relevance. That Change Order is in the amount of $38,662 for the installation of services to the commercial laundry room on the first parking level. The Scope of Work Document makes provision for a commercial laundry. Mr. Ivanore did not suggest that he was unaware of the need to have it provided. The mechanical engineering consultant, Mr. Djwa, testified that he did not provide an initial design for the laundry room because he was advised that the room was to be "laundry/storage". He said that, in any event, it would have been difficult for him to provide specifications before he had a "layout of the room including equipment size and location". He conceded that had he known earlier that a laundry room was part of the Project, he would have asked the architect to provide a layout.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Policzer testified that the mechanical drawings failed to make any provision for services to the laundry room and that he failed to note that omission until after construction had begun. He felt it was the responsibility of Integrated to co-ordinate the services of a mechanical engineering consultant with the architectural drawings. He disagreed with the suggestion put to him on cross-examination that the mechanical engineer could not provide drawings until shop drawings had been produced. Some general provisions for services could have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Jacob testified that since nothing had been shown on the mechanical engineering drawings and nothing provided, it was necessary to do remedial work such as cutting into the concrete to provide for a sump pit. It was also necessary to provide for electrical connections, gas connections, water connections and drainage. He felt the mechanical engineer consultant could have provided a design for the laundry room without having shop drawings.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that evidence, Integrated's submission that Rafiki had the obligation to supply the laundry room equipment and without it, Mr. Djwa was unable to complete the design, cannot succeed. I find that Integrated had a responsibility to co-ordinate the services of the mechanical engineer consultant. Its failure to do so led to the additional charges. I will, in consequence, order that the costs covered by Change Order A-43 are the responsibility of Integrated.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necessarily follows that Integrated is responsible for the costs associated with commercial washers and dryers covered by this Change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further change under this heading is electrical revisions for ground floor changes. The evidence relating to these changes is not particularly satisfactory but I accept the evidence of Mr. Jacob. He said that the changes relating to the provision of power for overhead doors in the parkade were required for a motor which operated the overhead door. Mr. Ivanore explained that Mr. Policzer changed the location of the card reader at the entrance to the parkade so that a driver could have easier access to it. That required a change in wiring. A proper standard for any parkade would provide for access by the driver and not the passenger. It was the responsibility of Integrated to ensure a proper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Mr. Ivanore, the changes on the second floor and ground floor were required by Hampton Inn specifications. They were required after provision of the for-construction drawings and led to the electrical changes covered by this Change Order. Integrated might well have a legitimate claim that this item should be charged to Rafiki but, on December 19, 1996, Mr. Ivanore wrote to Helyar on behalf of Rafiki. He stated that Integrated had incorporated the changes suggested by Hampton Inns and went on to say "All of this additional work was completed for the client at no additional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infer from that statement that the changes must have been discussed and that Integrated agreed to assume the cost of implementing them. In those circumstances, Integrated must bear the responsibility for the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Integrated will be responsible for other changes in the amount of $14,500.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Telephone Pre-wiring - $6,400 Mr. Bhatia testified that this cost was for wiring in the walls leading to the telephone jacks. His expectation was that Integrated would provide the pre-wiring. Mr. Ivanore and Mr. Policzer both testified that a custom had developed in the construction industry whereby the general contractor did not provide pre-wiring. Mr. Ivanore also testified that he had been instructed by Rafiki that it would provide the entire telephone system; Integrated was to stay out of it. Pre-wiring simply requires the placing of a telephone wire through the conduit which was provided by Integrated as part of the project costs. The contract governing the Elks Lodge Project had required pre-wiring. Mr. Policzer agreed pre-wiring was essential but that does not determine responsibility. The Scope of Work Document provides "all telephone and tv wiring and equipment is by others." The electrical specifications require "all wire and cables to be installed in conduit." Finally, Mr. Jacob indicated that contracts may or may not include pre-wiring.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interpret the electrical specifications as meaning where wiring is provided, it must be placed in conduit. The provision in the Scope of Work Document that wiring was to be by others is difficult to interpret. It may be a reference to cable and telephone companies providing the wiring but that is not certain. The Holiday Inn Express prototype information includes under the heading Furniture/Fixtures and Equipment Cost, the cost of television and telephone systems. Rafiki is responsible for furniture and fixtures.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Integrated should not be held responsible for the provision of pre-wiring. It is part of the telephone system. Given the evidence of industry practice, the lack of any specific contractual provision and the evidence of Mr. Ivanore that he was told to stay out of the area, I find that Rafiki is responsible for the cost of telephone pre-wiring in the amount of $6,400.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the result, Rafiki is responsible for $14,872.99 under Change Order A-9 and Integrated is responsible for $34,606.30.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A-10 - $1,921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Integrated admits that this Change Order, which covers the cost of hoarding rental, is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A-11 - $529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This Change Order covered the cost of providing a large elevator button in the lobby. Rafiki admits it is a scope upgrade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A-12 - $5,397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This Change Order for the costs of parking rental is admitted by Integrated to be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A-13 - $5,750.64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This Change Order covers the provision of modified bathroom light fixtures. Rafiki concedes it is an upgrade to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A-14 - $1,041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This Change Order for delivery costs of a make-up air unit is dated April 9, 1997. Construction was well advanced. Mr. Policzer testified that, as a result of testing, he learned that a larger make-up air unit was required. Mr. Ivanore agreed that the unit was required but said it would ordinarily have been delivered by truck and that Rafiki had requested delivery by air. There was a concern that the construction crane would be removed from the site if a premium was not paid to bring the unit in by air but Mr. Ivanore did not feel that the crane was necessary to raise the unit to the roof. He then conceded that he had agreed to a Change Directive and had agreed with the immediate ordering of the equipment. He even testified that he was in agreement with the payment of the premium to expedite delivery. Again, that does not resolve the question of who is responsible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Integrated denies responsibility on the basis that this was an acceleration expense for which it was not responsible unless its conduct, in some way, led to the need to accelerate delivery. I agree with that contention. The need for the new unit was discovered through testing. It was not, in any way, the fault of Integrated nor could Integrated have anticipated the problem. The provision of the larger unit was an upgrade to the scope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Rafiki will be responsible for the costs of Change Order A-14.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parties agree that this Change Order is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A-16 - $10,019.30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mechanical contractor on the project was William Kelly &amp; Sons. The invoice covered by this Change Order was submitted by them on February 21, 1997. It is conceded by both parties that the additional work described in the invoice was done by the mechanical contractor and was required by changes provided for in the for-construction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Stuart Olson was required by the terms of the construction contract to review the for-construction drawings within 10 business days of their receipt and if an increase in the contract price was called for, to deliver a written submission to the owner setting out, in detail, its request for price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contract went on to provide at page 3B: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Contractor does not request an adjustment to the contract price within ten days of receipt of the Issued for Construction Drawings, the Contractor shall be deemed to have acknowledged that no adjustment is necessary and the contract price shall therefore be the sum stipulated in the within contract as of the date of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for-construction drawings were delivered on September 23, 1996. According to Mr. Jacob, they were delivered to Stuart Olson on September 26 and 27, 1996. Mr. Jacob testified that Stuart Olson's claim for price revisions was advanced in his letter of October 15, 1996 but not dealt with until the Change Order was issued on April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Ivanore testified that the claim was rejected when it was first submitted and then subsequently resubmitted. It was rejected on both occasions on the basis that the claim was made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Rafiki takes the position that Mr. Djwa, the mechanical consultant, approved the additional charges and had recommended that Mr. Policzer accept the claim. Ultimately, Mr. Policzer issued the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position of Integrated is that the claim was made after the contractual right of Stuart Olson expired and that, by its late approval of the Change Order, Rafiki waived Stuart Olson's non-compliance with its contractual obligations. Rafiki's obligation to cooperate with Integrated was therefore breached and Rafiki must accept responsibility for the additional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 absence of some evidence that Integrated had consented to the extension of time for Stuart Olson to advance claims, its position seems unassailable. Rafiki was contractually obligated to cooperate in meeting the budget. By extending the time, it gave Stuart Olson access to funds it would not otherwise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Although the additional costs are within the scope of the Project, they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A-17 - $6,307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This Change Order covers a second door in the maid's room on each floor. The original plans of November 1995 called for a single door. Mr. Policzer said he had done that because he was not aware of the size of the maids' carts to be used. During construction, Mr. Bhatia noticed the size of the door and had Mr. Policzer change to a two-leaf door. Changes to some single leaf doors already installed required renovation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Integrated was not advised during the planning stage of the size of the maid's cart to be used. Mr. Bhatia said that he had shown Mr. Ivanore a cart during a tour of Days Inn in November 1995. Mr. Ivanore has consistently denied that he had that tour in November. In any event, no specifications for the carts were given to Mr. Ivanore.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It is reasonable to assume that maids' carts come in different sizes. There is no evidence to suggest that a particular size is required by a 3-star hotel or to meet appropriate standards. The duty of Rafiki to cooperate would surely include giving specific requirements such as this to Integrated. I find that Rafiki has the responsibility for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A-18 - $1,104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This Change Order covers the cost of installing hairdryers. Rafiki admits it is an upgrade to the scope of the work. Rafiki is responsible for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A-19 - $13,653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This Change Order covers the cost of extra grab bars in tub areas in the hotel rooms. Rafiki admits this is an upgrade to the scope of the work required in the Hampton Inn specifications and accepts responsibility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A-20 -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This Change Order covers two matters. In dealing with Change Order A-5, Integrated admitted that the provision of low E glass was within the scope of the project and accepted responsibility for the costs. That admission related to only part of the full cost for low E glass charged by Stuart Olson. The full amount charged was $49,510. A balance of $31,010 remained unpaid as a disputed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Secondly, Change Order A-6 was originally presented in the amount of $168,189. The revised Change Order was for $140,017.50, leaving a disputed amount of $28,171.50.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total of the two disputed amounts was $59,181.50. In its agreement with Stuart Olson of April 30, 1997, Rafiki agreed to settle these disputed amounts for $45,000 in return for Stuart Olson accelerating the completion date of the contract. This Change Order covers that settlement amount. The Change Order is dated in May 1997 and was approved by Rafiki in June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dispute over the provision of low energy glass (low E glass) is complex. Under its energy utility by-law, the City of Vancouver required the mechanical engineer consultant to prepare heat loss/gain calculations based on shading and thermal coefficients. Based on those calculations, the consultant was then required to decide among three options or combinations of them. Available options were tinted glass, low E (low energy) glass and windows containing argon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June 1996, Stuart Olson tendered on the basis of providing tinted glass, not low E or argon gas-filled glass. At that time, Stuart Olson apparently intended to use a company called Almetco Building Products Ltd. as its glass supplier, although a final decision had not yet been made. Mr. Djwa, the mechanical consultant, did his calculations and supplied them to Almetco. Almetco then advised that windows with both low E and argon gas were necessary. Mr. Ivanore was dissatisfied with that conclusion and asked for the calculations to be reconfirmed. Mr. Jacob testified that Almetco complied and that Mr. Djwa reconfirmed that both elements were necessary. He testified that Mr. Ivanore still questioned the necessity for windows with both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documentary evidence does not support Mr. Jacob's recollection. A letter from Almetco of September 10, 1996, addressed to Stuart Olson, gives four alternative calculations. Mr. Djwa considered the four options and found that an option providing for only low E glass met all of the conditions. That opinion was sent to Stuart Olson. Although the mechanical consultant made that decision in early October 1996, no decision was made on glazing until February 10,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Policzer had withheld the processing of shop drawings for room air conditioners until the window selection was finalized. On February 10, 1997, Mr. Djwa confirmed to Mr. Policzer that bids from two suppliers of low E glass would meet the requirements of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Jacob testified that in the fall of 1996, Almetco had refused to provide further calculations and that he had obtained a tender from an alternate supplier, Starline Windows. Starline was also of the opinion that both low E glass and argon gas glass were required. Mr. Jacob's position was that Mr. Djwa changed the criteria in February 1997 to require only low E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There appears to be merit to that suggestion. While Mr. Djwa gave the opinion that low E glass was all that was required as early as October 7, 1996, it is apparent that a debate continued among the suppliers, Stuart Olson and Mr. Djwa. Certainly, in November, Mr. Djwa again asked for the suppliers to recalculate the requirements. That would indicate he had not made a final decision. He suggested that Mr. Ivanore was unhappy about any requirement beyond tinted glass which accounted for the delay in implementing his decision. It seems equally plausible that Stuart Olson continued to rely on the opinion of its suppliers that both low E glass and argon gas glass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At the end of the day, because of the delays, Almetco could no longer meet Stuart Olson's timetable for delivery. The Starline tender was accepted. The higher cost of Starline's bid and the increased cost of providing low E glass are included in the disputed amount of $31,010.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conclude that events have shown Mr. Ivanore to be right. Stuart Olson's suppliers were insisting on both low E glass and argon gas glass. Mr. Ivanore did not agree and persisted in his opposition until a final decision was made that only low E glass was required. Integrated had a responsibility to ensure that glazing which met the City of Vancouver's requirements was supplied. Mr. Ivanore was entitled and, indeed, had the duty, to insist on the lowest reasonable price. The cost of supplying low E glass is not controversial. It is within the scope of the Project. The real issue is whether the delay which led to increased costs was the responsibility of Integrated. I find that it was not. Stuart Olson was obliged to make a timely decision as to the supply of glass. Apparently, Mr. Jacob relied on the opinions of his suppliers in preference to the opinion of Mr. Djwa. When Rafiki settled with Stuart Olson, it prevented Mr. Ivanore from contesting liability for the increased costs included in the Change Order. Although Rafiki approved the Change Order at a time when it was engaged in a dispute with Stuart Olson, that does not diminish its responsibility to cooperate in meeting the budget for the Project. It may have made business sense for Rafiki to pay additional monies to have Stuart Olson accelerate the completion date of the Project but, in doing so without the approval of Integrated, it must bear responsibility for increased costs which may not have been payable had Integrated been given the opportunity to contest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Rafiki is responsible to pay the increased costs associated with the provision of low E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second disputed amount of $28,171.50 represented the difference between Change Order A-6 as it was originally presented and the amount eventually approved. That difference was a premium paid to Seymour for undertaking both the EIFS and drywall contracts. There was a dispute over pricing. Integrated contends that Stuart Olson failed to provide several price estimates as requested, thereby compelling it to approve proceeding with the Project before prices could be compared.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It is difficult to determine who is responsible for the delays in obtaining pricing for the exterior skin of the building. I can only conclude that both Stuart Olson and Integrated must share responsibility. There was an apparent lack of communication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Integrated also says that Stuart Olson failed to put forward the names of its subcontractors for approval as it was required to do under its construction contract. It thereby lost the opportunity to determine the eligibility of K.D.H. Drywall as an alternate supplier to Seymour Building Supplies. There is little substance to that suggestion. K.D.H. Drywell was found by Stuart Olson, Mr. Policzer and Mr. Ivanore to be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Bhatia was present at the meeting of the parties and their solicitors held March 5, 1997. Stuart Olson was not represented. A decision was made at that meeting that Mr. Policzer should issue a letter stating that an increased charge of $25,000 incurred as a result of switching from K.D.H. Drywall to a different contractor was not acceptable. Apparently that did not apply to Seymour, but it is clear that increased charges would not to be accepted. Despite knowing that, Rafiki went ahead with approval of Change Order A-20 as part of its agreement with Stuart Olson on acceleration. It is responsible for the increased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find that Rafiki is responsible for the $45,000 in additional costs approved in its settlement with Stuart Olson, which led to the approval of Change Order A-20.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A-21 - $1,634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This Change Order covers the supply of a pair of one and one-half hour fire rated doors from the laundry to the parking lot. The door requirements had been changed from the original design in order to accommodate laundry equipment. Mr. Policzer confirmed that his drawings only provided for a three foot door and that he realized the laundry equipment ordered would not fit through the door. He, therefore, provided a double door to the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Integrated takes the position that because Rafiki had the obligation to provide equipment, it was obliged to give its decision on the type of laundry equipment to be purchased at an early date so that design of the laundry room could accommodate the equipment. There is no doubt that Rafiki delayed in making its selection. By the time it decided on equipment, the laundry room with the smaller door had already been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submission of Integrated cannot succeed. It appears from the correspondence that Mr. Ivanore knew as early as September 1996 that a typical commercial laundry room would be accessed by double doors. It seems only reasonable to assume that a three foot door could not accommodate the delivery of commercial laundry equipment. Mr. Ivanore's failure to ensure that the architect made appropriate provision was a failure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Integrated is responsible for the costs associated with Change Order A-21.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A-22 - $1,263.47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Two 26 inch and four 18 inch parabolic mirrors were supplied for the parkade. The City of Vancouver required only the 18 inch mirrors. The larger mirrors were installed at the request of Rafiki. Based on a subtrade quotation, $458.64 is the increased cost of the larger mirrors. Integrated is responsible for $804.83 and Rafiki for $458.64.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A-23 - $849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Integrated admits that this Change Order, which covers the cost of an additional door to the main electric room, is within the scope of the Project. Integrated is responsible for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A-24 - $1,416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Integrated admits that this cost, covering parking lot rentals, is within the scope of the Project. Integrated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A-25 - $5,833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This Change Order covers the provision of a second towel bar in guest bathrooms. It was required by the Best Western specifications. Rafiki accepts responsibility for the costs of this Change Order as an upgrade to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A-26 - $419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Ivanore testified that if Rafiki used a Bosun's chair to wash windows, then window washing anchor plans are required by W.C.B. Regulations. The alternative was for Rafiki to hire a subcontractor who used a swing stage. If that choice had been made, the window washing anchor plan would not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Policzer testified that Mr. Jacob suggested the need for the plan. Mr. Policzer thought it would be a good safety feature and discussed it with Rafiki. The cost for the plan was low so it was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Integrated took the position that it was for Rafiki to make its decision before April 1996 so that the agreement could incorporate the provision if it was necessary. That is unrealistic. Such a minor item could not be expected to have been discussed at that early stage. Common sense suggests that it would be expected that a 3-star hotel would have a window washing plan available. Even if the owners decided to initially subcontract window washing, the provision for washing windows with a Bosun's chair would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Integrated has the responsibility for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A-27 - $786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early plans called for public telephones to be wall-mounted. A change was made and the telephones were recessed. Additional costs were incurred. Integrated takes the position that Rafiki chose to have the recessed appearance. Mr. Bhatia denied requesting the change. From the evidence of Mr. Ivanore, it is probable that Beyer-Brown specified the change in appearance. Integrated accepted their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have earlier held that Integrated is obliged to follow the advice of its consultants unless it can show compelling reasons for not doing so. No attempt was made to do that. Integrated is responsible for the additional cost as part of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A-28 - $10,162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costs covered by this Change Order are for flag poles required by the Hampton Inn specifications. Rafiki accepts the additional charge as an upgrade to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A-29 -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costs covered by this Change Order are associated with provision of a ventilation louvre for the lobby telephone room door. Mr. Policzer testified that the Building Code required a ventilation louvre and that his firm had overlooked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Integrated contends that because Rafiki is responsible for the telephone system, the louvre to the telephone room door should be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conclude that a design for a hotel telephone room to a proper standard would take into account that regardless of the system used, heat would be generated and ventilation would be required. In any event, it was Integrated's obligation to ensure a design that complied with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Integrated is responsible for the ventilation louvre.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A-30 - $1,213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 membrane on steel stud walls was required. Integrated admits the costs associated with the membrane are within the scope of the work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A-31 - $4,686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Some of the hotel units have kitchenettes. The original design was changed by adding two foot side walls to the counters in order to improve the appearance of the kitchenettes. That change led to a requirement for extra sprinkler heads, extra painting and a change in wall coverings. Rafiki agrees that the vinyl wall coverings supplied were an upgrade to the scope of the work and its responsibility. That amount is $630.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As to the other work, Mr. Bhatia testified that the items covered were required by the Hampton Inn specifications. Mr. Policzer testified that he made the change after consulting with Beyer-Brown.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Ordinarily I would hold that Integrated was responsible to implement the interior design recommended by Beyer-Brown unless it had good reason not to do. However, here Beyer-Brown was not acting on its own initiative. It made its recommendations based on the Hampton Inn specifications. The Hampton Inn specifications have not been shown to be applicable to all 3-star hotels. I conclude that the addition of the side walls was to beautify the appearance of the kitchenettes and that the walls were not necessary to meet 3-star hotel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Rafiki should bear the costs of all of the charges covered by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This Change Order includes a credit of $726 for deletion of a door on the 12th floor. Integrated says that the credit should go to the project. The door change was required by the addition of the side walls, according to Mr. Policzer. Since Rafiki is to bear the costs associated with the changes, it does not seem to me that it should not have the advantage of the credit. The credit simply allows the calculation of the net cost of the changes. There will be no additional requirement for the credit to go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A-32 - $3,070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costs covered by this Change Order were associated with a change in the light fixtures over guest room entrances. Integrated admits that the changes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A-33 - $765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This Change Order covers the cost of a change in colour to the end caps of bathroom light fixtures. Integrated admits it is within the scope of the Project. Rafiki is entitled to the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A-34 - $15,585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Policzer testified that the costs associated with this Change Order were required because of a need to re-wire the connection between the air conditioner thermostats and a wall-mounted master switch at the door of the hotel rooms. The master switch turned off the lights in the room and lowered the thermostat. This connection was a City of Vancouver requirement. Mr. Policzer was uncertain whether the failure to include the connection was a mistake on the part of the mechanical engineer. He doubted that this was made an issue because of an approach by Carrier to the City of Vancouver, as was suggested by Mr. Ivanore.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Bhatia testified that when it became known that the connection would be required, he attended a meeting at City Hall where an agreement was reached that the connection would be made immediately on floor levels 5 through 12. He gave an undertaking to the city, on behalf of Rafiki, to provide for connections for the second, third and fourth floors when a cost effective control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Ivanore testified that the City had rejected the original calculations sent to it by Carrier because they did not meet the City's energy efficiency ratio (EER) requirements. As a result, Mr. Djwa was instructed to find a solution. He said that it was because the original Carrier calculations did not meet EER requirements that the subsequent negotiations and this Change Order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light of Mr. Policzer's evidence, I reject the recollection of Mr. Ivanore. I find it likely that the EER requirements of the City were overlooked in the early planning stages. It was the responsibility of Integrated to provide the necessary supervision to ensure that City requirements were met. Integrated is responsible for the costs associated with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A-35 - $766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This Change Order covers the cost of providing a stainless steel bicycle rack. Mr. Policzer said that a city bylaw required bicycle racks. It was an oversight on his part not to include them. Without the provision of bicycle racks, Rafiki could not have obtained an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Integrated contends that bicycle racks are part of landscaping obligations which were specifically excluded from the contract. Mr. Policzer disagreed. He said that bicycle racks are not typically shown in landscape drawings but in architectural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am satisfied that Integrated has the responsibility for the cost of the bicycle racks. Not only were they required by parking bylaws, they also formed part of the finishings expected in a hotel. A reasonable standard in 1997 would surely have made provision for bicycles.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A-36 - $60,905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costs covered by this Change Order relate to landscaping costs. Integrated accepts responsibility for $850 for blacktop repair and $300 for line painting. It says the balance of the landscaping costs should be Rafiki's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Although this Change Order is loosely referred to as covering landscaping costs, it, in fact, covered the blacktop repair and line painting for which Integrated has accepted responsibility, and work done on City property contiguous to the Project. The blacktop repair and line painting were required because of damage done to neighbouring property during landscaping. The work done on City property was described by Mr. Policzer as including grass and trees on the City boulevard, a sidewalk on City property and the infilling of an area adjacent to the Project. The design of the Project left a gap between the building and the Granville Street Bridge which the City required the developers to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am satisfied that those items are directly related to the landscaping of the Project and are properly included as landscaping costs. I reject Mr. Ivanore's explanation that the infilling was required to prevent access to the area of the building by derelicts who slept in a tunnel under the Granville Bridge. His suggestion was that the cost of infilling should be charged back to the Elks Lodge because it was access to its area that was affected. There was no evidence of any agreement with the Elks Lodge, nor of an approach to them asking them to absorb the costs. I accept Mr. Policzer's evidence as to the reason for infilling. Even Mr. Ivanore admitted that, in part, the infilling supported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Landscaping was not included as a line item in the pro forma budget attached to the April 1996 Agreement, nor was it included in the Scope of Work Document in existence at the time the April 1996 Agreement was signed. Because the costs were not included, Integrated says that the costs should be Rafiki's responsibility. Mr. Ivanore testified that he specifically excluded the item from the pro forma budget because he understood landscaping was typically provided by the general contractor. His evidence cannot be accepted. There is a provision in the Scope of Work Document for exclusions. Landscaping was not specifically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specifications attached to the November 24, 1995 Letter specifically included landscaping in the budget. The prototype information of Holiday Inn Express also shows landscaping included in the soft costs. It is interesting to note that the Holiday Inn information seems to have been the basis for the specifications attached to the November 24, 1995 Letter. The language of the two paragraphs is almost identical. That indicates to me that as early as November 1995, Integrated had the prototype information from Holiday Inn Express.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find that proper landscaping forms part of the requirements of a 3-star hotel. I find further that it was included in the discussions amongst the parties. I find it likely that Mr. Ivanore removed landscaping as a cost in the pro forma budget in order to make the cost more attractive to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Integrated must bear the responsibility for the landscaping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A-37 - $5,987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This Change Order covers the provision of telephone wiring from the telephone vault on the main floor to the hotel rooms. Mr. Bhatia knew nothing of this Change Order. Mr. Jacob agreed that telephone pre-wiring may be excluded at the owner's request. Mr. Ivanore conceded that this Change Order dealt with the same issue as telephone pre-wiring charges covered by Change Order A-9.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dealing with Change Order A-9, I ordered that telephone pre-wiring was the responsibility of Rafiki. I see no reason to make a different allocation of these costs. Rafiki will be responsible for telephone wiring from the vault to the hotel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A-38 - $348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This Change Order covers the cost of fuel for the emergency generator. Mr. Ivanore testified that the City of Vancouver only required that the emergency generator be operable. He was incorrect in that statement. Mr. Policzer testified that the City required the generator to be filled with fuel in case of a power outage. The City bylaw sets out the requirement for an emergency power supply capable of operating for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Integrated had the responsibility to ensure that the Project met city bylaws. Without fuel, the generator did not meet the requirements. Integrated is responsible for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A-39 - $8,939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costs covered under this Change Order are for sidewalk repairs. Integrated admits that the repairs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A-40 - $1,103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associated costs for this Change Order are for parking rental for June 1997. Integrated admits the costs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A-41 - $4,649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This Change Order covers the costs of upgrading wall-mounted thermostats to digital. Integrated takes two positions. It says first that the City of Vancouver required the upgrade during equivalency negotiations concerning EER ratings. That requirement followed the creation of an air of mistrust on the party of the City over the original Carrier EER calculations. There is no evidence to support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the alternative, Integrated alleges that the only requirement of the City was that the thermostat be wall-mounted. The evidence of Mr. Policzer is the only evidence on that subject and he testified that the City required an upgrade of the air conditioning thermostat to digital. I find that Integrated had a responsibility to meet City requirements and that this requirement was unrelated to Carrier calculations. Integrated is responsible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A-42 - $36,765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These costs are related to corridor pressurization. Integrated admits the costs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A-43 - $38,662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costs covered by this Change Order were incurred when revisions to the plans were required to accommodate the commercial laundry. As a result, ground floor electrical work, remedial work such as cutting into the concrete to provide for a sump pit, electrical connections for the sump pump, gas connections for the dryer, water for the washers and drainage were all affected. The earlier plans made no provision for a commercial laundry. Mr. Policzer testified that the omission was discovered after the construction of the parkade. He was of the view that this was a problem for the mechanical consultant, not the architect. The architect was entitled to assume that Integrated would co-ordinate an item such as this with the mechanical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Djwa, the mechanical consultant, testified that he did not provide an initial design for the laundry room because he understood the room was simply for laundry and storage. He said that before he could do his design, he had to have the layout of the laundry room including particulars of the equipment. It is clear that Rafiki did not make its selection of equipment until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Rafiki takes the position that the choice of equipment was not essential to the design to be produced by Mr. Djwa. Mr. Jacob and Mr. Policzer were of the same opinion. In fact, Mr. Djwa did produce the design before the choice of equipment was made. It is difficult to accept that the choice was critical to his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dealt with a similar issue under Change Order A-9 and found that Integrated had the responsibility to co-ordinate the services of the mechanical consultant. Its failure to do so led to the additional charges. As stated in that analysis, I find that the costs covered by Change Order A-43 are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A-44 - $5,909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There is some dispute as to how the costs covered by this Change Order were incurred. I am satisfied from a review of the documentary evidence that both the tender drawings and the for-construction drawings must have included a provision for heat lamps in the bathrooms. In October 1996, the electrical contractor suggested that the heat lamps be deleted. Mr. Jacob testified that, in January or February 1997, Rafiki rejected this cost saving proposal which Stuart Olson had passed along to Rafiki in its letter of October 15, 1996. The heat lamps were provided. Since, on the advice of the electrical contractor, Stuart Olson had deleted the heat lamps and was later obliged by Rafiki's decision to include them, a Change Order was necessary. Mr. Policzer referred the matter to the electrical contractor and after some delay the contractor approved the change as being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This change does not, as alleged by Integrated, appear to be a change from the tender drawings to the for-construction drawings. It is not, therefore, caught by Stuart Olson's contractual obligation to claim for additional costs occasioned by additions to the for-construction drawings within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Although the Change Order was not approved until June 20, 1997, the delay was the result of the matter being overlooked by the electrical contractor. It was not, as Mr. Ivanore contended, the resubmission of a rejected claim. Its approval was not related to the exclusion of Mr. Ivanore from the approval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find further that there is no evidence to support the suggestion that Rafiki had agreed to the deletion of heat lamps and then changed its mind. From the documentation, it appears that Rafiki made no decision until January or February 1997. Rafiki was entitled to expect that heat lamps were within the scope of the Project. It did not resile from that position. The costs of the Change Order are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A-45 - $8,575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These costs are related to the supply and installation of a fire safety plan which I understand to be a map showing exit routes, a fire safety plan box in the lobby, plan inserts into door plaques at suite entrances, fire panel monitoring equipment and the costs of monitoring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Scope of Work Document incorporated into the April 1996 Agreement stated explicitly that fire safety plans were not included. That document provides that fire safety plans are, "Not in Contract (part of FF&amp;E)". Mr. Bhatia agreed that the monitoring costs should be for Rafiki's expense but he quarrelled with the provision of additional equipment over and above the floor plan itself. Mr. Policzer testified that the provision of fire safety plans are usually part of the Project and not part of F.F.&amp;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Whether or not the costs are properly part of F.F.&amp; E., Rafiki agreed to the scope of work exclusion. The costs associated with the plan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There were also late charges involved. Mr. Ivanore testified that those charges were occasioned by Rafiki having discharged him from participation in the approval process. I accept that evidence. Rafiki is responsible for the additional costs. They were not entitled to exclude Integrated from the approval process. That does not mean that Integrated can escape responsibility for any of the costs incurred after the exclusion of Mr. Ivanore. Where, however, additional costs are directly related to that exclusion, there was a failure of Rafiki to cooperate in controlling costs and responsibility will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A-46 - $4,004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This Change Order covers the cost of hose-bibs (taps) for the underground parking area. They were not provided for in the specifications. Mr. Bhatia said that, on a tour of the Project, he noticed there were no taps and inquired as to how he could be expected to clean the parking lot without water. Without hose-bibs, he said it would be necessary to bring a hose down through three levels of parking which would be inconvenient and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Policzer said that the Change Order provided for hose-bibs complete with heat tracing, a process which supplies minimum heat to the pipes to prevent freezing. That is not a Building Code requirement but good contractual practice. He agreed that it was not practical to run a hose 300 feet to the bottom level of the parkade since it would require wedging open fire doors which is a violation of City bylaws. In his experience, provision was made in apartment buildings for at least one hose-bib in the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Mr. Djwa, the mechanical engineer consultant, testified that he designed the parkade levels without hose-bibs and said that was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Mr. Ivanore testified that he had explained to Rafiki that the provision of hose-bibs was unnecessary. His concerns were vandalism, a lack of pressure and a concern that existing sump pumps could not handle oily waste water. He said that he had constructed 12 buildings and had never installed hose-bibs. His evidence was that parking areas are normally cleaned with a small motorized vehicle. He said that Mr. Bhatia told him that it was not a concern since it would be part of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On the evidence of Mr. Djwa and Mr. Ivanore, and the fact that hose-bibs are not required by the City of Vancouver, I find that it is not unusual for parkades to be designed without hose-bibs. I am unable to infer that they are required for a 3-star hotel, or to meet reasonable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 conclude that the cost of hose-bibs is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A-47 - $3,338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These costs are related to remedial work to electrical closet doors. Integrated concedes that the work is within the scope of the Project and accepts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A-48 - $1,599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These costs are related to the provision of a roof ladder. Integrated admits that the costs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A-49 - $507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These costs are for the provision of a hot tub window guard. Integrated admits the costs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A-50 - $10,544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costs related to this Change Order are for the cost of upgrading the acoustic ceiling tile in the lobby of the hotel. The documentary evidence relating to the scope of the work is of little assistance. Neither the Scope of Work Document nor the tender drawings, particularize the tile to be provided. Mr. Bhatia's evidence was contradictory. He, at one point, said he expected regular ceiling tile for the lobby. At another point, he said that he had been given samples in a box which apparently had been provided by Bosa Construction Ltd., the unsuccessful contract bidder, and that box contained the tile which he expected to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Mr. Policzer agreed that not even the for-construction drawings stipulated the grade of tile. He said that in such a situation, the contractor could provide standard lower priced tiles but added that basic tile was not suitable for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It was not until March or April 1997 that Mr. Bhatia insisted on the use of tile such as that contained in the box from Bosa. That tile could not be used because of the ceiling plan. Accordingly, a compromise was reached on a tile which was lower in price than that supplied by Bosa but higher than the standard acoustic tile on which Stuart Olson had based its bid. Both tiles had the same acoustic qualities but the tile supplied was more attractive in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dispute centres around whether provision of the more attractive tile was required for a 3-star hotel or by proper quality standards. Integrated had a responsibility to supply tile suitable for a 3-star hotel. Mr. Ivanore said that Integrated had budgeted for economy acoustical tiles identical in quality to the standard tiles proposed. Neither he nor Mr. Bhatia produced evidence as to what would be suitable for a 3-star hotel. Mr. Bhatia's position was that the tile he rejected was for warehouses and that he was entitled to a better quality because of the earlier samples shown to him. He did not say that there had been any agreement as to provision of that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only evidence of assistance to the court is that of Mr. Policzer. He agreed that basic tile was not adequate for a hotel. He did not think it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the circumstances, I am satisfied that the tile proposed did not meet reasonable standards. The upgrade was not excessive. Integrated has the responsibility for the costs associated with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A-51 - $76,064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Extra costs were allowed by this Change Order in two areas. The costs relate to the provision of custom exterior air conditioning louvres and to custom interior drywall work done to accommodate interior design needs with respect to curtains and furnishings.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to the exterior air conditioning louvres, Mr. Policzer testified that neither the tender nor the for-construction drawings provided details of the exterior finish for the through-wall air conditioning units. They did provide for a "grill" and stated that the grill to be supplied by Carrier would be part of the window frame. He discussed the grill with Carrier and it was evident to him that the grill supplied would not cover an entire window frame. Fabrication of a sheet metal frame would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Policzer said that he realized later that such a plan would not work because it provided for the air conditioning units to be flush to the windows. Since the air conditioning units produce condensation, it would be necessary for them to protrude beyond the window frame. That was not unique to Carrier grills but true of all air conditioning units. He was also of the opinion that the grills did not have an appropriate appearance and that the appearance problem was also not unique to Carrier grills. He said that after viewing another of Stuart Olson's projects, he adapted a design for an oversized grill which was subsequently installed. In his opinion, because of the location of the hotel, the exterior appearance of the project was important to the City of Vancouver. Merely extending the air conditioning units through the exterior walls would not have been acceptable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On cross-examination, Mr. Policzer stated that flush-mounted units with a drip pan would not be an adequate solution since the pans would necessarily require a drainage system. There would have been no cost savings. He denied that the appearance problem was simply an inability to paint the grill. The problem was that the size of the grill was too small and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Policzer did not think that the louvres as he designed them were an upgrade to his original concept. He thought it would be too dangerous and time consuming to argue with the City of Vancouver over the acceptability of an inferior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Jacob testified that alternative units available through Carrier, McQuay and Trane all had a similar appearance. The only difference between the models was the presence of a company logo. He said that it was the different size of window frames which required the grills to be custom made. He had other problems with the units and discussed those problems with Mr. Policzer. He had encountered the same problems on another project and solved them with a custom design. He and Mr. Policzer inspected that other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Jacob did not think that the supply of a different unit by Trane or McQuay would have eliminated the need for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Ivanore tended to minimize the problems. He felt that the solution was the provision of a drip pan similar to a refrigerator drip 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Integrated contends that the proposal of providing a drip pan would solve all of the problems. There would then be no need to have the air conditioning unit extend outside of the exterior of the building thus eliminating city bylaw concerns. No hookup to a drainage system would be required. Integrated felt the real reason for the change was Mr. Policzer's concern over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It may be that provision of a drip pan would have solved the drainage problem but I conclude that the custom design was necessary to resolve the appearance problems which were real and not simply cosmetic. Whether or not Mr. Policzer was correct in his opinion that the City would have rejected the installation of the units with a drip pan, I am satisfied that the exterior appearance would have been unsuitable for a hotel of any reasonable quality. The custom design also answered the concerns of Stuart Olson. As between itself and Rafiki, Integrated had the responsibility of ensuring that the design could accommodate the air conditioning specified. The brand of air conditioning units supplied was irrelevant. The problems would have existed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Integrated is responsible for the costs associated with provision of the air conditioning custom louvres.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costs related to interior custom drywall work were incurred as a result of the design of the building requiring different window heights. The result was that the air conditioning units had to be located on sub-bases at varying heights from the floor. Beyer-Brown, the interior designer, recommended solutions which included providing support underneath the air conditioning units. Mr. Ivanore's position was that the units could have been supported between existing steel studs. Mr. Policzer approved the recommendations of Beyer-Brown. No compelling reason to depart from those recommendations was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conclude that Integrated is responsible for the interior custom work needed to accommodate the interior design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Integrated is responsible for all the costs associated with Change Order A-51.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A-52 - $10,957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These costs are associated with an upgrade of bathroom sinks from cultured marble to vitreous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Bhatia testified that he had made it clear in the Days Inn tour of November 1995 that cultured marble basins would be unacceptable because of their tendency to crack. The design documents called, nevertheless, for cultured marble basins. There was obviously some discussion along the way about the substitution of ceralon for cultured marble because Stuart Olson gave alternate prices for cultured marble and ceralon. At the tender stage, however, Stuart Olson's bid was based on cultured marble. That design was carried through in the specifications following the for-construction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It was not until April 1997 that Mr. Bhatia formally advised Integrated that cultured marble would be unacceptable. Mr. Policzer then requested alternatives and, ultimately, vitreous china basins were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specifications of Beyer-Brown did not initially call for vitreous china basins. That decision was apparently that of Rafiki alone. As early as July 1996, the correspondence shows that Rafiki had been advised that cultured marble basins would be supplied. Beyer-Brown was aware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In the circumstances, I reject the suggestion of Rafiki that the change was specified as early as December 1995. There has been no suggestion that cultured marble basins were not of a quality appropriate to a 3-star hotel. It appears that the personal dissatisfaction of Mr. Bhatia was responsible for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change to vitreous china basins is an upgrade to the scope of the Project. Rafiki is responsible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A-53 - $10,712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Change Order covers the costs of changes to the amenity room on the 12th floor of the hotel. The original design did not call for ventilation of that room. Mr. Policzer said that no provision had been made for ventilation because he had been told by Integrated not to make any such provision. He felt it was required but he deferred to the instructions he had received since the failure to provide ventilation did not contravene good practice or any Building Code requirement. He knew that the room would become uncomfortably warm in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Scope of Work Document available in December 1995 provided for an amenity room on the 12th floor and specified change rooms, a hot tub and a sauna. It is apparent that a recreational facility was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For whatever reason, Mr. Ivanore did not supply that document to the architect until much later. Mr. Djwa, the mechanical consultant, testified that he provided minimal ventilation because he did not know the space was to be used as an amenity room. He had never seen the Scope of Work Document. When he learned of the problem, Mr. Djwa said that he could have designed louvres for ventilation but Mr. Policzer rejected that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Mr. Policzer felt that operable windows or louvres would be unsightly. His solution was to provide an air extractor fan which needed a source of fresh air. To accommodate that need, he designed sliding glass doors. Those doors, in turn, allowed access to the roof and led to the deletion of stucco parapets and the installation of an aluminum and glass railing. Once it was decided the roof would be accessible to the public, concrete pavers were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Integrated was bound to provide the amenity room by its scope of work. The room could not be utilized without proper ventilation. I conclude, however, that Mr. Policzer's decision to provide sliding glass doors and an extractor fan were unnecessary expenses. The ventilation louvres suggested by Mr. Djwa would have been sufficient. Mr. Policzer's esthetic concerns should not have been a major factor on the 12th floor. It seems more likely that providing access to the roof area was the greater motivation. I find further that the replacement of the stucco parapets with an aluminum and glass railing were unrelated to the provision of the amenity room and clearly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find Rafiki is responsible for all of the costs of the amenity room modifications with the exception of an allowance for the installation of louvres as proposed by Mr. Djwa. No evidence was led as to the cost of the louvres but I accept the submission of Rafiki that the cost of the sliding glass doors would approximate the cost of louvres. Integrated will be responsible for the sum of $1,256 for the provision of louvres. The balance of the Change Order, or $9,456, will be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A-54 - $2,620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These costs were rough-in costs for pop and ice machines and tiling of the floor area. When I dealt with Change Order A-9, I found that there was no duplication of costs in the Change Orders A-9 and A-54. There is no need to make the division of liability for the costs in this Change Order suggested by Integrated. The costs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A-55 - $6,710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This Change Order covers the cost of an exhaust and fuel line for an emergency generator. Integrated concedes that the costs relate to changes within the scope of the work. Integrated is responsible for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A-56 - $3,010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parties have agreed that responsibility for these bonding costs is dependent on my findings on responsibility for all costs. They will allocate the bonding costs on a pro-rata basis. I make no order in respect of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A-57 - $2,876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Integrated admits responsibility for the costs of relocating a gas meter covered by this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A-58 - $3,969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costs covered by this Change Order are for extra mullions for the parkade exit window frames. Integrated admits the costs are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A-59 - $3,810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This Change Order covers the change in the hotel lobby floor from tile to marble and to the provision of ceramic back splashes for the kitchenettes.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the Scope of Work Document, there was a provision for tile floors in the hotel lobby. In this instance, however, the Scope of Work Document is not determinative. Before the Project was tendered, there was a change to carpet. Apparently, Mr. Bhatia knew of that change because, in his evidence, he agreed that all of Change Order A-59 was a change to the scope of the Project. That was a specific admission made by him on his examination for discovery. He agreed that the change in the kitchenette back splashes was made at his request and was a change in the scope of the Project. At trial, he agreed that evidence was true but still did not feel the costs were for Rafiki's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Rafiki cannot resile from its admissions. I conclude that the costs covered by Change Order A-59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A-60 - $3,712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This Change Order covers a wall built around a stand pipe. Integrated admits that it is within the scope of the Project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A-61 - $2,106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costs covered by this Change Order relate to the provision of custom colour to cap flashings.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Mr. Policzer testified that it had been his intention to have all exterior metal painted blue. He neglected to make that provision in respect of the cap flashings. As supplied, the cap flashings were made of galvanized iron and the change to aluminum was necessary to correct this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Mr. Ivanore suggested that the material shown on the drawings would have been adequate for at least one year. That is not an answer to the dispute. I am satisfied that Mr. Ivanore must have known from the outset of the architect's intention to ensure a uniform colour for exterior metal. That provision was within the scope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find Integrated is responsible for the cost of providing custom colour to cap flashings.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A-62 - $2,778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costs covered by this Change Order were for provision of additional security from June 30, 1997 to July 20, 1997. Rafiki contends that the delay in completion of the hotel made additional security necessary, both for the building and for furniture that was being moved into the building by Rafiki. By that time, the building could be locked and Stuart Olson was no longer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agree with the position taken by Integrated. The extra level of security was primarily for the protection of the furniture and would have been required by Rafiki regardless of the completion date of the hotel. The costs of additional security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A-63 - Final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A-063-I-017 - $16,768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This Change Order covers the costs of three separate items. They are:</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Ving Card locks ($10,454) less a credit for locks replaced ($770) - $9,684</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Doors 129 and 130 ($4,044) less a credit for installation of doors 129 and 130 ($300) - $3,744</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Toilet partitions in the amenity room ($3,000) and main floor ($340) - $3,340.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Rafiki admits that the provision of 18 extra Ving Card locks less the credit is a scope upgrade and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for doors 129 and 130, Mr. Policzer testified that they were part of the first floor store front facing Drake Street. By error, he scheduled "hollow metal" doors instead of aluminum doors. Hollow metal doors would not have matched the rest of the store front. I do not agree that Rafiki is responsible for the architect's errors. Integrated is responsible for ensuring the provision of doors of an acceptable standard. A mismatch of doors would not be acceptable in a hotel of decent quality. The responsibility is that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As for toilet partitions in the amenity room, Mr. Policzer testified that a change had to be made from metal doors to plastic doors because of high levels of chlorine in the air which would cause the metal partitions to rust. Other partitions on the ground floor were changed at a cost of $340. Mr. Policzer was unable to say why that was done. He agreed, on cross-examination, that he had never before faced the potential problem of chlorine affecting metal doors. That, like many other matters, shows the inexperience of Mr. Policzer but Integrated was responsible for the retention of Mr. Policzer as the architect. It is true that Rafiki had entered into the contract with him but that was done on the advice of Integrated. Integrated cannot now profit from mistakes made by the architect. Doors in the amenity room which would resist corrosion are clearly within the scope of the Project and their cost, $3,000, is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Mr. Jacob shed some light on the change of partitions on the main floor. He understood that they were changed as a result of a requirement of the hotel franchisors. The date of the Change Order is September 30, 1997. That makes it likely that the franchise requirements were those of Hampton Inn. Integrated is not responsible for meeting the specifications of Hampton Inn. There is no reason to suspect that the doors originally provided were not adequate for the purpose or were not of a proper standard. The responsibility for the main floor doors, at a cost of $340, is on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the result, responsibility for Change Order A-063-I-017 is divided by allocating responsibility to Rafiki for $10,024 and responsibility to Integrated for $6,744.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A-063-I-019 - $17,485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costs covered by this Change Order are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496"/>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Jonet one-sided forms -</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$10,077</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5855"/>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Richfield balance of extra re-enforcing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7,408</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When the for-construction drawings were prepared, they contained a change in the type of excavation used. In his evidence, Mr. Policzer said that the Jonet claim related to the supply of forms necessitated by the change in the excavation. The Richfield claim arose because a slab on the lower parking level had to be re-enforced to support the one-sided forming of the new excavation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Stuart Olson submitted a claim for the costs of these changes on October 15, 1996. That submission was within the time allowed under its contract with Rafiki. I have been unable to determine from the documentary evidence whether that claim was dealt with as Mr. Ivanore contends. There is a letter of December 6, 1996 from Integrated to Stuart Olson which deals with claims put forward in letters from Stuart Olson dated October 15 and October 21. The reference is to tight excavation forming but the narrative refers to rental of attached hardware. The claim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Mr. Policzer testified that he had referred the claim to the structural engineer who advised that the charges were fair and should be paid. There is no reference to when that advice was received but presumably there was some delay. In his letter of December 6, 1996, Mr. Ivanore rejected the claim but stated "This item rejected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first contention of Integrated is that these claims are a duplication of claims rejected in December 1996. The burden of proving that duplication rests with Integrated. I am not satisfied that it has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second aspect of the resubmission of Integrated is that Mr. Ivanore should have been given the opportunity to question payment of the account. It was presented in September 1997 long after Stuart Olson was obliged to submit claims. Mr. Jacob testified that the resubmission of the claim was done because the claim had not previously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reach a somewhat tentative conclusion as to what occurred. The claim was originally submitted by Stuart Olson with its letter of October 15, 1996. It was referred for an opinion to the structural engineer who did not respond. The rejection of December 1996 either did not address the same claim or the rejection did not address the merits but was intended to simply put the matter on hold until the opinion from the structural engineer was available. The claim was not resolved and when the final reconciliation of accounts took place, Stuart Olson resubmitted the claim and Mr. Policzer and Rafiki approved it. Mr. Ivanore was not involved because he had left the project when he and Mr. Bhatia had reached a point where they could not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 remain of the view that Rafiki excluded Mr. Ivanore from the process of approving Change Orders. Mr. Bhatia and Mr. Policzer testified that Mr. Ivanore had been invited to attend but had not done so. Mr. Ivanore saw no purpose in attending since Rafiki had taken over the process after it made the additional payment to Stuart Olson to accelerate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Both parties were in breach of their contract. Rafiki had not cooperated as it was obliged to do and there were a number of breaches by Integrated which I discussed earlier. I do not think that the breaches by Integrated entitled Rafiki to complete the contract in the manner it chose. Nor do I think that Mr. Ivanore was unreasonable in failing to attend the final meetings. He knew that he had lost all credibility with Mr. Bhatia.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As a minimum, Rafiki should have given Integrated written notice of its decision in respect of each of the Change Orders after Mr. Ivanore was excluded. In that way, Integrated could at least have put its position forward so that Mr. Policzer would have input from Integrated when he advised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In all the circumstances, the actions of Rafiki took the opportunity away from Integrated to participate in the Change Order process. That was a breach of Rafiki's obligations under the contract. Where, as here, there appears to have been a legitimate position that Integrated could have advanced but was prevented from doing so by the actions of Rafiki, it should not be held responsible for the costs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Rafiki is responsible for the costs of Change Order A-063-I-019.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A-063-I-029 - $8,581.71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This Change Order covers miscellaneous charges which must be dealt with separately and includes: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Sink and revised layout - $1,704.24</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Wheechair access - $1,000</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Sink cabinet - $265</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Stamped concrete - $1,688</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Extra concrete reinforcing - $951.16</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Door openers - $2,560.31</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Bollards for taxi stalls - $413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first charge is for $1,704.24 for an extra sink in the Elks Lodge. On cross-examination, Mr. Policzer admitted that he had made a mistake in connection with this claim. It should not have been allowed. There was a legitimate position to be put forward by Integrated. It was denied the opportunity. Rafiki is responsible for that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There is another aspect to the charge of $1,704.24. Part of the cost is for the costs of providing direct waste overflow and toilet revisions on the main floor. These changes were required by a design change. Mr. Jacob testified that the revised layout was provided early during construction. Mr. Policzer believed the changes followed receipt of the Hampton Inn specifications. Rafiki contends that the changes were simply good ideas that were suggested by Hampton Inn. That may be so but it has not been established that the changes were necessary to provide premises of reasonable quality. Rafiki must bear those costs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second cost is a charge of $1,000 for provision of changes to four suites to accommodate wheelchair access. The suites were a requirement of the City of Vancouver but they had been specifically excluded from the Project by the Scope of Work Document. Integrated had the responsibility to ensure that City Code requirements were met but where compliance with those requirements was specifically excluded, the cost should be borne by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third item covered is for a cabinet for the sink in the Elks Lodge at a cost of $265. Like the sink, that cost is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fourth cost covered is for stamped concrete to the lane area - $1,688. The design called for plain concrete but when the entry design was changed, Rafiki requested an upgrade to stamped concrete. No evidence was adduced to show that stamped concrete was necessary to meet the standards of a 3-star hotel, nor to meet a reasonable standard of quality. Rafiki is responsible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next cost is for extra concrete reinforcing at $951.16. The only evidence available as to the need for the reinforcing is that the change was approved by the mechanical consultant. In the absence of other evidence, Integrated bears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next cost is for a door opener on the 12th floor. This again was a City requirement for handicapped persons. For the reasons previously given, Rafiki must bear the responsibility. The amount is $2,340.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 second door opener on the 12th floor was supplied at a cost of $220.31. That, too, is a cost for which Rafiki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final item on this Change Order is $413 which was the cost of bollards for taxi stalls. The bollards protected a glass window at the entrance to the hotel. There was an argument that they were not originally required but Mr. Policzer testified that they were necessary to keep the vehicles from hitting the glazed door and to keep an exit route clear. As early as December 1995, the drawings apparently showed a pony wall with glass. I am satisfied the bollards were necessary and are the responsibility of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Rafiki is responsible for $7,217.55 and Integrated for $1,364.16.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A-063-I-063 - $11,042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costs covered represent a credit for deleting 10 sets of interconnecting doors from the design. Mr. Policzer said that Rafiki reduced the number of interconnecting doors it wished to have. Integrated have conceded that the credit is reasonable. Rafiki is entitled to a credit for the amount of this Change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A-063-I-067 - $633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costs covered in this Change Order are bonding charges. The parties have agreed on a pro-rata division based on the judgment of the court. I will make no adjustment at this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A-063-I-074 - $364.30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When the position of the bathtub in Unit 211 was reversed during construction, these costs were incurred. Integrated takes the position that the costs were necessitated by the Building Code requirements for handicapped suites. Mr. Policzer was asked whether that was so and testified that this was not a handicap issue but rather involved headroom in the stairways. He did, however, testify that the change resulted from redesigning the bathroom to allow handicap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conclude that although the costs of providing handicapped suites are not the responsibility of Integrated, it still had the responsibility of ensuring a proper design. It failed to properly supervise the architect. The costs are the responsibility of Integrated.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A-063-I-078 - $8,706.12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This Change Order covers a number of costs. All of the costs involve changes to the 12th floor. Rafiki admits that some of the changes are its responsibility. The remaining charges relate to installation of a guest laundry room and accessories to the change rooms on the 12th floor and are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Mr. Bhatia testified that it was always Rafiki's intention to have a guest laundry room. He was advised that the facility could not be accommodated on the ground floor but, as early as December 17, 1996, the minutes of a site meeting show that Rafiki had requested that the consultants add a guest laundry, "perhaps at the 12th floor". That request was made after construction was underway. Integrated takes the position that Rafiki had earlier agreed to the deletion of guest facilities. The evidence does not appear to support that contention but whether or not there was an agreement to delete the facility, it was not included in the tender or for-construction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failure to provide for the facility was not due to a lack of supervision on the part of Integrated. Rafiki was not entitled to rely on Integrated to supply a facility that had not been included in the original design unless it has been shown that reasonable standards or the requirements of a 3-star hotel make the facility necessary. The evidence of standards does not persuade me that guest laundry facilities are necessarily a part of a 3-star hotel, nor a requirement of reasonable quality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Rafiki is responsible for the costs of providing the guest laundry.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A-063-I-079 - $2093.77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Integrated admits these costs of re-routing of sprinklers between stair landings are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A-063-I-088 - $760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costs associated with this Change Order are $400 for capitels to the lobby columns and $360 for tile to the laundry room floor on the 12th floor. The reference to capitels is to the provision of decorative tiles placed around the perimeter of round columns in the lobby where they met the ceiling. They were not required as suggested by Mr. Ivanore, because Rafiki had chosen a superior grade of ceiling tile. The problem was related to the use of T-bar for the ceiling construction. Some provision had to be made to mask the area where the columns and the ceiling met. By any reasonable standard, the problem had to be addressed. The responsibility is Integrated's.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As to the revision of tiles to the guest laundry, I have decided that the costs associated with the guest laundry are the responsibility of Rafiki. It was Rafiki's choice to have the guest laundry. The tiles are an integral part of the laundry room and Rafiki must accept the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Integrated is responsible for the cost of capitels at $400 and Rafiki for the cost of tile in the laundry room at $360.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A-063-I-097 - $899.56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costs incurred were in respect of extra reinforcing. The position of Integrated is that the structural engineer found a mistake in his drawings which he rectified. That resulted in the need for extra reinforcing. Mr. Ivanore said that he did not have the expertise to catch mistakes made by Rafiki's consultants. I have earlier found that it was Integrated's responsibility to deal with the consultants. That is why Rafiki retained the services of Integrated. Rafiki had no ability, except through Integrated, to assess the advice of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Mr. Ivanore also stated that he was not advised of the proposed Change Order and would not have approved it had he been advised. That would have been a reasonable position had Mr. Ivanore advanced reasonable grounds for refusing to approve payment of this cost. He did not provide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Counsel for Rafiki made reference to Mr. Ivanore's admission on cross-examination that he had given input to Mr. Policzer on Change Order A-63. I have no means of knowing whether that input was given after the Change Orders had been approved, nor whether any particulars on each of the items raised had been addressed by Mr. Ivanore. If Rafiki wished to submit that Mr. Ivanore did, in fact, have input on the contested items, evidence to that effect could easily have been adduced. It was not. I do not take the very general admission made by Mr. Ivanore to constitute proof that he had reviewed the various issues before approval for was given. On this particular issue, Integrated bears the responsibility for payment since no reasonable ground was advanced for disputing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A-063-I-098 - $2,100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There are three items covered by this Change Order. Mr. Policzer testified that the three items were all related to dropped ceilings on the 11th floor. The 12th floor had a different layout from all the other floors. That meant that water pipes were not co-ordinated with the 11th level floor plan. The ceiling had to be dropped to hide the pipes. He said that Stuart Olson had earlier put in a claim for a much larger amount but since he had told them that a dropped ceiling would be required on the 11th floor, he persuaded them to withdraw their claim for the full amount of the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Mr. Policzer approved the smaller payment on the basis that the dropped ceilings provided were larger than strictly necessary to hide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documents establish that Stuart Olson had been advised of the 11th floor dropped ceilings on June 26, 1996. Rafiki submits that the clarifying instructions in the documents were ambiguous in describing the area to be covered and that Mr. Policzer's decision, as the person responsible for interpreting the drawings and specifications, should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 find that Integrated had a reasonable argument to put forward in respect of whether or not Stuart Olson should be paid the extra payment. By approving the Change Order without referring the claim specifically to Integrated for comment, Rafiki was in breach of its agreement with Integrated and must bear the responsibility for the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A-063-I-100 - $771.53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Central air conditioning units were moved from one area in the parkade to another to avoid headroom problems. This Change Order covers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Mr. Policzer testified that the heat pump location was depicted on the tender drawings and that Rafiki had requested a change because of likely noise problems. I am satisfied that is a complete answer to the allocation of responsibility. Since the change was requested by Rafiki, it must bear responsibility for the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A-063-I-115 - $1,114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These costs are associated with the testing of the exterior skin. The costs were incurred by the EIFS subtrade, Seymour. Mr. Policzer testified that it was a good idea to have the EIFS panels tested when construction reached the second floor to ensure that they had been properly designed and installed. He said that Rafiki did not request the test. He had advised Rafiki that the testing was a wise investment. Mr. Policzer felt that had the testing not been done, if future claims arose, Seymour could have argued that tests should have been completed. Mr. Policzer thought the costs should be part of project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On cross-examination, Mr. Policzer agreed that he was not certain whether third party testing was part of the Stuart Olson contract. He agreed that Change Order A-6 had originally included the testing but that Stuart Olson had crossed it out and that third party testing was, therefore, the obligation of the owner and not Stuart Olson. Mr. Ivanore felt that it was the responsibility of the general contractor to conduct the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contention of Integrated that Stuart Olson was obliged under its contract to provide testing does not assist Integrated. The agreement of Mr. Ivanore to the testing being done shows that it was a prudent step. Integrated has advanced no further reason for contesting this Change Order. In those circumstances, Integrated must bear the responsibility for the costs which were within the scope of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A-063-I-126 - $2,241.97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These costs are associated with a change in the design of the ground floor. The room originally intended for luggage storage was converted to a manager's officer. The manager's office was, in turn, converted for luggage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Mr. Policzer said that the change resulted in a need to fireproof the new luggage room and to add locks, vinyl wall coverings and services to the manager's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Integrated contends that Rafiki should have known from the outset that the proposed office space would be inadequate. The change was based on operational concerns and was requested by Rafiki. Mr. Ivanore testified that a model had been constructed which Rafiki had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In those circumstances, I cannot accept the submission of Rafiki that the proposed office was clearly inadequate and that, as development manager, it was Integrated's duty to ensure that the layout could accommodate reasonable hotel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Rafiki is responsible for the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A-063-I-127 - $1,868.20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Change Order approves costs associated with card readers provided for the parkade gates. Mr. Policzer understood that the costs were associated with provision of a conduit and wiring for the garage door when it was relocated. The door was relocated when the gate providing access for the Elks Lodge was relocated for easier access. Mr. Policzer said that the door could have been opened by a remote control device in which case the location would not require change. The change in location was required because of the need to open the door by use of the Ving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Rafiki submitted that this was not a decision made on its behalf but on the advice of consultants. That does not seem to be so. The requirement for Ving Cards has been acknowledged by Rafiki to be its responsibility. Had Rafiki not required their use, the change may not have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Rafiki is responsible for the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A-063-I-131 - $715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Integrated admits that the change resulting in these costs, associated with the provision of densglass, is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A-063-I-136 - $1,187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The costs covered are for electrical requirements for the hot tub in the 12th floor amenity room. According to Mr. Jacob, this was a co-ordination problem in that the electrical drawings did not co-ordinate with the hot tub drawings. There was no provision for the electrical outlets shown on the pool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Mr. Ivanore testified there were insufficient power provisions because of the electrical consultant's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have found that Integrated is responsible for co-ordinating the provision of services by consultants. Integrated must bear the responsibility for this Change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A-063-I-147 - $3,679.58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This cost covered provision of an automatic door opener for handicapped unit No. 211. Mr. Policzer's design had left no space for the wider door to open, thus necessitating the need for the door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 have earlier held that Rafiki is responsible for the cost of providing suites for the handicapped. I see no reason to treat the door opener in any different fashion. Rafiki is responsible for the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A-063-I-154 - $783.54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These costs are associated with provision of a deluge sprinkler for the lane entrance. The City of Vancouver would not have allowed a glass wall as provided for in the design without the provision of the deluge sprinkler. The process of relaxing city requirements in such circumstances is known as equivalency. In this case, glass walls were not permitted but the sprinkler was designed to prevent the glass wall from disintegrating and blocking the exit in the event of fire. City requirements were, therefore, relaxed.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Mr. Ivanore contended that the design of the entrance was changed as a result of a design review conducted by representatives of the Hampton Inn franchise. The evidence does not support that explanation. Mr. Ivanore testified that the December 1995 drawings showed the glazed wall. That was long before Hampton Inn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Given the early inclusion of the glass wall in the design, I am satisfied that Integrated is responsible for the cost of the deluge sprinkler.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A-063-I-155 - $4,049.31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costs covered by this Change Order were incurred pursuant to an equivalency negotiated with the City of Vancouver related to required changes to the breakfast room. A bulkhead was required, as was a glass enclosure, an exhaust fan and a smoke detector.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Mr. Policzer testified that he had always intended an open design for the breakfast room. Mr. Ivanore disagreed. He testified that the drawings showed the breakfast room wall to be full height. He said that a photograph of the breakfast room in the prototype information for Holiday Inn Express showed a closed wall. I cannot agree that the photograph shows a closed wall. There is insufficient depiction of the walls to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am compelled to accept the evidence of the architect who said that the problem was not so much in the design as in the City's requirement for an equivalency if the lobby was to be used as an exit in the event of fire. In order to obtain an equivalency, the architect was required to design the changes. He agreed that the tender and for-construction drawings showed the breakfast room as fully enclosed. He said he depicted the wall in that fashion in order to avoid difficulty in obtaining a building permit but that he always intended an open wall and knew that there would likely be a need for an equivalency.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 agree with the submission of Rafiki that whatever the drawings showed, the need for the Change Order came about because the wall, as constructed, did not meet the City of Vancouver requirements. Accepting the evidence of Mr. Policzer that an open wall was always anticipated, I find that Integrated is responsible for the associated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A-063-I-157 -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This Change Order covers the cost of wiring and installing two exterior signs and relocating two other signs. Mr. Policzer testified that the tender drawings included provision for two signs. Rafiki retained the services of its own sign contractor who did not like the location and required that the signs be moved. The sign contractor also required the provision of two other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In those circumstances, it would be unreasonable to expect Integrated to bear the cost of wiring and relocation. Rafiki is responsible for the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A-063-I-166 - $6,733.96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The costs associated with this Change Order are for relocation of a water main, waterproofing of wall penetrations made necessary by the relocation and provision of heat tracing to the alarm panel. Integrated admits its responsibility for the relocation of the water main in the amount of $3,000.35. It submits that it is not responsible for heat tracing since that was supplied on the recommendation of the electrical inspector but was not a Code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Mr. Policzer was uncertain as to whether heat tracing was a Code requirement although, on redirect, he stated that if life safety was involved, then the Code would require heat tracing. Mr. Ivanore was of the opinion that the provision of heat tracing was simply a recommendation of the electrical inspector. He did not believe that heat tracing was a Code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Given that the architect himself was uncertain as to Code requirements, I conclude that there was no lack of supervision on the part of Integrated for failing to ensure that heat tracing was supplied. It seems more likely that the provision of heat tracing was an upgrade to the scope of the work. Rafiki is responsible for that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Integrated will be responsible for $3,000.35 and Rafiki for $3,733.61.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A-063-I-168 - $3,031.93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These costs are for extra telephone outlets to the offices beside the reception desk. Mr. Bhatia agreed that he had requested that the luggage room and manager's office locations be reversed. Mr. Jacob stated that the relocation of the reception desk and offices did not lead to any electrical revisions. The problem was that the tender drawings and for-construction drawings did not show sufficient services to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Mr. Ivanore's position was that the provision of telephone services was a finishing item within the meaning of F.F.&amp;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electrical scope required "receptacles and telephone conduit to registration desk". Mr. Ivanore testified that no offices were shown in the December 1995 drawings next to the reception desk. He, therefore, had no means of knowing what requirements might be necessary. Integrated had budgeted on the basis of the December 1995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 agree with Integrated that it is more likely that the provision of these particular telephone outlets were required by changes made after the for-construction drawings were issued. There was no failure to supervise on the part of Integrated. The costs are the responsibility of Rafiki.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A-063-I-169 - $3,120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Integrated admits that the costs of providing waterproofing at parking level three and a cold joint and sump pump at parking level one were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A-063-I-172 - $4,106.34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These costs were incurred for the provision of breakfast area kitchen cabinets, electrical power outlets and connections to the breakfast kitchen and mechanical revisions to the breakfast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Scope of Work Document provides only for floors, walls and lighting. It states, as well, "No appliances (one sink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As to the kitchen cabinets, Mr. Policzer testified that the tender drawings showed a cabinet in the kitchen. Mr. Ivanore testified that Rafiki had advised him that it wished only a sink and countertop. It was Rafiki's intention to serve a continental breakfast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prototype information of Holiday Inn Express shows a cupboard configuration. Coupled with the evidence of Mr. Policzer, that information persuades me that Integrated should have anticipated the provision of a cupboard or cupboards. The exhibit to which Mr. Policzer referred when he testified that the sketch made provision for a cupboard depicts only one cupboard. The Change Order is for an unspecified number of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 conclude that Integrated was obliged to anticipate the provision of one cupboard and that the additional cupboards were, no doubt, added at the request of Rafiki at some later date. There is no breakdown of the costs but an arbitrary allowance of $1,000 for the cupboard depicted is probably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As to the costs for electrical power and mechanical revisions, those relate to appliances which were excluded by the Scope of Work Document. They are the responsibility of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Integrated will be responsible for $1,000 for the provision of a breakfast kitchen cabinet. The balance of the costs relate to revisions required for appliances which were excluded from the scope of work. Those costs are the responsibility of Rafiki. They are in the amount of $3,106.34.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A-063-I-179 - $7,393.64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These costs were incurred for the supply and installation of three chandeliers for the lobby in the amount of $6,336.64 and services to exterior lighting in the amount of $1,057.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Mr. Policzer testified that the original lighting package designed by the electrical consultant specified an allowance of $2,000 for each of three chandeliers in the lobby. He was not aware that an alternate light package had been chosen by Integrated with provision for $500 per chandelier. He said that he had made inquiries and could find nothing that would be suitable at that price. He accompanied Mr. Bhatia to a lighting store and Mr. Bhatia chose three chandeliers at a cost of $2,150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Mr. Ivanore conceded that the electrical consultant was working from instructions given by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I conclude that the allowance provided for was inadequate. I have not been referred to any evidence that establishes that Rafiki agreed to the alternate light package. Reference to Helyar's correspondence was suggested by Integrated but that is of no assistance. Helyar simply inquires as to what alternates were proposed in the pricing provided by Stuart Olson. Reference to alternate packages in correspondence with Mr. Morgan is equally of no assistance. The solicitor could hardly be expected to review the details. I cannot find that Rafiki consented to provision of the alternate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 conclude that Integrated is responsible for $6,000 which was the cost projected. Since Mr. Bhatia chose a superior grade of fixture, Rafiki is responsible for the excess cost over $6,000.00, or $336.64.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Mr. Jacob testified that the extra costs for exterior lighting were incurred because no provision for post lamps had been specified in the electrical drawings. There was a dispute between Mr. Jacob and Mr. Ivanore as to whether the architectural tender drawings showed post lights, although Mr. Ivanore conceded that there was something shown on the drawings that could have been post lights. It seems apparent that the electrical consultant did not read the drawings as requiring post lights and made no provision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If the architectural drawings were unclear, it is arguable that Integrated should have clarified them but that is too high a standard. Integrated was entitled to rely on the electrical consultant and assume that exterior post lights would not be provided. Rafiki must bear the responsibility for the costs of providing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Rafiki is responsible for $1,393.64 made up of the excess payment for chandeliers of $336.64 and $1,057 for exterior lighting. Integrated is responsible for the $6,000 allowance for chandeliers.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A-063-I-188 - $3,121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These costs are associated with the breakfast room glass divider. Provision of the divider, the cost of a divider cap and the cost of varnishing the divider make up the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Mr. Policzer testified that the divider wall changes were made on the advice of Beyer-Brown after substantial completion of the building. Rafiki agreed to the enhancement of the appearance of the wall. The only submission made was that the wall enhancement was consistent with finishing details for a 3-star class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There is no evidence to support that submission. I am satisfied that the enhancement of the wall was an upgrade to the scope of the Project. Rafiki is responsible for the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A-063-I-196 - $6,918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This Change Order is made up of a number of costs. Included are a fire damper to the garbage room for $2,754.04, a pull station at the top of the stairs to the twelfth floor deck, a smoke detector to the breakfast room and an extra fire alarm horn to the twelfth floor deck, all for $1,449.35, smoke detector-operated closers to the breakfast kitchen area for $918 and bollards, railings and fire hose protectors at $1,797.08.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Integrated admits responsibility for $2,754.04 for the fire damper and for the cost of the pull station at the top of the stairs to the 12th floor deck. There is no evidence as to that cost. I arbitrarily assign a cost of $500 to its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The extra fire alarm horn on the 12th floor deck was required only because Rafiki opened the deck when the amenity room revisions were made. The cost of the extra horn is the responsibility of Rafiki. I assign a cost of $500 for its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 costs of the smoke detector to the breakfast room and the detector-operated closers to the breakfast kitchen are associated with the equivalency negotiated with the City in respect of the breakfast room and the open design of Mr. Policzer. Integrated agrees that the costs should be treated on the same basis as those covered by Change Order A-063-I-155. When dealing with that Change Order, I allocated responsibility to Integrated. These extra costs should be treated in the same manner. The total cost is $918 plus $449.35, or $1,367.35.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Finally, the costs of bollards, railings and fire hose protectors at $1,797.08 were required for protection of the glass wall area. I previously decided that Integrated was responsible for costs associated with the wall. Integrated must bear responsibility for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Rafiki will be responsible for $500 for the fire horn on the 12th floor deck. The balance of the costs in the amount of $6,418.00 will be the responsibility of Integrated.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A-063-I-199 - $5,052.12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This Change Order covers the costs of the repair of the sidewalk area owned by the City of Vancouver. Integrated admits the costs are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A-063-I-201 - $19,710.58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costs here are made up of mechanical, electrical and other revisions required to the parking level as a result of the installation of the commercial laundry. Mr. Policzer testified that the project required the final approval of the provincial gas inspector before an occupancy permit would be issued. The inspector refused to approve the design of the laundry exhaust system because it vented into the parking ramp area. He required it to be vented through an exterior wall into the outer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Mr. Djwa originally believed that his design would be acceptable. He agreed that the gas inspector had required the change. No appeal was taken from the gas inspector's decision because of time constraints and Mr. Djwa did not believe an appeal should be taken. He was concerned that, if an appeal was taken, the hotel laundry could have been shut down and perhaps the occupancy permit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Integrated takes the position that Rafiki was in breach of the April 1996 Agreement by failing to appeal the gas inspector's ruling. It adduced no evidence in support of that submission. I am left with the evidence of Mr. Djwa which I accept. Integrated must bear the responsibility for the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A-063-I-207 - $872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The costs covered under this Change Order are for the provision of a shaft in the mechanical room. Integrated admits the costs are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A-063-I-212 - $721.53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costs covered under this Change Order are for a rough-in of electrical services to allow the installation of an exterior sign. Mr. Policzer testified that the sign was a Best Western Sign at the corner of Drake Street and the lane. He said that the sign was added by the sign designer retained by Rafiki.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Rafiki submits that Mr. Policzer did not provide sufficient signage and that proper signage is a requirement of a 3-star hotel. It says that Integrated failed in its duty to ensure that proper requirements were incorporated into the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I agree with Integrated that this is a requirement of the franchisor and not a specific requirement which it should have anticipated. The tender drawings called for the installation of three exterior signs. The provision of more signage on the advice of the sign subcontractor retained by Rafiki is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A-063-I-215 - $7,919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These costs represent a credit resulting from the substitution of an alternate product which was installed underneath ceramic tiles in the bathrooms. The drawings called for provision of "Wonderboard". "Aquaboard" was substituted.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Mr. Policzer testified that site conditions required the substitution. He said that Wonderboard was more expensive and, accordingly, this credit represents a specification downgrade. He pointed out that had he specified Aquaboard and changed to Wonderboard at the request of Rafiki, it would have been a scope upgrade. He felt that the circumstances entitled Rafiki to an upgrade credit rather than a project credit. He had a concern that Aquaboard might disintegrate later, whereas Wonderboard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Mr. Ivanore testified that both boards met Code requirements and that Aquaboard was substituted because of the non-availability of Wonderboard. He was uncertain as to whether Wonderboard was a superior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Since both products apparently meet the provisions of the Building Code, the substitution in the circumstances, was reasonable. The board provided was of an appropriate standard. The credit should be to the Project rather than to Rafiki. Integrated is entitled to the credit.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A-063-I-217 -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These costs were associated with the provision of seismic restraint for chandeliers. Integrated admits they are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A-063-I-218 - $580.06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Integrated admits these costs involved with the provision of an exhaust fan to the hot tub in the amenity room are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A-063-I-219 - $925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Mr. Policzer testified that this cost was for providing the least expensive base to the walls in the Elks Project. It was necessary to hide the gap between the bottom of the drywall and the floor. Although it was not specified, it represented a standard construction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Integrated took the position that if Stuart Olson had done the job properly, the baseboard would have been provided. I find that to be a reasonable position to take. Integrated should have been afforded the opportunity to put its position forward before the Change Order was approved. That apparently did not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Rafiki is responsible for the provision of the baseboard.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Stuart Olson's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A-063-I-019 - $6,929.48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These costs are associated with the provision of additional concrete work required when the design of the ground floor slab was changed in the for-construction drawings. The claim is for work done by Stuart Olson and is in addition to the claims of Jonet and Richfield previously considered in Change Order A-063-I-019.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When dealing with Change Order A-063-I-019, I found that Mr. Policzer had referred the subcontractor's claims to the consultant for an opinion. That explained the delay in making the claim. I went on to find that Rafiki had denied Integrated an opportunity to participate in the approval of the Change Order. Integrated had a reasonable position to put forward and was prevented from doing so. In those circumstances, Rafiki was responsible for the costs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costs here are directly related to the Richfield claim. Both dealt with revisions to the concrete slab in the parking area. I can see no reason for treating this claim differently from the claim advanced in Change Order A-063-I-019. Rafiki is responsible for the associated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A-063-I-029 - $5,661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costs here are associated with the supply of concrete materials required by a reconfiguration of room design on the ground floor. These costs cover work done by Stuart Olson and are in addition to the extra concrete reinforcing costs considered in Change Order A-063-I-029.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Rafiki says that the reconfiguration of the ground floor was a requirement of the City of Vancouver. Integrated submits that the changes were made on the advice of Beyer-Brown. There is little evidence to support either contention but there is no doubt that the invoice of Beyer-Brown is dated December 12, 1996. That was after construction was underway. Integrated did not, therefore, fail to follow the advice of the interior designer in reviewing the plans and specifications. The revisions were required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In those circumstances, I conclude that Rafiki is responsible for the additional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A-063-I-067 - $633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This Change Order involves a further adjustment to bonding costs. It will be adjusted between the parties at a later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A-063-I-066 - $497.48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This Change Order covers Stuart Olson's costs in relocating a water main. Integrated concedes that the change is within the scope of the project and its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Order A-063-I-196 - $696.18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These costs are for Stuart Olson's work which is described as occupancy-related revisions. Mr. Jacob said the costs were incurred to satisfy the requirements of the building inspector. They involved the provision of warning signs. Mr. Ivanore believed the charges had to do with pull stations on the twelfth floor and in the breakfast room. Mr. Jacob's evidence is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If warnings signs were a requirement of the building inspector, they should surely have been anticipated by Integrated. Integrated is responsible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 Change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parties have agreed upon, or I have allocated responsibility for, Change Orders as shown in the list which follows. Rafiki is responsible for $246,854.05 and Integrated for $692,130.04. Bonding costs are to be adjusted at a later date. Further adjustments will be required for overhead and profit. Those adjustments are to be done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allocation of responsibility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Change Order</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Rafiki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Integrated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359"/>
        <w:gridCol w:w="1255"/>
        <w:gridCol w:w="2301"/>
        <w:gridCol w:w="240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$8,997.00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$4,725.00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$3,821.00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$14,930.00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$5,680.00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$140,017.50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$97,289.00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$5,990.00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$34,606.30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$14,872.99</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$1,921.00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$529.00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$5,397.00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$5,750.64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$1,041.00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nullity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$10,019.30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$6,307.00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$1,104.00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A-19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$13,653.00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$1,634.00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$804.83</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$458.64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$5,833.00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$786.00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$10,162.00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A-29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$1,213.00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$4,686.00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$765.00 (CR)</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$15,585.00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$60,905.00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$5,987.00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$348.00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A-39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$8,939.00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$1,103.00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$4,649.00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$36,765.00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$38,662.00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$5,909.00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$8,575.00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$4,004.00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$3,338.00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A-49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$507.00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$10,544.00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$76,064.00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$10,957.00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$9,456.00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$2,620.00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$6,710.00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order</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$2,876.00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$3,969.00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A-59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$3,810.00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A-60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$3,712.00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A-61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$2,106.00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A-62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$2,778.00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A-63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I-017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$6,744.00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$10,024.00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I-019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$17,485.00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I-029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$1,364.16</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$7,217.55</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I-063</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$11,042.00 (CR)</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I-067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order</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I-074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$364.30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I-078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$8,706.12</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I-079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$2,093.77</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I-088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I-097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$899.56</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I-098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$2,100.00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I-100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$771.53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I-115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$1,114.00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I-126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$2,241.97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I-127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$1,868.20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I-131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I-136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$1,187.00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I-147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$3,679.58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I-154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$783.54</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I-155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$4,049.31</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I-157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I-166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$3,000.35</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$3,733.61</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I-168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$3,031.93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I-169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$3,120.00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I-172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$3,106.34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I-179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$1,393.64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I-188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$3,121.00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I-196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$6,418.00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I-199</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$5,052.12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I-201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$19,710.58</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I-207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$872.00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I-212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$721.53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I-215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$7,919.00 (CR)</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I-217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I-218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$580.06</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I-219</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$925.00</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Stuart Olson's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1150"/>
        <w:gridCol w:w="1464"/>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I-019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$6,929.48</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I-029</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$5,661.00</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I-067</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order</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I-166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$497.48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I-196</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$696.18</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1882"/>
        <w:gridCol w:w="209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Rafiki</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$246,854.05</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Integrated</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$692,130.04</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cost of extras other than those covered by Change Orders?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$169,000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On July 3, 1996 Stuart Olson delivered its tender for the Project (the "July 1996 Tender"). On the following day, Mr. Ivanore wrote to the solicitors for Rafiki. In that letter, he alleged that Rafiki had added requirements for the Project after the April 1996 Agreement had been signed. He listed the items that had been added as: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Vinyl wallpaper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Ving Card locks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moulding</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Gas fireplace in lobby</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Kitchenette units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Carpet upgrade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suite adjoining doors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Lighting upgrade (signage)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door solid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In his letter of July 4, 1996, Mr. Ivanore went on to say that he had requested a detailed price breakdown for the items from both contractors. Presumably, that refers to the two tendering contractors, Stuart Olson and Bosa Developments. Mr. Ivanore then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credit for the items becomes redundant as the item is included in the tender price. Rafiki Properties clearly does not understand the terms of the agreement or the fact that they are now getting hundreds of thousands of dollars of extras and yet still come in well within budget. They appear to want to renegotiate the agreement or have Integrated Housing Development Ltd. in some way pay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 language of the letter is somewhat confusing but I take that letter to be notification to Rafiki that the costs of the items added would be charged as an extra. Despite the reference to the two contractors, I find the reference to the items being included in the tender price as indicating that Stuart Olson had included the cost of the extras in its July 1996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solicitor for Rafiki responded on July 10, 1996. In part,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in any way attempting to provide an exhaustive list, everyone understands that the tender specs require vinyl wall covering, kitchenettes and a lobby fireplace. The cost of these items will increase the budget and are clearly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He went on to say that Rafiki alleged that changes made would diminish the value of the building but that issue was not pursued at trial. No persuasive evidence was 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Mr. Bhatia disagreed with his solicitor's letter. He eventually stated his position at trial as follows: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cost of vinyl wall covering over paint was conceded to be an extra. He contested the amount of $35,000.</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cost of providing a Ving card system over standard locks was accepted as an extra but Mr. Bhatia disagreed with the amount charged at $20,000.</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provision of crown moulding at $9,000 was an extra. Again, he contested the amount.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gas fireplace in the lobby at $1,200 was an extra but once more said the amount was incorrect.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Kitchenettes were charged at $47,000. Mr. Bhatia denied that this was an extra. He agreed that the specifications did not mention kitchenettes but found earlier references to them. I find that the kitchenettes were an extra. The specifications attached to the December 1995 Agreement must govern and they make no provision for kitchenettes. Mr. Bhatia also contested the amount charged.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carpet was upgraded at an additional cost of $40,000. Mr. Bhatia denied that this was an extra and again contested the amount charged.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communicating doors at $10,000 was accepted as an extra but the amount was contested.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gave no evidence concerning the lighting upgrade (signage).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Bhatia denied that the provision of solid glass main entry doors at $6,800 was an extra and he went on to contest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amounts charged by Integrated for the various items added up to $169,000. The upgrade costs were provided by Stuart Olson. Mr. Jacob's evidence as to how Stuart Olson arrived at those costs was based on his analysis of figures provided by Stuart Olson's estimating department. None of the authors of the list were called as witnesses. I view the evidence of Mr. Jacob with some suspicion, but it is clear that whoever prepared the list of upgrade costs did attempt to compare July 1996 Tender prices with the December 1995 Budget of Integrated. The list provided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3346"/>
        <w:gridCol w:w="1568"/>
        <w:gridCol w:w="1568"/>
        <w:gridCol w:w="251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Item</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9/95</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3/96</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Variance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Budget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Tender</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240"/>
        <w:gridCol w:w="2293"/>
        <w:gridCol w:w="1460"/>
        <w:gridCol w:w="1564"/>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Paint 2 walls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63,800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Vinyl 2 walls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98,800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2606"/>
        <w:gridCol w:w="1146"/>
        <w:gridCol w:w="1564"/>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Suite entry locks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32,175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52,175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3336"/>
        <w:gridCol w:w="834"/>
        <w:gridCol w:w="1146"/>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Crown moulding</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3336"/>
        <w:gridCol w:w="834"/>
        <w:gridCol w:w="1146"/>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Gas fireplace at</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lobby</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3336"/>
        <w:gridCol w:w="834"/>
        <w:gridCol w:w="1146"/>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Kitchenettes</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240"/>
        <w:gridCol w:w="1772"/>
        <w:gridCol w:w="1981"/>
        <w:gridCol w:w="1564"/>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Carpet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95,800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135,800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3336"/>
        <w:gridCol w:w="834"/>
        <w:gridCol w:w="1146"/>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Communicating doors</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Lighting (not</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included in tender</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
        <w:gridCol w:w="2606"/>
        <w:gridCol w:w="1146"/>
        <w:gridCol w:w="1564"/>
        <w:gridCol w:w="1564"/>
        <w:gridCol w:w="27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Storefront doors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9,200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Solid glass entry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doors (2)</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673"/>
        <w:gridCol w:w="2091"/>
        <w:gridCol w:w="1569"/>
        <w:gridCol w:w="156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$194,175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$363,175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On May 10, 1996, Integrated had written to Helyar, who was advising Rafiki on costs. The heading of that letter was "Preliminary Summary of Extras &amp; Upgrades Requested by Rafiki". The letter put Rafiki on notice that Integrated would be claiming $264,052 in extras if Stuart Olson became the contractor and $220,892 if Bosa Developments was successful in obtaining the contract. The estimates are not in all respects the same as the variances listed later by Stuart Olson. The reason for that is obvious. The tender bid had not yet been received. Mr. Ivanore concluded his letter to Helyar by stating that the items listed would be incorporated into the final set of drawings and that for contractual reasons, they "must be clarified." The letter made reference to all of the items on the $169,000 list. Helyar did not register any objection with Integrated nor did Rafiki do so itself. Had an objection been registered, it is the position of Integrated that it would then have been afforded the opportunity of obtaining further quotes through the contractors or to enter into further discussions with Helyar with a view to substantiating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 only evidence adduced on whether the listed items were extras came from Integrated. The same is true of the costs involved. Rafiki waited until trial to suggest that some of the items were not extras and that the costs for all of the items were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On a balance of probabilities, I am satisfied that there were increased costs involved in the supply of each of the listed items. The uncontradicted evidence is that the items were not requested by Rafiki until after the April 1996 Agreement had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The fact that additional costs were involved does not resolve the question of whether the various listed items are properly charged as extras. The evidence relates only to the amount of the charge and not to whether the item is properly charged as an extra. That issue must be determined by resolving whether or not the item charged is properly within the scope of the Project. If, for example, an item should have been included within the Project costs, then even if Rafiki requested it after the contract was signed, it is not properly charged as an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There are many instances where Integrated knew or should have known that items would necessarily form part of the Project. I am persuaded they were left out by Integrated in order to enhance the projected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What is necessary in respect of each item is a determination of whether or not it is appropriately charged as an extra and, if so, whether the charge made for the item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I do not accept the submission of Rafiki that an appropriate comparison in determining the cost of extras is with the budget figure used by Integrated. That figure does not represent the cost of providing the item. The appropriate comparison is the one presented by Integrated, that is, the comparison with the budget figure of Stuart Olson provided in the December 1995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I find further that whether Rafiki objected to a cost is of no relevance. Integrated was retained to provide expertise in the supervision of the Project. Rafiki did not have the knowledge to properly assess costs. That is why they entered into the contract with Integrated. Where Helyar was involved, that is evidence to be considered on the question of reasonableness but it must be noted that Helyar did not have the final figures. Although it is difficult to determine, the reasonableness of the charges will govern the amount allowed for any legitimate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Turning to the specific charges in the $169,000 list, I find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Vinyl wall covering. The change from paint to vinyl is conceded by Rafiki to be an extra. The only issue is the price. I am satisfied that the documentary evidence establishes that a reasonable cost of the upgrade is $35,000. When Stuart Olson bid on the Project in December 1995, it was in competition with Bosa Developments. There is no reason to suspect that the cost estimate for painting was inaccurate. At this late date, Integrated cannot be expected to establish the reasonableness of the cost beyond producing the documentary evidence. If Rafiki wished to dispute the figure put forward, it was free to do so by calling the persons who put together the December 1995 Budget. Rafiki is responsible for the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Suite Entry Locks (Ving Card). The Ving Card system was provided at Mr. Bhatia's request. There is no serious argument that it is not a legitimate extra. As to the cost, I once again accept the documentary evidence of the comparison between the December 1995 Budget and the July 1996 Tender. Twenty thousand dollars has been established as a reasonable cost of the upgrade. Rafiki is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Crown moulding. In argument, Rafiki conceded that the provision of crown moulding was an extra to the scope of the Project and that $9,000 is a reasonable cost. Rafiki is responsible for that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Gas fireplace in the lobby. In argument, Rafiki conceded that the fireplace was an extra to the scope of the Project and that $1,200 is a reasonable cost. Rafiki is responsible for that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Kitchenettes. Neither the drawings nor the Scope of Work Document included kitchenettes. I earlier decided that kitchenettes were not included within the Project. The letter of Rafiki's solicitor confirms that to have been the case. Rafiki cannot always hide behind its lack of experience in construction. The absence of kitchenettes from the Scope of Work Document would have been obvious even to a lay person. Their provision is properly charged as an upgrade. Rafiki is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upgrade cost is simply the cost of providing the kitchenettes. That cost was included in the July 1996 Tender. An upgrade cost of $47,000 is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Carpet Upgrade. The Scope of Work Document provides for "28 ounce carpet" in the hotel rooms and commercial grade carpet elsewhere. Integrated, in a letter of March 8, 1996, referred to a price of $9.60 per square yard for the 28 ounce carpeting. There is an absence of evidence as to the price Integrated proposed for the commercial grade carpeting.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evidence, Mr. Bhatia testified that he had never accepted carpet at $9.60 per square yard. The minutes of February 1, 1996 show that Mr. Bhatia was requesting samples of carpeting for both hallways and rooms. Mr. Bhatia said that when samples were provided he was "appalled." I accept that Integrated would have known well before the April 1996 Agreement that the grade and price of carpet to be provided was unacceptable to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evidence, Mr. Jacob testified that the carpet which was ultimately supplied was of commercial grade. Mr. Ivanore agreed that all hotel carpeting was to be commercial grade. The guest rooms were to have a commercial grade carpet lighter than the corridors and lobby but both were to be commercial grade.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evidence, I am satisfied that Rafiki was entitled to commercial grade carpet. Its provision was not an upgrade to the scope of the Project. The evidence of Integrated was unsatisfactory as to the suitability of carpet at $9.60 per square yard. In this particular instance, I am not satisfied that a comparison between the December 1995 Budget and the July 1996 Tender is appropriate. An appropriate measure of the reasonable cost is the cost of providing the commercial grade carpet. The $40,000 upgrade cost is the responsibility of Integrated.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Communicating Doors. In argument, Rafiki conceded that the interconnecting hotel room doors were an extra to the scope of the Project. The issue is cost. The parties do not quarrel about the reasonableness of $10,000 as an appropriate cost. Rafiki contends that there was no net increase in the contract price since Change Order A-063-I-063 provided for a credit for the deletion of 10 interconnecting doors. Initially, there were to be 20 interconnecting doors added. Ten of those doors were deleted and a credit was given for that deletion. Rafiki seeks to offset the credit against the $10,000 cost. That is not appropriate. I agree with the position of Integrated that if the credit is to be taken into account in the calculation of Project costs, then the cost of the doors provided must also be included. Rafiki is responsible for $10,000.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Lighting. No charge was made for this item. No adjustment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Glass entry doors. The Scope of Work Document provided for aluminum framed commercial grade doors. The doors installed were solid glass. It is clear that the Scope of Work Document was not exhaustive in describing what was to be provided. It is not determinative of whether glass doors were an upgrade.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Bhatia conceded on his examination for discovery that the provision of the doors was an upgrade, he resiled from that evidence at trial. He recalled discussions in February as to what type of door would be supplied. The issue is resolved by the evidence of Mr. Ivanore. In his evidence at trial, he testified that the issue was resolved "sometime in February" (Ivanore cross-examination, Volume 4, page 262, lines 7-34). That reference could only be to February 1996. Contrary to the assertion of Integrated, the request for glass doors and the agreement to provide them as part of the Project did not arise after the April 1996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provision of the glass doors was not an upgrade. Integrated is responsible for the increased cost of $6,800.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In respect of the $169,000 list, I conclude that Rafiki is responsible for costs in the total amount of $122,200. Integrated is responsible for $46,800.</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There are other costs claimed as extras by Integrated. In respect of those costs, I reach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Premium for Air Conditioning Units. Integrated claims a premium payment of $80,000 for the supply of Carrier air conditioning units. The Scope of Work Document called for "Carrier or equal." There was evidence that cheaper units were available. I have accepted the evidence of Mr. Bhatia that he insisted from the beginning that Carrier units be provided. They were provided. I accept, as well, the evidence of Mr. Bhatia that Mr. Ivanore told him that the words "or equal" were added only because it may be impossible to provide Carrier units. There is simply too much evidence of Mr. Bhatia's insistence on Carrier to accept that the reference in the Scope of Work Document was to alternate units of similar capability.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 other areas, I find that the Scope of Work Document is not necessarily determinative. Integrated is not entitled to a premium for the supply of air conditioning units.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Mirrored Elevators. The Scope of Work Document did not provide for mirrors in the hotel elevators. A quote for their supply was not provided by Stuart Olson until October 15, 1996. That quote was for $9,000, the amount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evidence that Stuart Olson did not tender on the basis of providing mirrors. Presumably, they worked from the Scope of Work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provision of mirrored elevator walls is an extra to the contract. It requires no particular expertise to read the Scope of Work Document and determine that mirrors were not to be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cost, the letter of United Technologies dated October 15, 1996 (Exhibit 78) shows that the $9,000 cost was made up of mirror glass above the handrails, two inch cylindrical stainless steel handrails and fire rated plastic laminate below the handrails. The evidence of Mr. Ivanore, that he had been told by Stuart Olson that the cost of mirrors was $9,000, cannot be accepted.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been provided with evidence as to a division of costs among the three items provided. Common sense seems to indicate that the mirrors would be the most expensive item. I allocate two-thirds of the cost or $6,000 to the cost of providing mirrors. That cost is for the account of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Painted Stairways. The Scope of Work Document provided that stairwell walls were to be unpainted. Mr. Ivanore testified that Stuart Olson painted the walls. He calculated the value of its work at $14,000. He did that calculation by estimating the work a cost of 70 cents per square foot. That was the figure budgeted for painting stairwells when the Project was to go ahead as the Elks Lodge Residential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documentary evidence to support the allegation that Stuart Olson had painted the walls. Mr. Jacob was not asked. Mr. Ivanore testified that it may have been possible for them to say "No" when they observed that the painting was going ahead.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a claim for the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Extra Plugs in Hotel Rooms. The electrical scope of work provides for two bedside electrical receptacles and one television receptacle. The Building Code requirements were for three outlets per room. Mr. Ivanore reviewed the drawings and concluded there were five or six electrical receptacles provided per room. He "understood" that the number of receptacles resulted from Beyer-Brown's furniture layout.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Rafiki's position is that Integrated is wrong in its submission that only three outlets need be provided but I conclude that the issue is more straightforward. There was no evidence as to a request by Rafiki for any particular number of receptacles. Whatever number was provided, it was provided under the supervision of Integrated. Presumably, they provided for a reasonable number of outlets.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of $31,680.00 for extra plugs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Five Handicapped Rooms. Four handicapped rooms were provided. The provision of handicapped rooms was specifically excluded from the Scope of Work Document contemplated at the time of the April 1996 Agreement was 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provision of handicapped rooms is a Code requirement. The only question is responsibility for payment. Rafiki contends that it was for Integrated to identify the number required and to provide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read the Scope of Work Document, no provision was made for the cost of handicapped rooms. Rafiki must or should have understood that was so. Even accepting that they are a Code requirement, I find that the documents make it clear that when handicapped rooms were provided, their cost was to be an extra to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assess the costs involved. Many of the items are covered by Change Orders. I reject the evidence of Mr. Ivanore that the cost of providing handicapped suites was $18,000 to $20,000 per unit. Mr. Jacob testified that the cost was between $300 and $500 per unit. Given that the special devices required are covered by Change Orders, I find the evidence of Mr. Jacob more reasonable. I allow $2,000 as the additional cost of providing for handicapped suites.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Extra Hot Water Tank. The Scope of Work Document provides for two hot water tanks. Four were provided. Integrated claims an extra for the provision of one of the additional tanks in the amount of $10,000.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Djwa, the mechanical consultant, was that two tanks were contemplated for the residential development. He subsequently specified the need for an additional tank. That was added after he considered the needs of the hotel's commercial laundry facility. Mr. Djwa confirmed, at the site meeting of November 5, 1996, that the three tank system was adequate for the hotel units but not necessarily for an additional laundry. On December 3, 1996, in another site meeting, Mr. Djwa confirmed that the additional tank was needed for the laundry.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evidence refutes the suggestion of Integrated that the tank was added only at the insistence of Mr. Bhatia. I conclude that the evidence establishes the need for all of the tanks. An adequate hot water system is within the scope of the Project. The claim for the extra is rejected.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Beyer-Brown Services. Beyer-Brown was the interior design consultant. Integrated claims $2,775 on the basis that Beyer-Brown's services in that amount related to Rafiki's franchise requirements and not to the Project. When the dispute arose, Mr. Policzer was asked to act as an arbitrator. He determined that $2,775 pertained to F.F.&amp; E. and should be charged to Rafiki's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extra costs were identified as relating to Hampton Inn requirements and the redesign of the hotel lobby and reception area which resulted.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cost is for Rafiki's account and a legitimate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Beyer-Brown Extra. An amount of $3,500 is claimed. Invoices from Beyer-Brown show that they exceeded their budget of $15,000 by that amount. Integrated relies on the evidence of Mr. Policzer that some of the services provided related to the review of Hampton Inn specifications and the corresponding redesign of the hotel lobby and reception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Rafiki that simply because a budget was exceeded does not mean that the services provided were not within the scope of the Project. I am not satisfied that the evidence identifies the costs as being associated with work done over and above the services provided with respect to franchise requirements in the amount of $2,775. The claim for this extra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Additional Payment to Architect for Inspections. Mr. Policzer was charging $2,000 per month. That fee was revised to provide for $5,000 per month for the period March to July 1997. Integrated claims $15,000 as an extra. It alleges that Rafiki chose to increase the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evidence, had Rafiki not agreed to increase the fee, Mr. Policzer would have left the Project. That would have involved substantial cost increases.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unnecessary to analyze the reasons for the additional fee except to say that there were so many disagreements between Rafiki and Integrated that Mr. Policzer became unhappy. I do not intend to resolve the differences between the parties. Since they each contributed to Mr. Policzer's woes, the costs should be a Project cost. Integrated was aware of the difficulties and by inference, if not specifically, it approved the increase.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claim for this extra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Legal Expenses. The budgeted amount for legal expenses was $35,000. The actual amount paid was $128,437. Integrated claims that many of the solicitor's services were provided to Rafiki in the capacity of the solicitor as Rafiki's independent adviser. It claims $93,437 as an extra.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arrives at that figure by analyzing the accounts rendered and allocating fees to what it perceives as services rendered to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from a review of the evidence that Mr. Morgan was, at all times, treated by all parties as the Project solicitor. It is true that he identified himself as the solicitor for Rafiki but I take that to refer to any services he provided where disputes between the parties arose.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some of Mr. Morgan's services should be charged to Rafiki, but on the evidence, I am unable and unwilling to analyze the accounts and allocate responsibility for the services. It was for Integrated to prove the services were not services provided to the Project. It could easily have called Mr. Morgan as a witness and chose not to do so. The claim for this extra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Issues other than the ones listed have been addressed elsewhere in this judgment. The extras I have found to be the responsibility of Rafiki total $10,775. The balance of the amounts claimed are properly Project costs.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what amount, if any, is Rafiki responsible for disputed post-Draw 17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Additional costs were incurred after August 31, 1997. Draw 17 was prepared on that date. Apart from a payment to Del Industries of $12,568, all payments were made to Stuart Olson. The parties cannot agree on whether certain payments are properly included in Project costs. The position of Integrated is that at some point the costs should be regarded as operational and, therefore, not to Integrated's account. Rafiki contends that all of the costs are Project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 will deal with the costs as individual items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Change Order 64 - Exterior Post Lights - $3,660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Integrated concedes that Stuart Olson should have received an extra for two main entrance light fixtures and four pole-mounted fixtures in front of the breakfast room. The contemplated change order identifies the wall-mounted fixture, two main entrance pole fixtures and five pole-mounted fixtures outside the breakfast room. Mr. Policzer testified there had been an allowance of $400 per fixture. Integrated contends that $1,200 should be deducted to cover the costs of three additional fixtures.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 submits that Integrated failed to properly schedule the provision of lights because of its failure to coordinate its supervision of electrical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never suggested that the fixtures were not required. In those circumstances, the position of Rafiki is reasonable. The costs in the amount of $3,660 are the responsibility of Integrated.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Mechanical and Electrical Additions - $28,097 The costs associated with this charge were incurred in providing amenity room air conditioning, modifications to the parking lot heat pump and the addition of a breakfast room fan.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the air conditioning was added as a post-occupancy addition at the request of Rafiki. Rafiki may be correct in stating that the provision of air conditioning was still required after provision of ventilation suggested by the consultant but I do not think that Integrated could reasonably have expected the need for air conditioning as part of the Project. The cost of air conditioning is the responsibility of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 requested the parking lot heat pump be moved from the second floor roof to parking level 1 because of its unsightly appearance and the noise produced by it. When dealing with Change Order A-063-I-100, I found that Rafiki was responsible for costs associated with moving the heat pump equipment. I see no reason to change that conclusion in respect of these costs. Rafiki is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breakfast room fan was added as the result of an order from the City of Vancouver. It was necessitated by the provision of a dishwasher in the kitchen area. The Scope of Work Document provides "no appliances (1 sink only)". That falls short of excluding the dishwasher as contended by Integrated but does indicate that appliances would be operational requirements. If additional equipment such as the fan are then required, I conclude that the responsibility for the cost should also be that of Rafiki.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 will be responsible for the cost of mechanical and electrical additions in the full amount of $28,097.</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Del Industries' Invoice - $12,568 The costs associated with this invoice relate to the provision of sparkling lights and "curb appeal" lights. Integrated states that it was not contractually obliged to provide the lights and was not consulted when the decision was made to add them. Rafiki says that the lights illuminate the address and facade of the building and planter areas at the main entrance. That is typical of hotels in the downtown area and within the scope of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imagine a downtown hotel without adequate lighting of the facade and planter areas. The need for the lighting should have been contemplated by Integrated as a reasonable expense within the scope of the Project. Integrated is responsible.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 EIFS Testing by B.C. Building Sciences - $6,600 Stuart Olson suggested the testing. Mr. Policzer agreed that it should be done. In his direct examination, Mr. Ivanore agreed that the test should be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with Integrated that the test was unnecessary or the responsibility of Stuart Olson. The only other testing was done offsite by Seymour. Onsite testing was a reasonable expense within the scope of the Project. Integrated is responsible for the cost.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Supply of Exercise Equipment - $13,302 F.F.&amp; E. was the responsibility of Rafiki under the contract. It is perhaps arguable that Mr. Bhatia never understood that the provision of exercise equipment or an allowance for it had been removed from the Scope of Work Document but, in the absence of any provision for it, I am unable to conclude that Integrated should be responsible. Integrated was to provide the building, not furnish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Rafiki is responsible for the cost of exercise equipment.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Hook-up of Hydro and Water Meter - $1,411.22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Connection fees are provided for in the November 24, 1995 Letter. Provision of connected meters for hydro and water would be contemplated in any project. The costs are the responsibility of Integrated.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 Telephone and T.V. Hook-ups - $14,694 The Scope of Work Document attached to the April 1996 Agreement specifically provides "Note: All telephone and t.v. wiring and equipment is by others". At the time of construction, it was not known whether Rafiki would proceed with B.C. Tel or with cable television. Despite the provision that connections would be provided, I am satisfied that the intent of this exclusionary clause was to give freedom to Rafiki to make its own choices in the provision of telephone and television services. The costs are its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Of the post-Draw 17 costs paid, Rafiki is responsible for $56,093. The balance of the costs are properly allocated as Project costs.</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Rafiki Liable to Integrated for Breach of Contract?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In its counterclaim, Integrated seeks judgment against Rafiki for the balance of its fee due under the contract in the amount of $426,004.99 and for general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 earlier found that the obligations owing by the parties to each other are to be found in the April 1996 Agreement and the budget attached, various other plans, specifications, documents and oral arrangements. The thrust of the claim of Integrated is that Rafiki was in breach of the following provision of the April 1996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and the Development Manager shall cooperate in finalizing the Plans and Specifications to reasonably ensure that the Project can be completed for not more than the approved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Integrated alleges that Rafiki breached its obligation to cooperate in achieving the budget and interfered with it in its exercise of its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Integrated alleges further that Rafiki failed to make payments when due. That allegation was not pursued at trial and I need not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Rafiki's position is that its obligation was limited to cooperating in finalizing plans and specifications. That position ignores the requirement that cooperation extend to reasonably ensuring that the Project be completed within budget. I find that Rafiki was obliged to cooperate throughout the preparation of plans and specifications with a view to keeping the Project within budget. That obligation would include a duty not to interfere with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The first specific breach of contract alleged relates to Rafiki's insistence on the provision of Carrier air conditioning. Integrated says it was known that insistence on Carrier resulted in a premium cost of approximately $80,000. I dealt with this issue previously. I am satisfied that Rafiki insisted throughout on the provision of Carrier. That insistence cannot be viewed as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Other allegations relate to the threat of Mr. Policzer to resign, the involvement of Helyar and the arguments between Integrated and Rafiki with threats to dismiss Integrated from the Project. The arguments led to Mr. Ivanore withdrawing Integrated from participation in reviewing change orders. None of those issues appear to have led to any loss on the part of Integrated that has not been addressed in allocating responsibility for the change orders. There has been no proof of any additional loss suffered by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Integrated also alleges a breach on the part of Rafiki in amending the contract to remove Integrated's authority to act as the agent of Rafiki. I agree with Rafiki that the change was made with the consent of the parties. Integrated cannot complain of a breach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Integrated also contends that Rafiki breached its contract by agreeing to accelerate completion of the contract by paying additional funds to Stuart Olson. Any losses suffered by Integrated in respect of the acceleration payment have been addressed in dealing with change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Integrated suggests that its costs increased because of Rafiki's emphasis on timely completion. That may be so, but Integrated well knew of the need for Stuart Olson to complete the Project on time. Integrated may not have been contractually obliged to meet a completion date, but the insistence of Rafiki on meeting the date cannot be said to have breached its contract with Integrated.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If Mr. Ivanore had remained with the Project, his participation in keeping costs under control would have been assured. As I stated earlier, I find no fault on the part of Mr. Ivanore. His situation was impossible. I am unable to say whether he or Mr. Bhatia was primarily responsible for the disintegration of the relationship but certainly the evidence points to a major contribution from both parties. Whatever damages may have resulted have been addressed in dealing with change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I will deal with the entitlement of Integrated to its fee in my conclusions.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I have found that Integrated was obliged to provide the completed Project on a "modified" turnkey basis at a cost of $10,176,000 plus necessary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With the exception of the amount of $2,109, the parties are agreed on the total cost of the Project. The disputed amount relates to a refund due from the City of Vancouver. Integrated says the refund is a refund to the Project, while Rafiki says the money properly goes to the Elks Lodge. The uncontradicted evidence of John Third, the solicitor for Integrated, is that the refund is a refund to the Project. I accept that evidence. The Project costs should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Subject to the adjustment for $2,109, the parties have agreed that the final cost of the Project is $11,256,075. The adjusted cost is, therefore, $11,253,966.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adjustments which must be made to the fixed price of $10,176,000 are the costs found to be the responsibility of Rafiki. Those costs as allocated in this judgment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Charge Orders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$246,854.05</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The $169,000 list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122,200.00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Miscellaneous extras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10,775.00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Post-Draw 17 costs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56,093.00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$435,922.05</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 total cost to Rafiki for the completed Project may therefore be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2091"/>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$10,176,000.00</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+435,922.05</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$10,611,922.05</w:t>
            </w:r>
          </w:p>
        </w:tc>
        <w:tc>
          <w:tcPr>
            <w:tcW w:w="655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as stated earlier, further adjustments required for bonding costs, overhead and profit. My judgment will not take account of those costs but counsel should make the necessary adjustments when the calculations have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contract between the parties provides for payment of a fee to Integrated in the maximum amount of $825,000 if the final costs of the Project do not exceed $10,176,000. I take that clause to refer to $10,176,000 plus adjustments and not to the stipulated price of $10,176,000. If that is so, the overrun on costs is $11,253,966 less $10,611,922 or $642,044.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If counsel disagree with that interpretation of the contract, they are free to agree upon a different interpretation or, in the absence of an agreement, to speak to the interpretation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Assuming my interpretation of the contract is correct, Integrated is obliged to repay to Rafiki the overrun of $642,044 if the full fee of $825,000 has been paid. In fact, Rafiki has only partially paid the fee. It has not paid $426,196. Rafiki is indebted to Integrated in that amount and Integrated is indebted to Rafiki in the amount of $642,044. The net result is that Integrated is indebted to Rafiki for $215,848.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Rafiki is entitled to judgment in the amount of $215,848, subject to adjustments for bonding costs, overhead, profit and such other adjustments as the parties consider appropriate. The remainder of its claims are dismissed. The counterclaim of Integrated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I have not addressed the question of costs. If the parties are unable to reach an agreement,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CLANCY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Reid v. Ford Motor Co., [2003] B.C.J. No. 2489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July 2 and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S023572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126 A.C.W.S. (3d) 392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Reid, plaintiff, and Ford Motor Company, Ford Motor Company of Canada, Limited/Ford du Canada limitée,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26"/>
      <w:bookmarkEnd w:id="182"/>
      <w:r>
        <w:rPr>
          <w:rFonts w:ascii="arial" w:eastAsia="arial" w:hAnsi="arial" w:cs="arial"/>
          <w:b/>
          <w:color w:val="000000"/>
          <w:sz w:val="20"/>
          <w:lang w:val="en-US" w:eastAsia="en-US" w:bidi="ar-SA"/>
        </w:rPr>
        <w:t>Practice — Persons who can sue and be sued — Individuals and corporations, status or standing — Class actions, certification, considerations (incl. when class action appropriate) — Class actions, certification, appointment of representative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3" w:name="Case Summary_24"/>
            <w:bookmarkEnd w:id="1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Reid, for an order certifying her action as a class proceeding and appointing her as a representative plaintiff. Reid alleged that certain motor vehicles manufactured by the defendant, Ford Motor Company, were equipped with defective parts which caused the vehicles to stall without warning. She argued that because the cost of replacing the parts was small compared to the cost of litigation, the only practical means of proving the allegations was as a class proceeding.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4" w:name="Holdings of Court_21"/>
            <w:bookmarkEnd w:id="18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a cause of action. There was an identifiable class, even if the exact number of class members and their identities were not known. The common issues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Trade Practice Act were at the centre of the litigation. The determination of whether Ford was a supplier to a particular consumer transaction was a simple factual matter at the individual issues stage. Reid did not have any interest in conflict with the class members. There was no evidence that any of the class members wished to control separate actions and no proposed alternative method for the claims. There was no advantage to individual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21"/>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18" w:history="1">
        <w:r>
          <w:rPr>
            <w:rFonts w:ascii="arial" w:eastAsia="arial" w:hAnsi="arial" w:cs="arial"/>
            <w:i/>
            <w:color w:val="0077CC"/>
            <w:sz w:val="20"/>
            <w:u w:val="single"/>
            <w:shd w:val="clear" w:color="auto" w:fill="FFFFFF"/>
            <w:lang w:val="en-US" w:eastAsia="en-US" w:bidi="ar-SA"/>
          </w:rPr>
          <w:t>R.S.B.C. 1996, c. 50, ss. 4</w:t>
        </w:r>
      </w:hyperlink>
      <w:r>
        <w:rPr>
          <w:rFonts w:ascii="arial" w:eastAsia="arial" w:hAnsi="arial" w:cs="arial"/>
          <w:color w:val="000000"/>
          <w:sz w:val="20"/>
          <w:lang w:val="en-US" w:eastAsia="en-US" w:bidi="ar-SA"/>
        </w:rPr>
        <w:t>, 4(1), 4(1)(a), 4(1)(b), 4(1)(c), 4(1)(d), 4(1)(e), 4(2), 4(2)(a), 4(2)(b), 4(2)(c), 4(2)(d), 4(2)(e), 5, 6, 7, 7(d), 8, 9,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 Act, R.S.B.C. 1996, c. 457, s. 3(1),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27"/>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Sharon D. Matthews, Ward Branch and Luciana Brasil, for the plaintiff. David A. Hobbs and Ian Giroday,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27"/>
      <w:bookmarkEnd w:id="187"/>
      <w:r>
        <w:pict>
          <v:line id="_x0000_s116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GEROW J._0"/>
            <w:bookmarkEnd w:id="188"/>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is applying to have her action certified as a class proceeding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products liability case involving the ignition systems in 1983-1995 model years Ford, Lincoln and Mercury motor vehicles equipped with distributor mounted thick film ignition modules (TFI modules)(collectively, the proposed class vehicles). The plaintiff alleges that the TFI modules are defective and the defect is dangerous because it causes the vehicles to stall without warning. She submits that because the cost to repair and/or replace the TFI modules is modest compared to the costs of litigation of this nature, the only practical means for the class members to prove their allegations against the defendants and to recover the expense of making their vehicles safe is to band together in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is, should the plaintiff be entitled to prosecute this action on behalf of the class described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argues that a products liability case such as this one should be permitted to proceed as a class action because the financial burdens of prosecuting the claim would consume all or almost all of the proceeds of a judgment of any single plaintiff. As a result defendants who would otherwise be found responsible would likely be insulated from lawsuits. It is only by spreading the costs of the litigation amongst many that members of the class will have access to justice. Nantais v. Telectronics Proprietary (Canada) Ltd. </w:t>
      </w:r>
      <w:hyperlink r:id="rId221"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submit that it is not appropriate for this case to be permitted to proceed as a class action as the plaintiff has failed to meet any of the requirements set out in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following reasons I have concluded that this case should proceed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1998, Barbara Reid bought a 1994 Ford Tempo for $8,650.00. The car was equipped with a distributor mounted TFI module.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vehicle was manufactured and/or put into the stream of commerce by the defendants Ford Motor Company and Ford Motor Company of Canada, Limited/Ford Du Canada Limitée (collectively,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Certain Ford, Lincoln and Mercury vehicles manufactured between 1983 and 1995 were outfitted with a distributor mounted TFI module.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TFI module is an electronic device that controls the spark of electricity that ignites the gas and air mixture in the engine cylinders (the combustion process). The function of the TFI module is to control the current through the ignition coil in order to make sparks to initiate the combustion process. Reliability of the TFI module is related to temperature which is determined by the mounting location environment and power dissipation.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Electronic devices used in automobiles, including TFI modules, are sensitive to operation under elevated temperatures. To ensure continued operation of the vehicle's electrical ignition system, the heat generated by the TFI module itself and the surrounding engine components must be minimized and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alleges that in the case of the proposed class vehicles the ability to minimize and manage the heat to which the distributor mounted TFI modules are subjected is limited by the following three design choices: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TFI module on the distributor, one of the hotter non-exhaust components under the hood.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by which the heat generated by the TFI module itself is sinked into the distributor, rather than away from the TFI module;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excessive dwell times to which the TFI modules are subjected, (the period of time during which the ignition coil has electrical current running through it and how long it holds the electrical current at a fixed level, both of which generate additional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theory is that these are the key factors which affect how much heat the TFI module is subjected to, and for how long. If the heat to which a TFI module is subjected is not properly managed, the module will malfunction (the TFI defect), causing the car to either stall or stumble while in use or causing difficulty in starting. When the vehicle engine stalls the vehicle loses its use of power brakes and power steering.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alleges that since at least 1986, Ford recognized that its distributor mounted TFI modules had reliability problems. The first action planned to improve the reliability of the TFI module was to place it in a cooler more remote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there were changes to and different TFI modules they remained on the distributor throughout the class period. As well, the TFI modules remained sinked to the distributor, and the dwell times on most models were between 17%-32%, while Ford's competitors experienced dwell times of 12% or less. The TFI modules in issue are all TFI-IV modules.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claims that these three factors are the primary or controlling factors causing the faulty performance of the TFI modules and unless addressed, the TFI modules remain prone to malfunction.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alleges that the TFI defect can be initially difficult to diagnose because the TFI module operates normally once it cools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further alleges that on more than one occasion her Ford Tempo stalled without warning, including stalls in dangerous situations such as while travelling down a steep North Shore hill and while on the Burrard Street Bridge in heavy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troubleshooting the problem, Ms. Reid incurred expenses in trial-and-error repairs. These stalling and starting problems arose by 2000, i.e. within about 6 years of manufacture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Supreme Court of Canada has held that the Class Proceedings Act should be construed generously especially at the certification stage. It provides the courts with a procedural tool to deal efficiently and on a principled basis with cases involving vast numbers of interested parties and complex, intertwined legal issues, some which are common and some which are not. Class proceedings have three important advantages over multiple proceedings: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 resulting from unnecessary duplication.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justice by making economical the prosecution of claims which would otherwise be uneconomical;</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modifying the behaviour of wrongdoers.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Hollick v. Toronto, </w:t>
      </w:r>
      <w:hyperlink r:id="rId222"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[paragraph] 14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certification stage is not meant to be a test of whether the plaintiff's claim will succeed, i.e. a test of the merits and turns on the facts. Hollick, [paragraph] 16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Although in Hollick the court was considering the Ontario statute the same principles apply to whether the plaintiff meets the certification requirements set out in the British Columbia Class Proceedings Act. Rumley v. British Columbia, </w:t>
      </w:r>
      <w:hyperlink r:id="rId22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Applications for certification are governed by sections 4-9 of the Class Proceedings Act. Section 4(1) mandates certification if the following requirements are met:</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proceedings on behalf of the class and of notifying the class members of the proceeding;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4(1)(a) -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test to be applied when considering s. 4(1)(a) of the Class Proceedings Act is the same as that under Rule 19(24) of the Rules of Court: is it plain and obvious that the pleadings cannot sustain a cause of action? Evidence is not considered at this stage; rather, the Court assumes that the facts alleged in the pleadings are true. Endean v. Canadian Red Cross Society, </w:t>
      </w:r>
      <w:hyperlink r:id="rId225" w:history="1">
        <w:r>
          <w:rPr>
            <w:rFonts w:ascii="arial" w:eastAsia="arial" w:hAnsi="arial" w:cs="arial"/>
            <w:i/>
            <w:color w:val="0077CC"/>
            <w:sz w:val="20"/>
            <w:u w:val="single"/>
            <w:shd w:val="clear" w:color="auto" w:fill="FFFFFF"/>
            <w:lang w:val="en-US" w:eastAsia="en-US" w:bidi="ar-SA"/>
          </w:rPr>
          <w:t>[1998] 9 W.W.R. 136</w:t>
        </w:r>
      </w:hyperlink>
      <w:r>
        <w:rPr>
          <w:rFonts w:ascii="arial" w:eastAsia="arial" w:hAnsi="arial" w:cs="arial"/>
          <w:color w:val="000000"/>
          <w:sz w:val="20"/>
          <w:lang w:val="en-US" w:eastAsia="en-US" w:bidi="ar-SA"/>
        </w:rPr>
        <w:t xml:space="preserve"> (B.C.C.A.), [paragraphs] 7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has commenced this action on behalf of herself and other owners and lessees of the proposed class vehicles. The action is framed in negligent design, negligent manufacture, failure to warn and the statutory cause of action of deceptive act or practice giving rise to damages pursuant to the Trade Practice Act, </w:t>
      </w:r>
      <w:hyperlink r:id="rId577"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the TFI modules in the proposed class vehicles are defective and that the TFI defect poses a danger to the public. The plaintiff argues that the general rule that a plaintiff cannot sue in tort for pure economic loss does not apply in the case of a dangerous defect and that this case falls squarely into the category of cases for which the Supreme Court of Canada has confirmed a cause of action exists. Winnipeg Condominium Corporation No. 36 v. Bird Construction Co., </w:t>
      </w:r>
      <w:hyperlink r:id="rId228"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argues that it is plain and obvious that the statement of claim does not disclose a cause of action for some of the proposed class members in that there will be individuals who have never experienced problems nor experienced any costs repairing or replacing the TFI module. I do not agree with the defendants because only members of the proposed class who suffer loss as a result of a TFI defect will benefit from the action. It is not intended to provide recompense to those who have owned one of the proposed class vehicles but have not suffered or will not suffer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argument that there is no actionable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plaintiff has offered no evidence that the TFI defect poses a real and substantial danger is premature as it is an argument regarding the merits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submit that the plaintiff's action with respect to the Trade Practice Act is flawed in that there are potentially persons in the proposed class who purchased their vehicles outside British Columbia and do not, therefore, have a cause of action because the statute does not govern transactions which occur outside the jurisdiction. The argument is dependent on assumptions about class members which are not in evidence. The issue of whether a particular class member suffered loss as a result of a TFI defect will be the subject of the individual issues at trial and the claim is confined to those who suffered losses as a result of repairs and replacement of the TFI module. It is not essential for the acts or practices take place within B.C. Robson v. Chrysler Canada Ltd. </w:t>
      </w:r>
      <w:hyperlink r:id="rId578" w:history="1">
        <w:r>
          <w:rPr>
            <w:rFonts w:ascii="arial" w:eastAsia="arial" w:hAnsi="arial" w:cs="arial"/>
            <w:i/>
            <w:color w:val="0077CC"/>
            <w:sz w:val="20"/>
            <w:u w:val="single"/>
            <w:shd w:val="clear" w:color="auto" w:fill="FFFFFF"/>
            <w:lang w:val="en-US" w:eastAsia="en-US" w:bidi="ar-SA"/>
          </w:rPr>
          <w:t>(2002), 2 B.C.L.R. (4th)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 result, I find that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4(1)(b) -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 plaintiff has defined the class by reference to objective criteria in that a person is a member if they now or in the past owned or leased a proposed class vehicle during a specified period of time with a distributor mounted TFI module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shown that there are two or more identifiable class members; namely, the representative plaintiff herself and the approximately 54 people who have come forward without a notification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Although the exact size of the proposed class is not yet ascertained, the court must not refuse to certify a class merely because the number of class members or identity of each class member is not known. Class Proceeding Act, s. 7(d). The class definition must simply state objective criteria by which the class members can be identified. Western Canadian Shopping Centre v. Dutton, </w:t>
      </w:r>
      <w:hyperlink r:id="rId23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[paragraph]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defendants do not challenge the definition on that basis, they say implicit within the requirement of an identifiable class is that there must be some rational relationship between the common issues and proposed class and, that in this case, the class members do not share a common interest in the resolution of the common issues and the causes of action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class members are objectively defined as those who owned or leased vehicles with the TFI module mounted on the distributor during the specified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requirement to show that the class is defined sufficient narrowly is not an onerous one. Not everyone in the class has to share the same interest in the resolution of the common issue; however the class should not be unnecessarily broad. Hollick, [paragraphs] 20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this case, I find that there are objective criteria to satisfy the requirement of defining a sufficiently narrow class. If subsequent to certification, differences among class members become material, they can be dealt with either through sub-classes or as individual issues. Scott v. TD Waterhouse </w:t>
      </w:r>
      <w:hyperlink r:id="rId233" w:history="1">
        <w:r>
          <w:rPr>
            <w:rFonts w:ascii="arial" w:eastAsia="arial" w:hAnsi="arial" w:cs="arial"/>
            <w:i/>
            <w:color w:val="0077CC"/>
            <w:sz w:val="20"/>
            <w:u w:val="single"/>
            <w:shd w:val="clear" w:color="auto" w:fill="FFFFFF"/>
            <w:lang w:val="en-US" w:eastAsia="en-US" w:bidi="ar-SA"/>
          </w:rPr>
          <w:t>(2001), 94 B.C.L.R. (3d) 320</w:t>
        </w:r>
      </w:hyperlink>
      <w:r>
        <w:rPr>
          <w:rFonts w:ascii="arial" w:eastAsia="arial" w:hAnsi="arial" w:cs="arial"/>
          <w:color w:val="000000"/>
          <w:sz w:val="20"/>
          <w:lang w:val="en-US" w:eastAsia="en-US" w:bidi="ar-SA"/>
        </w:rPr>
        <w:t xml:space="preserve"> (S.C.), [paragraph]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4(1)(c) -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inquiry is limited to whether common issues of fact or law exist; it is not an exercise, at this stage, of weighing the common issues against individual issues. Class Proceedings Act, s. 4(1)(c); Rumley, [paragraph] 33; Harrington v. Dow Corning Corp. et al. </w:t>
      </w:r>
      <w:hyperlink r:id="rId234" w:history="1">
        <w:r>
          <w:rPr>
            <w:rFonts w:ascii="arial" w:eastAsia="arial" w:hAnsi="arial" w:cs="arial"/>
            <w:i/>
            <w:color w:val="0077CC"/>
            <w:sz w:val="20"/>
            <w:u w:val="single"/>
            <w:shd w:val="clear" w:color="auto" w:fill="FFFFFF"/>
            <w:lang w:val="en-US" w:eastAsia="en-US" w:bidi="ar-SA"/>
          </w:rPr>
          <w:t>(2000), 193 D.L.R. (4th) 67</w:t>
        </w:r>
      </w:hyperlink>
      <w:r>
        <w:rPr>
          <w:rFonts w:ascii="arial" w:eastAsia="arial" w:hAnsi="arial" w:cs="arial"/>
          <w:color w:val="000000"/>
          <w:sz w:val="20"/>
          <w:lang w:val="en-US" w:eastAsia="en-US" w:bidi="ar-SA"/>
        </w:rPr>
        <w:t xml:space="preserve"> (B.C.C.A.) [paragraph]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touchstone to this inquiry is whether proceeding as a class action will avoid either duplication of fact-finding or legal analysis. The questions which should be asked to determine whether issues are common are: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resolution of the issue necessary to the resolution of each class members' claim?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a substantial ingredient of each of the class members' claims? Hollick, [paragraph]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latter requirement has been stated by the British Columbia Court of Appeal as being satisfied if the resolution of a common issue, either for or against the class members, will advance the case; i.e. move the litigation forward, and is capable of extrapolation to all class members. It is not necessary that the resolution of the common issues be determinative of liability. Harrington v. Dow Corning Corp., at [paragraphs] 20-24.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common issues should be disclosed by pleadings, including particulars. However, common issues may be refined and reduced as litigation proceeds. Hoy v. Medtronic, Inc. </w:t>
      </w:r>
      <w:hyperlink r:id="rId235" w:history="1">
        <w:r>
          <w:rPr>
            <w:rFonts w:ascii="arial" w:eastAsia="arial" w:hAnsi="arial" w:cs="arial"/>
            <w:i/>
            <w:color w:val="0077CC"/>
            <w:sz w:val="20"/>
            <w:u w:val="single"/>
            <w:shd w:val="clear" w:color="auto" w:fill="FFFFFF"/>
            <w:lang w:val="en-US" w:eastAsia="en-US" w:bidi="ar-SA"/>
          </w:rPr>
          <w:t>(2001), 94 B.C.L.R. (3d) 169</w:t>
        </w:r>
      </w:hyperlink>
      <w:r>
        <w:rPr>
          <w:rFonts w:ascii="arial" w:eastAsia="arial" w:hAnsi="arial" w:cs="arial"/>
          <w:color w:val="000000"/>
          <w:sz w:val="20"/>
          <w:lang w:val="en-US" w:eastAsia="en-US" w:bidi="ar-SA"/>
        </w:rPr>
        <w:t xml:space="preserve"> (S.C.) at [paragraph]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courts have addressed whether certain types of claims and relief raise common issues and have held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common issues because no class member can prevail without showing duty and breach;</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changing standard of care over time will not necessarily prevent certification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 the court may answer the breach of standard differently for different time periods (and therefore class members) but they all share an interest in the answer to the question;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appropriately certified as common issues because the focus of the inquiry into the award is on the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Rumley, [paragraphs] 27-32 and 34; Chace v. Crane Canada </w:t>
      </w:r>
      <w:hyperlink r:id="rId237" w:history="1">
        <w:r>
          <w:rPr>
            <w:rFonts w:ascii="arial" w:eastAsia="arial" w:hAnsi="arial" w:cs="arial"/>
            <w:i/>
            <w:color w:val="0077CC"/>
            <w:sz w:val="20"/>
            <w:u w:val="single"/>
            <w:shd w:val="clear" w:color="auto" w:fill="FFFFFF"/>
            <w:lang w:val="en-US" w:eastAsia="en-US" w:bidi="ar-SA"/>
          </w:rPr>
          <w:t>(1996), 44 B.C.L.R. (3d) 264</w:t>
        </w:r>
      </w:hyperlink>
      <w:r>
        <w:rPr>
          <w:rFonts w:ascii="arial" w:eastAsia="arial" w:hAnsi="arial" w:cs="arial"/>
          <w:color w:val="000000"/>
          <w:sz w:val="20"/>
          <w:lang w:val="en-US" w:eastAsia="en-US" w:bidi="ar-SA"/>
        </w:rPr>
        <w:t xml:space="preserve"> (C.A.); Endean v. Canadian Red Cross Society et al. (B.C.C.A.), [paragraphs] 40-41; Griffith v. Winter </w:t>
      </w:r>
      <w:hyperlink r:id="rId579" w:history="1">
        <w:r>
          <w:rPr>
            <w:rFonts w:ascii="arial" w:eastAsia="arial" w:hAnsi="arial" w:cs="arial"/>
            <w:i/>
            <w:color w:val="0077CC"/>
            <w:sz w:val="20"/>
            <w:u w:val="single"/>
            <w:shd w:val="clear" w:color="auto" w:fill="FFFFFF"/>
            <w:lang w:val="en-US" w:eastAsia="en-US" w:bidi="ar-SA"/>
          </w:rPr>
          <w:t>(2002), 23 C.P.C. (5th) 336</w:t>
        </w:r>
      </w:hyperlink>
      <w:r>
        <w:rPr>
          <w:rFonts w:ascii="arial" w:eastAsia="arial" w:hAnsi="arial" w:cs="arial"/>
          <w:color w:val="000000"/>
          <w:sz w:val="20"/>
          <w:lang w:val="en-US" w:eastAsia="en-US" w:bidi="ar-SA"/>
        </w:rPr>
        <w:t xml:space="preserve"> (B.C.S.C.), [paragraphs] 20-24.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argue that the issue of whether the TFI modules pose a real and substantial danger cannot be answered as a common question based on the experience of one or a few vehicle drivers. They submit that there is no single, homogeneous TFI module or operating environment across the proposed class of vehicles. They say that because of the large number of different TFI modules and the changes made to them over the class period from 1983 to 1995 there are no common issues that will move this matter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theory is that although there may be different TFI modules and changes to them during the class period the defendants' decision to mount and sink their TFI module through the distributor created a dangerous defect, i.e. the TFI defect. The plaintiff alleges that the TFI defect applies across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argue as well that the standard of care may have varied over the relevant time period. However, it is clear from Rumley that is not a basis for refusing certification. Rather it simply may mean that it is necessary to provide a nuanced answer to the common question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proposed common issues in this case are as follows:</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the only manufacturers of class vehicles for sale or lease through Canadian dealerships?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class vehicles originally made commercially available by the defendants?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the present, did the defendants know, or alternatively, should they have known, that mounting the TFI module on the distributor of the class vehicles would: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the TFI modules to temperatures in excess of what are safe operating limits during normal vehicle operation,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TFI modules to fail?</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the present, did the defendants know, or alternatively, should they have known that the failure of the TFI modules could cause the class vehicles to stumble or stall suddenly and without warning during normal operations, thereby placing their occupants and others at risk of personal injury and death from loss of vehicle control and collisions?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 and the class members?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manufacturing the class vehicles?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failing to recall the class vehicles?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provide a proper warning about the operation of the TFI modules?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purchases or leases of class vehicles by the class "consumer transactions" as that term is defined in the Trade Practice Act?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"suppliers" to consumer transactions, as that term is defined in the Trade Practice Act?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engage in deceptive acts or practices, within the meaning of section 3 of the Trade Practice Act by:</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the TFI defect to the class members;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actively concealing the TFI defect;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to pay punitive damages having regarding to the nature of the established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Essentially, these can be divided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 - h), Trade Practice Act issues (i - k) and punitive damages (l).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Chace v. Crane Canada Inc., the B.C. Court of Appeal confirmed that in a products liability case a determination that the product in question is defective or dangerous as alleged will advance the claim to an appreciable extent and that an alleged inherent defect in a product is the type of question for which a class proceeding is ideally suited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defendants say that throughout the proposed class period they made modifications to the proposed class vehicles and the TFI modules to try to improve the performance of the TFI module. At the trial of the common issues, the court may find that in spite of these modifications, and in considering evidence which is not yet before the court on this certification hearing, the defendants were in breach of their duty of care throughout the entire class period, during parts of the class period only, or not at all. Such alternate scenarios are present in many class actions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yet the common issues remain truly common, because the answers resolve or advance the litigation for all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agree with the plaintiff that the resolution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are necessary to the resolution of each class member's claim, i.e. each must be able to prove that the defendants were the manufacturers and suppliers of their vehicles with the TFI modules, that they owed a duty of care, the nature of the duty of care and whether it was breached. These issues are primary issues in each proposed class member's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warn and therefore a decision on them will in my view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There is a rational connection between the class as defined and the asserted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based on the definition of the proposed class vehicles as including those models with distributor mounted TFI modules. All proposed class vehicles have distributor mounted TFI modules, and all proposed class members have an interest in determining whether their placement was defective or negligent. The fact that other collateral factors may have made a particular vehicle more or less likely to fail does not diminish the fact that all are concerned with whether the design, including the placement of the TFI module,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have not yet filed a statement of defence setting out what they say are alternate causes. The defendants' arguments that they believe that factors other than the alleged defects in the TFI modules play a role in the failure rates of the TFI modules, and that there is no TFI defect as alleged by the plaintiff and no common questions which can be certified relating to a TFI defect are premature. They require a finding during the certification stage that the alleged TFI defect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has narrowed the case, as she is entitled to do to enhance and facilitate the prospects for certification. Rumley, [paragraph] 30. The common questions the plaintiff proposes are based on her theory that the placement of the TFI modules on the distributor, the sinking of the modules to the distributor and the excess dwell times caused problems with stalling and starting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of the view that if the plaintiff establishes at the common issues trial that the alleged TFI defect poses a substantial danger that will advance the case of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the defendants are right that the plaintiff's theory has no merit then it will resolve the claims being asserted, but the time for that determination is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would note that the defendants' denial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cuts both ways in that they argue that in order to determine the cause of what the plaintiff says is a large number of TFI modules having to be replaced or repaired is a matter of considerable complexity. The cost of litigating the issue will be high in comparison to the modest damage sustained in most individual cases, i.e. it is an argument in favour of finding that this is an appropriate issue to be explored in the context of a class proceeding. Chace v. Crane Canada Inc., [paragraph]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Even accepting the defendants' submissions that other issues may also be causally connected to the failures being experienced does not prevent certification because those issues would have to be considered in the context of whether the plaintiff's theory is correct regarding the alleged TFI defect and its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further argue that the plaintiff must proceed on the basis of proving that the "best vehicle" is defective. However, this argument has not been accepted by the courts which have held that a common issue may be one where the answers are different for different class members. So long as the issue is one which is necessary to be resolved for each class member's claim and is a substantial ingredient of the claim, the issue is common. It is not whether the answer is common, but whether the question is common. Rumley, at [paragraph] 27-32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result, I conclude that the proposed questions (a) to (c), (e), (g) and (h) are common questions. In my view (d) and (f) should be reworded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the present did the defendants know, or alternatively, should they have known that the failure of the TFI modules could cause the class vehicles to stumble or stall suddenly and without warning during normal operations? Did this place their occupants and others at risk of personal injury and death from loss of vehicle control and collisions?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the design, manufacture and placement of the TFI modules?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concedes that the portion of the definition of "consumer transaction" in the Trade Practice Act pertaining to the purpose of the transaction is an individual issue. The plaintiff proposes to recast the common issues by eliminating question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submits that the Trade Practice Act common issues meet the test of eliminating duplication of fact finding and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pertinent provisions of the Trade Practice Act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transaction" means any of the following: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sale, lease, rental, assignment, award by chance or other disposition or supply of any kind of personal property or real property to an individual for purposes that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primarily personal, family or household,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 to a first time business opportunity scheme;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or promotion by a supplier with respect to a transaction referred to in paragraph (a);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 a consumer by a person requesting any of the following:</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of money by the consumer;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of any other property by the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"supplier" means a person, whether in British Columbia or not, other than a consumer, who in the course of the person's business solicits, offers, advertises or promotes the disposition or supply of the subject of a consumer transaction or who engages in, enforces or otherwise participates in a consumer transaction, whether or not privity of contract exists between that person and the consumer, and includes the successor to, and assignee of, any rights or obligations of the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Deceptive acts or practices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a deceptive act or practice includes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including a failure to disclose,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the capability, tendency or effect of deceiving or misleading a person.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deceptive act or practice by a supplier in relation to a consumer transaction may occur before, during or after the consumer transaction.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one or more of the following, however expressed, constitutes a deceptive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finding that the defendants introduced the proposed class vehicles into the stream of commerce is arguably sufficient to meet the definition that they are "suppliers". Robson v. Chrysler Canada Ltd., [paragraph] 12-15. Such a finding can be made without reference to any of the individual class members but is necessary to the resolution of each of their claims under the Trade Practice Act. Similarly, a determination of whether the purchase and lease of proposed class vehicles are "consumer transactions" can be made by reference to the statute. The defendants have proffered no evidence of varying contractual frameworks other than the "leases and purchases" specified in the common issue. As such, there is no evidence that individual evidence would be required to assess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Once the common question as to whether, at law, the introduction of the class vehicles into the stream of commerce and other activities the defendants undertook in respect of the proposed class vehicles are sufficient to render them "suppliers", the determination of whether the defendants were "suppliers" to a particular "consumer transaction" would be a simple factual matter at the individual issues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argues that in order to determine whether the defendants engaged in a deceptive act or practice within the meaning of the Trade Practice Act by failing to disclose the TFI defect the key factual issues will be what the defendants knew about the alleged TFI defect before and during the class period and whether the defendants were silent about the TFI defect. I agree that this analysis will be common to all class members because it does not require analysis of representations between the defendants and each class member. Reliance is not pleaded and is not necessary if the allegation is failure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submits there is a good arguable case that mere silence is a "deceptive act or practice" within the meaning of the Trade Practice Act. Robson v. Chrysler Canada Ltd., [paragraphs] 16-23; Olsen v. Behr Process Corp. et al., </w:t>
      </w:r>
      <w:hyperlink r:id="rId580" w:history="1">
        <w:r>
          <w:rPr>
            <w:rFonts w:ascii="arial" w:eastAsia="arial" w:hAnsi="arial" w:cs="arial"/>
            <w:i/>
            <w:color w:val="0077CC"/>
            <w:sz w:val="20"/>
            <w:u w:val="single"/>
            <w:shd w:val="clear" w:color="auto" w:fill="FFFFFF"/>
            <w:lang w:val="en-US" w:eastAsia="en-US" w:bidi="ar-SA"/>
          </w:rPr>
          <w:t>[2003] B.C.J. No. 627</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2003 BCSC 429</w:t>
        </w:r>
      </w:hyperlink>
      <w:r>
        <w:rPr>
          <w:rFonts w:ascii="arial" w:eastAsia="arial" w:hAnsi="arial" w:cs="arial"/>
          <w:color w:val="000000"/>
          <w:sz w:val="20"/>
          <w:lang w:val="en-US" w:eastAsia="en-US" w:bidi="ar-SA"/>
        </w:rPr>
        <w:t>, [paragraphs] 28-32.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factual analysis with respect to this common issue will simply be whether the defendants knew and were silent about the TFI defect. I do not accept that the case is analogous to the case relied on by the defendants, McKay v. CDI Career Development Institutes Ltd. </w:t>
      </w:r>
      <w:hyperlink r:id="rId581"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(S.C.), which dealt with the issue of positive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I conclude that the proposed questions (j) and (k) are common issues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Punitive damages have been accepted by the courts as an appropriate common issue in many cases because the focus of the inquiry is on the conduct of the defendants. Rumley,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submissions regarding the common issue of punitive damages are with respect to the merits and are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the appropriateness and amount of punitive damages is a question which is amenable to resolution as a common issue in this case and I would allow proposed question (l).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Plaintiff - Section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Section 4(1)(e) of the Class Proceedings Act mandates that the representative plaintiff must be able to fairly and adequately represent the class, has developed a plan for proceeding and does not have a conflict with the interests of the class on common issues. The representative plaintiff must be prepared to vigorously represent the interests of the class. Campbell v. Flexwatt </w:t>
      </w:r>
      <w:hyperlink r:id="rId23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[paragraph]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inquiry with respect to the issue of whether the representative plaintiff adequately and appropriately representing class members and potential conflicts of interest is focused on the proposed common issues. If differences between the representative plaintiff and the proposed class do not impact on the common issues then they do not affect the representative plaintiff's ability to adequately and fairly represent the class, nor do they create a conflict of interest. Hoy v. Medtronic, [paragraphs] 83-85; Endean v. Canadian Red Cross Society </w:t>
      </w:r>
      <w:hyperlink r:id="rId239"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 at [paragraph]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There is no indication that Ms. Reid has any interest in conflict with the class members on the proposed common issues. If such a conflict were to arise, sub-classes are available to deal with differences. See, for example, Anderson v. Wilson </w:t>
      </w:r>
      <w:hyperlink r:id="rId231" w:history="1">
        <w:r>
          <w:rPr>
            <w:rFonts w:ascii="arial" w:eastAsia="arial" w:hAnsi="arial" w:cs="arial"/>
            <w:i/>
            <w:color w:val="0077CC"/>
            <w:sz w:val="20"/>
            <w:u w:val="single"/>
            <w:shd w:val="clear" w:color="auto" w:fill="FFFFFF"/>
            <w:lang w:val="en-US" w:eastAsia="en-US" w:bidi="ar-SA"/>
          </w:rPr>
          <w:t>(1999), 44 O.R. (3d) 673</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175 D.L.R. (4th) 409</w:t>
        </w:r>
      </w:hyperlink>
      <w:r>
        <w:rPr>
          <w:rFonts w:ascii="arial" w:eastAsia="arial" w:hAnsi="arial" w:cs="arial"/>
          <w:color w:val="000000"/>
          <w:sz w:val="20"/>
          <w:lang w:val="en-US" w:eastAsia="en-US" w:bidi="ar-SA"/>
        </w:rPr>
        <w:t xml:space="preserve"> (C.A.) at p. 24; Endean v. Canadian Red Cross Society, (S.C.) at [paragraph] 66; Hoy v. Medtronic, at [paragraphs] 83-85.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 Hoy v. Medtronic, at [paragraphs] 81-82; Scott v. TD Waterhouse, at [paragraphs] 164-167.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the proposed litigation plan sufficiently addresses the requisite issues and demonstrates that the plaintiff and class counsel have thought through the process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the plaintiff's theory of the case does permit her to represent all class members since a common defect is alleged. The defendants' submission that some class members may wish to argue certain parts of the case differently because of differences across the vehicles, or that they may wish to focus on certain parts of the case that the representative plaintiff does not, assumes that individual actions are a viable alternative which class members can and will pursue. I agree with the plaintiff that the economic realities of this case are such the class members only prospect of recovery is to engage in a simplified claim with a common theory of the TFI defect. Endean v. Canadian Red Cross Society et al., (S.C.) [paragraph]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those class members who wish to control their own actions or develop special theories inconsistent with the theory being advanced by the plaintiff in this action remain free to do so after opting-out of the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4(1)(d) -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test for whether the class action is the preferable procedure for the resolution of the common issues is set out in s. 4(2)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list is of factors to consider is not exhaustive and no single factor trumps. Elms v. Laurentian Bank of Canada, </w:t>
      </w:r>
      <w:hyperlink r:id="rId224"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(C.A.), [paragraph]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extent to which the proposed proceeding will achieve the goals of the Class Proceedings Act, namely, access to justice, judicial efficiency and behaviour modification, should be considered in the preferability assessment along with the considerations mandated by s. 4(2). Hollick, [paragraphs] 32 - 34; Elms v. Laurentian Bank of Canada, [paragraphs] 54-55; Endean v. Canadian Red Cross Society, (S.C.) [paragraphs] 23, 53-64.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4(2)(a) - Common Questions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are usually individual issues of injury and causation that have to be determined in individual proceedings following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Where the common issues are at "the heart of the litigation", concerns about the relative weight of individual issues are much less troubling. Scott v. TD Waterhouse, [paragraphs] 117, 120-122, 130-137.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products liability cases have been certified even where the court determined that the individual issues predominated over the common issues. In Endean v. Canadian Red Cross Society, (S.C.) the court recognized this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intention behind these provisions of the Act is to put more emphasis on the goal of access to justice than on that of judicial economy. That was the approach taken in Harrington, </w:t>
      </w:r>
      <w:hyperlink r:id="rId582" w:history="1">
        <w:r>
          <w:rPr>
            <w:rFonts w:ascii="arial" w:eastAsia="arial" w:hAnsi="arial" w:cs="arial"/>
            <w:i/>
            <w:color w:val="0077CC"/>
            <w:sz w:val="20"/>
            <w:u w:val="single"/>
            <w:shd w:val="clear" w:color="auto" w:fill="FFFFFF"/>
            <w:lang w:val="en-US" w:eastAsia="en-US" w:bidi="ar-SA"/>
          </w:rPr>
          <w:t>[1996] B.C.J. No. 734</w:t>
        </w:r>
      </w:hyperlink>
      <w:r>
        <w:rPr>
          <w:rFonts w:ascii="arial" w:eastAsia="arial" w:hAnsi="arial" w:cs="arial"/>
          <w:color w:val="000000"/>
          <w:sz w:val="20"/>
          <w:lang w:val="en-US" w:eastAsia="en-US" w:bidi="ar-SA"/>
        </w:rPr>
        <w:t>, where a class proceeding was certified despite the many unresolved, difficult, individual issues associated with establishing claims arising out of allegedly defective breast implants. Accordingly, the undoubted predominance of individual issues here is not in itself fatal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agree with the plaintiff that the common issues that have been enunciated, i.e.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and/or the deceptive acts or practices, are at the heart of this litigation. Resolution of the common issues will either conclude the litigation in favour of the defendants or leave very little for individual consideration in the event that the common issues are decided in favour of the class. The key remaining individual issues will be: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and from whom the class member purchased or leased a class vehicle with a distributor mounted TFI module; and</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damages, if any, has the class member has suffered as a result of the TFI module?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Both issues are clearly capable of resolution and the fact that damages require individual assessment is not a bar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Section 7 of the Class Proceedings Act deals with individual issues. The presence of individual issues does not make individual litigation preferable to class litigation. The same issues will be faced in both litigation structures. The Class Proceedings Act is not directed solely to the resolution of the common issues, but also to the simplification and management of any individual issues that remain. These simplification and management tools are incorporated into the plaintiff's case management plan. Class Proceedings Act, s. 27; Endean v. Canadian Red Cross Society, (S.C.) [paragraph]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the defendants have argued that "individual" issues predominate, the material adduced in support of their position provides some indication of the commonality of the TFI defect. Despite the defendants' arguments that other variables affect the ultimate amount of heat to which the TFI module is subjected, their affidavits outline efforts to address and minimize the heat applied to the TFI modules. The plaintiff has not yet been able to pursue her theory of a common defect through discovery and trial. This case may well develop into a battle of experts. The battle should proceed to a trial of the common issues, not be halted at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a class procedure will address the concern of the class members in a much more expeditious manner than a proliferation of individual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4(2)(b) - Class Members Do Not Have An Interest In Controlling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evidence that any class members wish to control separate actions.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4(2)(c) - Claims That Are or Have Been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evidence of other B.C. proceedings pertaining to this problem. As such, there is no evidence that class members are able to sustain individual claims, or that the issues will be addressed in some other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4(2)(d) - Other Means of Resolving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proposed alternative method for resolving these claims before the court. There is no claims process in place, accordingly individual litigation is the only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Individual litigation affords no advantage over a class proceeding in this case. Class proceedings provide a number of benefits which enhance its preferability. I find it is likely that a determination of the common issues will permit the individual issues to proceed more efficiently and expeditiously. As well, depending on the outcome, the determination of the common issues may encourage settlement. A class proceeding in the circumstances of this case allows the access to justice for those who would not otherwise have the means to prosecute an action. The common issues will be determined and simplified structures and procedures can be implemented for the individual issues if appropriate. To require each individual to separately address the common issues identified rather than have them determined in a class proceeding would, in my view, lead to inefficient use of resources and the potential for inconsistent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suggest that complaining to Transport Canada is a more practical and efficient means of resolving the proposed class members' tort and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evidence that complaints have been made to Transport Canada regarding stalling problems in the proposed class vehicles and Ford Canada was made aware of these complaints, as copies of the complaints are routinely sent to Ford Canada. The defendants' claim that they are not aware of such complaints is a clear indication that complaining to Transport Canada is not an effective means to resolve these types of claims. The evidence is that Transport Canada has not engaged in any prosecutions for the last ten years. A determination by Transport Canada is not binding or governing in any civil proceeding nor does it have the power to award damages. Hence, it is not an appropriate alternative to the proposed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4(2)(e) - The Administration of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indication that this class proceeding will create any undue difficulties beyond those customarily faced in product liability cases defended by large well funded corporations. There are only two related defendants, there is no suggestion of any third parties, and the individual issues appear to be few and resolvable. This is a homogeneous class action which should proceed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administration of this class proceeding will not present greater difficulties than those likely to be experienced if relief were sought by other means. All of the same issues would need to be considered in any individual litigation, but in a less controlled procedural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the claims of the individual plaintiffs are not economically feasible on their own. Product liability issues are complicated and it is not practical for an individual plaintiff to litigate a case without the assistance of counsel. The costs of retaining experts will easily outstrip any one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gains from a class action are self-evident with respect to judicial economy and efficiency. The duty, standard of care, breach of standard of care and Trade Practice Act issues will only be heard once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Judicial economy will also be enhanced because the class members do not need to participate in the initial discovery process or the common issues trial. If the defendants are successful at the common issues trial, the court and the class will be saved from having to manage and participate in such individual procedures. If the plaintiff is successful, any procedures necessary to resolve the individual litigation will be no more complex than they would have been within individual litigation, and given the many management tools available in class proceedings, should be simpler.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respect to behaviour modification, McLachlin C.J. noted in Western Canadian Shopping Centres Inc. v. Dutton, at [paragraph]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class actions, those who cause widespread but individually minimal harm might not take into account the full costs of their conduct, because for any one plaintiff the expense of bringing suit would far exceed the likely recovery. Cost-sharing decreases the expense of pursuing legal recourse and accordingly deters potential defendants who might otherwise assume that minor wrongs would not result in litigation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Manufacturers who distribute products which fall below acceptable standards should, if they are negligent, account to all of their customers for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class as defined and the proposed common issues meet the touchstone of the analysis enunciated in Western Canada Shopping Centres v. Dutton and Hollick, i.e. they will enable the court to avoid duplication in fact finding and legal analysis. In my view the common issues identified are at the heart of this litigation and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well, certification is appropriate in order to achieve access to justice. Given the relative simplicity of the individual issues and the tools available under the Class Proceedings Act, I have concluded that a class proceeding is the preferable proceeding for the fair and efficient resolution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Accordingly, I am granting the following orders: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be certified as a class proceeding;</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be described as all persons resident in British Columbia who:</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currently own or lease a class vehicle</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owned or leased a class vehicle and paid or were charged for the cost of replacing a TFI module in such vehicle;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or leased a class vehicle and paid or were charged for the cost of replacing a TFI module when the vehicle was new;</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Barbara Reid is appointed representative plaintiff;</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questions as modified are certified as common issues of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Ryan Mortgage Income Fund Inc. v. Alpine Credits Ltd., [2016] B.C.J. No. 1868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16-19,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S157029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1582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Ryan Mortgage Income Fund Inc., Plaintiff, and Alpine Credits Limited, Defendant, and ARC Appraisals Ltd. and Ian Bilson,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9" w:name="Keywords_27"/>
      <w:bookmarkEnd w:id="189"/>
      <w:r>
        <w:rPr>
          <w:rFonts w:ascii="arial" w:eastAsia="arial" w:hAnsi="arial" w:cs="arial"/>
          <w:b/>
          <w:color w:val="000000"/>
          <w:sz w:val="20"/>
          <w:lang w:val="en-US" w:eastAsia="en-US" w:bidi="ar-SA"/>
        </w:rPr>
        <w:t xml:space="preserve">Civil litigation — Civil procedure — Pleadings — Amendment of — Statement of claim — To raise additional issues — Prejudice — Application by Ryan to amend claim against Alpine dismissed — Ryan, mortgage investment company, originally pleaded Alpine, related mortgage broker, breached contractual obligation not to grant mortgage without appraisal by qualified appraiser — Alpine admitted claim and third-partied appraiser, ARC,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appraising property on which Ryan ultimately suffered large financial loss because market value significantly lower than appraised value — ARC conducted entire defence based on original pleading, so Ryan not permitted to later add claim against Alpine for granting mortgage for amount higher than that permitted by Ryan-Alpine leading guidelines — Ryan had no claim against Alpine based on original pleading, so damages could not be passed on to ARC.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Real estate agents and brokers — Liability — Types of — Breach of contractual duties — Action by Ryan seeking contractual damages from Alpine dismissed — Ryan, mortgage investment company, pleaded Alpine, related mortgage broker, breached contractual obligation not to grant mortgage without appraisal by qualified appraiser — Alpine admitted claim and third-partied appraiser, ARC,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appraising property on which Ryan ultimately suffered large financial loss because market value significantly lower than appraised value — No breach of Ryan-Alpine contract, as Alpine could not be reasonably expected to vet every appraisal that it received — Alpine had no claim against ARC.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Mortgages — Action by Ryan seeking contractual damages from Alpine dismissed — Ryan, mortgage investment company, pleaded Alpine, related mortgage broker, breached contractual obligation not to grant mortgage without appraisal by qualified appraiser — Alpine admitted claim and third-partied appraiser, ARC,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appraising property on which Ryan ultimately suffered large financial loss because market value significantly lower than appraised value — No breach of Ryan-Alpine contract, as Alpine could not be reasonably expected to vet every appraisal that it received — Alpine had no claim against ARC.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0" w:name="Case Summary_25"/>
            <w:bookmarkEnd w:id="1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Ryan Mortgage, seeking damages in contract of $773,000 from Alpine Credits. Alpine brought third party proceedings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ARC Appraisals and Bilson for amounts it might owe Ryan in the present action. ARC was a land appraisal company and Bilson was an appraiser who worked for ARC. Ryan was a mortgage investment company which purchased mortgages from Alpine and other mortgage brokers. Both were B.C. companies which shared a president, Kurt Wipp. Kurt was also Ryan's CEO. Kurt and his brother Brent were directors of both companies. Brent was CFO of both companies. In November 2010, after obtaining an appraisal of the value of 11 lots at $1.3 million from ARC, Alpine loaned $618,000 to Sloan and Wandler for the purchase of the lots. Alpine then sold and assigned the mortgage to Ryan for $615,000. The appraisal later turned out to be in error. The actual value of the lots at September 2010 was $678,000. Sloan and Wandler were unable to keep up their mortgage payments and the mortgage went into default. Ryan commenced foreclosure proceedings in March 2012. In February 2013, Ryan discovered that construction on the lots was precluded by a floodplain bylaw that had been in place since 2009. It obtained a foreclosure order and ultimately sold the 11 lots in March 2015 for $260,000, recovering only $201,585. Alpine agreed that it breached its agreement with Ryan having to do with the value of the land used to secure the mortgage. It claimed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ARC and Bilson caused it to breach its contract with Ryan. Alpine claimed it would never had made the loan to Sloan and Wandler had it been aware the land was in a floodplain, or that if it had known the true value of the land, it would have loaned much less money. Ryan originally pleaded that Alpine breached its contractual obligation to Ryan to ensure a current appraisal was done by a qualified appraiser before granting a mortgage to Sloan and Wandler. Ryan sought at trial to amend its pleading to claim the contract was breached because Alpine granted a loan for greater than 55 per cent of the actual value of the bare land property being purchased by Sloan and Wandler, the actual value being $678,000.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1" w:name="Holdings of Court_22"/>
            <w:bookmarkEnd w:id="191"/>
            <w:r>
              <w:rPr>
                <w:rFonts w:ascii="arial" w:eastAsia="arial" w:hAnsi="arial" w:cs="arial"/>
                <w:color w:val="000000"/>
                <w:sz w:val="20"/>
                <w:lang w:val="en-US" w:eastAsia="en-US" w:bidi="ar-SA"/>
              </w:rPr>
              <w:t>HELD: Action dismissed and third-party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Ryan was not permitted to amend its pleading during the trial, as ARC had conducted its entire defence, including pre-trial discoveries, based on the original pleadings. The amendment application was a last moment effort to present a new legal argument, not based on the evidence, when the perils associated with its earlier position became apparent. Considering the claim as originally pleaded, Ryan had no claim against Alpine. Given that Ryan and Alpine worked together in a busy, high-volume mortgage and investment business, it would be impossible for Alpine to audit the many hundreds of appraisal reports streaming into its office. It would not make any commercial sense to read into the lending guidelines of the parties' contract the onerous responsibility on Alpine to ensure that appraisals were correct. As Ryan had no claim against Alpine, Alpine had no claim against ARC and Bilson.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Counsel_28"/>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Plaintiff/Defendant Applicant: Duncan J. Manson.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Robert McLennan, Lindsay Samsom.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66" style="position:absolute;z-index:2517903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G.K. MACINTOSH J."/>
            <w:bookmarkEnd w:id="194"/>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Ryan Mortgage Income Fund Inc. ("Ryan"), seeks damages in contract against the Defendant, Alpine Credits Limited ("Alpine"). Ryan calculates its damages to be approximately $773,000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Alpine in turn has brought third party proceedings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Third Parties to have them indemnify Alpine for what Alpine may owe on the claim against it by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Parties are a land appraisal company and an appraiser working in that company. Generally in these reasons, I will treat them as one, and refer to them in the singular, simply as the Appraiser. The Appraiser opposes Alpine's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claims proceeded by summary trial in a four-day hearing. It was common ground that the summary trial process was a suitable vehicle for hearing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Only questions of liability were argued, and these reasons are therefore confined to addressing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Ryan is a mortgage investment company. It purchases mortgages from Alpine and from others. Alpine is a mortgage broker. It lends money by way of mortgages on real property. Alpine then sells the mortgages to Ryan or to other investors. Alpine does not retain a portfolio of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Ryan and Alpine are B.C. companies. The two companies are linked. A Mr. Kurt Wipp is president of both companies. He is also Ryan's Chief Executive Officer. Kurt Wipp and his brother Brent Wipp are directors of both companies. Brent Wipp is the Chief Financial Officer of both companies. Together, the brothers review each potential mortgage loan by Alpine and each potential purchase of a mortgage by Ryan. The brothers indirectly own 75% of Alpine.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9, 2010, Alpine, by a first mortgage, lent $618,000 to two borrowers, named Sloan and Wandler. The next day, November 10, 2010, Alpine sold and assigned the mortgage to Ryan for $615,000. The mortgage was secured by 11 lots of land in Mission,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Alpine agreed to lend to the borrowers, it required a current appraisal of the 11 lots. The Appraiser had prepared an original appraisal, dated December 17, 2007, appraising some of the lots, and an updated (current) appraisal of all 11 lots. The latter appraisal, the update, was referred to in the hearing as the Addendum "B" Report. It stated that the market value of the 11 lots was $1.3 million as of September 28, 2010. That was wrong. The true market value at that time was much lower, probably only $678,000.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Appraiser had prepared the original appraisal and the Addendum "B" Report for the borrowers. The borrowers arranged for a Letter of Transmittal so that Alpine could rely on the Addendum "B" Report. The Letter of Transmittal is dated November 2, 2010. It is from the Appraiser to Alpine.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the appraisal report of the above captioned property, prepared by ARC Appraisals Ltd. and dated effective September 28, 2010, I hereby advise that this appraisal may be relied upon by your financial institution for financing purposes. The valuation methods used and the final estimate of value arrived at would have been the same had this appraisal report been prepared at the request of ALPINE CREDITS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this meets your needs at this time. If I can be of further assistance, please do not hesitate to contact the undersigned. There was never a Letter of Transmittal in favour of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borrowers were unable to keep up their mortgage payments. The mortgage went into default. Ryan, the assignee of the mortgage, commenced foreclosure proceedings on March 12, 2012. It obtained conduct of the sale of the 11 lots on April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Later, in February 2013, Ryan and Alpine learned that the 11 lots were in the floodplain, and that in September 2010, the effective date of the Appraiser's Addendum "B" Report, there was in place a floodplain bylaw in Mission which effectively precluded any building on the 11 lots. The Appraiser knew that the 11 lots were in the floodplain, but neither of his appraisals made any mention of that. Further, the Addendum "B" Report made no reference to the floodplain bylaw, or its effective prohibition on building. The floodplain bylaw, however, had been in place since May 4, 2009. It was available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Ryan obtained a final foreclosure order, and on March 2, 2015, sold the 11 lots for $260,000. Its net recovery was only $201,585. Its damages claim (approximately $773,000 plus interest) is Ryan's measure of the difference between $201,585 and what Ryan would have received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RYAN'S THEORY OF THE CASE AND THE UNUSUAL PROCEDURAL HISTORY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Ryan claims against Alpine. It says Alpine breached an agreement with Ryan having to do with the value of the land used to secure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Alpine entirely agrees. (Ryan and Alpine were represented before me by the same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Alpine in turn, in its third party proceeding,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negligent misrepresentation, against the Appraiser. Alpine says that its breach of its contract with Ryan, as to the land value, was the result of the Appraiser's negligent report. If it had known that the land was in a floodplain, Alpine never would have touched this loan. Further, had it known the true, much lower, value of the land, had it lent any money, it would have been much less money. (Alpine calls itself an equity lender, by which it means that in deciding whether to lend, it places more weight on the value of the land used to secure the loan and less weight on a borrower's financial capacity to keep up with the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Appraiser defends the third party claim on two main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he says there is no merit in Alpine's claim against him for indemnity because Alpine did not breach its agreement with Ryan. He says, rightly, that while Alpine can agree to whatever liability to Ryan it wishes, that does not preclude him, as a third party on an indemnity claim, from effectively stepping into Alpine's shoes and defending the Ryan claim against Alpine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the Appraiser submits he was not negligent in preparing the Addendum "B"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way of introduction to the Appraiser's first defence, it is relevant to note that this action was preceded by an earlier one for the same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first action, filed July 4, 2014, Alpine and Ryan, as the two plaintiffs, sued the two present third parties (ARC Appraisals and Bilson) as the two defendants. Neither plaintiff in that action had a contract with ARC Appraisals or Bilson, although Alpine had the Letter of Transmittal, quoted above at para. 10. The first action appears to have been framed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not prepared by Ryan and Alpine's present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By contrast, in the current action, as noted earlier, Ryan sues Alpine and Alpine in turn has third partied the Appraiser. Counsel for Ryan and Alpine explained the reason for the change in how the claim is being advanced. He conceded that Ryan has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Appraiser because Ryan never received a Letter of Transmittal. Absent a Letter of Transmittal for Ryan, the Appraiser's duty, under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does not extend to Ryan. The parties before me were on common ground on that point, based on the analysis found in </w:t>
      </w:r>
      <w:r>
        <w:rPr>
          <w:rFonts w:ascii="arial" w:eastAsia="arial" w:hAnsi="arial" w:cs="arial"/>
          <w:i/>
          <w:color w:val="000000"/>
          <w:sz w:val="20"/>
          <w:lang w:val="en-US" w:eastAsia="en-US" w:bidi="ar-SA"/>
        </w:rPr>
        <w:t>Hedley Byrne &amp; Co. Ltd. v. Heller &amp; Partners Ltd.</w:t>
      </w:r>
      <w:r>
        <w:rPr>
          <w:rFonts w:ascii="arial" w:eastAsia="arial" w:hAnsi="arial" w:cs="arial"/>
          <w:color w:val="000000"/>
          <w:sz w:val="20"/>
          <w:lang w:val="en-US" w:eastAsia="en-US" w:bidi="ar-SA"/>
        </w:rPr>
        <w:t>, [1964] A.C. 465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it became necessary for Ryan to demonstrate a successful breach of contract claim against Alpine in order for Alpine to then claim indemnity against the Appraiser for negligently preparing the appraisal. (Alpine suffered no loss itself. It sold the mortgage to Ryan and was paid out long before the problems with the appraisal came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short, Ryan suffered a loss but had no right of action against the Appraiser, and, while the Appraiser's duty extended to Alpine through the Letter of Transmittal, Alpine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one day, August 26, 2015, Ryan filed its Notice of Civil Claim against Alpine, Alpine filed its Response, admitting Ryan's claim, and Alpine filed its Third Party Claim against the Appraiser. No one will accuse Ryan and Alpine of wasting court time in the "dispute"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Incidentally, on the third day of the hearing before me, Ryan applied to amend its Notice of Civil Claim against Alpine to allege a new contract between Ryan and Alpine. I will address the alleged new contract, and the proposed amendment under the next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ALPINE IN BREACH OF A CONTRACT WITH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Alpine is not in breach of a contract with Ryan, that is the end of the matter. Alpine then would have no right, or need, to obtain indemnity from the Appraiser, even if the Appraiser was negligent, since Alpine would owe nothing to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Ryan issued an Offering Memorandum to Ryan's potential investors. It is dated April 20, 2010. It contains Ryan's stated "Investment Policies". Policy iii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company [Ryan] requires </w:t>
      </w:r>
      <w:r>
        <w:rPr>
          <w:rFonts w:ascii="arial" w:eastAsia="arial" w:hAnsi="arial" w:cs="arial"/>
          <w:color w:val="000000"/>
          <w:sz w:val="20"/>
          <w:u w:val="single"/>
          <w:lang w:val="en-US" w:eastAsia="en-US" w:bidi="ar-SA"/>
        </w:rPr>
        <w:t>a current appraisal</w:t>
      </w:r>
      <w:r>
        <w:rPr>
          <w:rFonts w:ascii="arial" w:eastAsia="arial" w:hAnsi="arial" w:cs="arial"/>
          <w:color w:val="000000"/>
          <w:sz w:val="20"/>
          <w:lang w:val="en-US" w:eastAsia="en-US" w:bidi="ar-SA"/>
        </w:rPr>
        <w:t xml:space="preserve"> with every mortgage application unless otherwise directed by the Directors of the Company. Each </w:t>
      </w:r>
      <w:r>
        <w:rPr>
          <w:rFonts w:ascii="arial" w:eastAsia="arial" w:hAnsi="arial" w:cs="arial"/>
          <w:color w:val="000000"/>
          <w:sz w:val="20"/>
          <w:u w:val="single"/>
          <w:lang w:val="en-US" w:eastAsia="en-US" w:bidi="ar-SA"/>
        </w:rPr>
        <w:t>appraisal is required to be prepared by a member of the Accredited Appraisal Canadian Institute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updated appraisal, the Addendum "B" Report, accompanied the mortgage application in this case. It is common ground that it was a current appraisal and that the Appraiser was, "a member of the Accredited Appraisal Canadian Institute", by which the author of the Offering Memorandum intended to say, "Accredited Appraiser Canadian Institute, professional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Alpine filed in evidence its Compliance Manual. Section 3 is entitled, "General Policies and Procedures". Section (1) under that heading is entitled, "Appraisals". It provides that:</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otherwise approved by management, all files must have a </w:t>
      </w:r>
      <w:r>
        <w:rPr>
          <w:rFonts w:ascii="arial" w:eastAsia="arial" w:hAnsi="arial" w:cs="arial"/>
          <w:color w:val="000000"/>
          <w:sz w:val="20"/>
          <w:u w:val="single"/>
          <w:lang w:val="en-US" w:eastAsia="en-US" w:bidi="ar-SA"/>
        </w:rPr>
        <w:t>3rd party appraisal</w:t>
      </w:r>
      <w:r>
        <w:rPr>
          <w:rFonts w:ascii="arial" w:eastAsia="arial" w:hAnsi="arial" w:cs="arial"/>
          <w:color w:val="000000"/>
          <w:sz w:val="20"/>
          <w:lang w:val="en-US" w:eastAsia="en-US" w:bidi="ar-SA"/>
        </w:rPr>
        <w:t xml:space="preserve"> completed prior to funding.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copy of the </w:t>
      </w:r>
      <w:r>
        <w:rPr>
          <w:rFonts w:ascii="arial" w:eastAsia="arial" w:hAnsi="arial" w:cs="arial"/>
          <w:color w:val="000000"/>
          <w:sz w:val="20"/>
          <w:u w:val="single"/>
          <w:lang w:val="en-US" w:eastAsia="en-US" w:bidi="ar-SA"/>
        </w:rPr>
        <w:t>appraisal</w:t>
      </w:r>
      <w:r>
        <w:rPr>
          <w:rFonts w:ascii="arial" w:eastAsia="arial" w:hAnsi="arial" w:cs="arial"/>
          <w:color w:val="000000"/>
          <w:sz w:val="20"/>
          <w:lang w:val="en-US" w:eastAsia="en-US" w:bidi="ar-SA"/>
        </w:rPr>
        <w:t xml:space="preserve"> must be given to the borrower on the borrower's request.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a mortgage is sold to an Investor / Lender, a copy [of] the </w:t>
      </w:r>
      <w:r>
        <w:rPr>
          <w:rFonts w:ascii="arial" w:eastAsia="arial" w:hAnsi="arial" w:cs="arial"/>
          <w:color w:val="000000"/>
          <w:sz w:val="20"/>
          <w:u w:val="single"/>
          <w:lang w:val="en-US" w:eastAsia="en-US" w:bidi="ar-SA"/>
        </w:rPr>
        <w:t>appraisal</w:t>
      </w:r>
      <w:r>
        <w:rPr>
          <w:rFonts w:ascii="arial" w:eastAsia="arial" w:hAnsi="arial" w:cs="arial"/>
          <w:color w:val="000000"/>
          <w:sz w:val="20"/>
          <w:lang w:val="en-US" w:eastAsia="en-US" w:bidi="ar-SA"/>
        </w:rPr>
        <w:t xml:space="preserve"> must first be provided to the lender prior to the mortgage being sold.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dispute that the Addendum "B" Report was completed prior to funding, and that a copy of it was provided to the lender before the mortgage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Alpine and Ryan assert that an agreement between them obligated Ryan to comply with certain Lending Guidelines. The Lending Guidelines were never reduced to writing. Alpine and Ryan assert that the Lending Guidelines consisted of the following:</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Alpine would only lend money on the security of a mortgage registered against title to real property;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value of the property had to be verified by a </w:t>
      </w:r>
      <w:r>
        <w:rPr>
          <w:rFonts w:ascii="arial" w:eastAsia="arial" w:hAnsi="arial" w:cs="arial"/>
          <w:color w:val="000000"/>
          <w:sz w:val="20"/>
          <w:u w:val="single"/>
          <w:lang w:val="en-US" w:eastAsia="en-US" w:bidi="ar-SA"/>
        </w:rPr>
        <w:t>current appraisal from a qualified real estate appraiser and Alpine had to be able to rely on the appraisal</w:t>
      </w:r>
      <w:r>
        <w:rPr>
          <w:rFonts w:ascii="arial" w:eastAsia="arial" w:hAnsi="arial" w:cs="arial"/>
          <w:color w:val="000000"/>
          <w:sz w:val="20"/>
          <w:lang w:val="en-US" w:eastAsia="en-US" w:bidi="ar-SA"/>
        </w:rPr>
        <w:t xml:space="preserve">. If the appraisal presented in support of the loan application was not addressed to Alpine, </w:t>
      </w:r>
      <w:r>
        <w:rPr>
          <w:rFonts w:ascii="arial" w:eastAsia="arial" w:hAnsi="arial" w:cs="arial"/>
          <w:color w:val="000000"/>
          <w:sz w:val="20"/>
          <w:u w:val="single"/>
          <w:lang w:val="en-US" w:eastAsia="en-US" w:bidi="ar-SA"/>
        </w:rPr>
        <w:t>a transmittal letter from the appraiser confirming that Alpine could rely on the appraisal for financing purposes had to be obtained</w:t>
      </w:r>
      <w:r>
        <w:rPr>
          <w:rFonts w:ascii="arial" w:eastAsia="arial" w:hAnsi="arial" w:cs="arial"/>
          <w:color w:val="000000"/>
          <w:sz w:val="20"/>
          <w:lang w:val="en-US" w:eastAsia="en-US" w:bidi="ar-SA"/>
        </w:rPr>
        <w:t>. Alpine would not proceed with a mortgage loan transaction in the absence of a satisfactory appraisal it could rely 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Alpine would lend up to 75%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a residential property. If there was a prior charge registered against title to the property, Alpine might still make a mortgage loan to the owner as long as the total amount of debt registered against title to the property did not exceed 75%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the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Alpine would lend up to 65%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a commercial property with a building. If there was a prior charge registered against title to the property, Alpine might still make a mortgage loan to the owner as long as the total amount of debt registered against title to the property did not exceed 65%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the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Alpine would lend up to 55%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bare land. If there was a prior charge registered against title to the property, Alpine might still make a mortgage loan to the owner as long as the total amount of debt registered against title to the property did not exceed 55% of the </w:t>
      </w:r>
      <w:r>
        <w:rPr>
          <w:rFonts w:ascii="arial" w:eastAsia="arial" w:hAnsi="arial" w:cs="arial"/>
          <w:color w:val="000000"/>
          <w:sz w:val="20"/>
          <w:u w:val="single"/>
          <w:lang w:val="en-US" w:eastAsia="en-US" w:bidi="ar-SA"/>
        </w:rPr>
        <w:t>appraised</w:t>
      </w:r>
      <w:r>
        <w:rPr>
          <w:rFonts w:ascii="arial" w:eastAsia="arial" w:hAnsi="arial" w:cs="arial"/>
          <w:color w:val="000000"/>
          <w:sz w:val="20"/>
          <w:lang w:val="en-US" w:eastAsia="en-US" w:bidi="ar-SA"/>
        </w:rPr>
        <w:t xml:space="preserve"> value of the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accept that there was in place an agreement between Alpine and Ryan whereby mortgages for loans by Alpine, later sold to Ryan, were to meet the criteria in the Lending Guidelines, as expressed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difficulty Ryan faces in its claim against Alpine is that Alpine complied with its obligations under the Lending Guidelines. Alpine's responsibility was to ensure that before a mortgage loan was granted, and before Alpine sold such a mortgage to Ryan, there was for the property in question a current appraisal by a qualified appraiser. That was as far as Alpine's responsibility extended. Alpine took no responsibility, in the nature of a guarantee or a warranty, to ensure that the value stated in the appraisal was the true market value of the property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third day of the hearing before me, Ryan applied to amend its Notice of Civil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1: STATEMENT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Alpine's lending guidelines were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value of the property had to be verified by a </w:t>
      </w:r>
      <w:r>
        <w:rPr>
          <w:rFonts w:ascii="arial" w:eastAsia="arial" w:hAnsi="arial" w:cs="arial"/>
          <w:color w:val="000000"/>
          <w:sz w:val="20"/>
          <w:u w:val="single"/>
          <w:lang w:val="en-US" w:eastAsia="en-US" w:bidi="ar-SA"/>
        </w:rPr>
        <w:t>properly</w:t>
      </w:r>
      <w:r>
        <w:rPr>
          <w:rFonts w:ascii="arial" w:eastAsia="arial" w:hAnsi="arial" w:cs="arial"/>
          <w:color w:val="000000"/>
          <w:sz w:val="20"/>
          <w:lang w:val="en-US" w:eastAsia="en-US" w:bidi="ar-SA"/>
        </w:rPr>
        <w:t xml:space="preserve"> prepared current appraisal from a qualified real estate appraiser and Alpine had to be able to rely on the appraisal. If the appraisal presented in support of the loan application was not addressed to Alpine, a transmittal letter from the appraiser confirming that Alpine could rely on the appraisal for financing purposes had to be obtained. Alpine would not proceed with a mortgage loan transaction in the absence of a satisfactory appraisal that it could rely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Alpine relied for financing purposes on the Addendum "B" Report when deciding to make a first mortgage loan to the Borrowers and sell that mortgage to Ryan. In particular, Alpine relied on the Addendum "B" Report </w:t>
      </w:r>
      <w:r>
        <w:rPr>
          <w:rFonts w:ascii="arial" w:eastAsia="arial" w:hAnsi="arial" w:cs="arial"/>
          <w:color w:val="000000"/>
          <w:sz w:val="20"/>
          <w:u w:val="single"/>
          <w:lang w:val="en-US" w:eastAsia="en-US" w:bidi="ar-SA"/>
        </w:rPr>
        <w:t>to have been properly prepared</w:t>
      </w:r>
      <w:r>
        <w:rPr>
          <w:rFonts w:ascii="arial" w:eastAsia="arial" w:hAnsi="arial" w:cs="arial"/>
          <w:color w:val="000000"/>
          <w:sz w:val="20"/>
          <w:lang w:val="en-US" w:eastAsia="en-US" w:bidi="ar-SA"/>
        </w:rPr>
        <w:t xml:space="preserve"> for the purpose of determining the value of the Properties as at September 29, 2010 and ensuring that the mortgage loan made to the Borrowers complied with Alpine's Lending Guidelines for bare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Mortgage did not comply with Alpine's Lending Guidelines for bar land and Alpine thereby breached the Mortgage Sale Agreement, which has caused loss and damage to Ryan. In particular, </w:t>
      </w:r>
      <w:r>
        <w:rPr>
          <w:rFonts w:ascii="arial" w:eastAsia="arial" w:hAnsi="arial" w:cs="arial"/>
          <w:color w:val="000000"/>
          <w:sz w:val="20"/>
          <w:u w:val="single"/>
          <w:lang w:val="en-US" w:eastAsia="en-US" w:bidi="ar-SA"/>
        </w:rPr>
        <w:t>the Addendum "B" appraisal had not been properly prepared and</w:t>
      </w:r>
      <w:r>
        <w:rPr>
          <w:rFonts w:ascii="arial" w:eastAsia="arial" w:hAnsi="arial" w:cs="arial"/>
          <w:color w:val="000000"/>
          <w:sz w:val="20"/>
          <w:lang w:val="en-US" w:eastAsia="en-US" w:bidi="ar-SA"/>
        </w:rPr>
        <w:t xml:space="preserve"> the market value of the Properties as of September 28, 2010 was $678,000 (rather than the $1,300,000 stated in the Addendum "B" Report) and the Mortgage amount exceeded Alpine's Lending Guidelines for bare land. Alpine's Lending Guidelines would only have permitted a mortgage loan of up to $372,900, being 55% of the $678,000 market value of the Properties. The Mortgage amount ($618,000) was actually 91.15% of the market value of the Properties at the time the Mortgage loan was made and the Mortgage was sold and assigned by Alpine to Ryan.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Ryan would not have purchased the Mortgage from Alpine if Ryan had known that it did not comply with Alpine's Lending Guidelines for bare land or that the Properties were location in a floodplain </w:t>
      </w:r>
      <w:r>
        <w:rPr>
          <w:rFonts w:ascii="arial" w:eastAsia="arial" w:hAnsi="arial" w:cs="arial"/>
          <w:color w:val="000000"/>
          <w:sz w:val="20"/>
          <w:u w:val="single"/>
          <w:lang w:val="en-US" w:eastAsia="en-US" w:bidi="ar-SA"/>
        </w:rPr>
        <w:t>or that the Addendum "B" Report had not been properly prepared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3: LEGAL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Alpine misrepresented material facts to Ryan which induced Ryan to purchase the Mortgage from Alpine, namely that the </w:t>
      </w:r>
      <w:r>
        <w:rPr>
          <w:rFonts w:ascii="arial" w:eastAsia="arial" w:hAnsi="arial" w:cs="arial"/>
          <w:color w:val="000000"/>
          <w:sz w:val="20"/>
          <w:u w:val="single"/>
          <w:lang w:val="en-US" w:eastAsia="en-US" w:bidi="ar-SA"/>
        </w:rPr>
        <w:t>Addendum "B" Report had been properly prepared</w:t>
      </w:r>
      <w:r>
        <w:rPr>
          <w:rFonts w:ascii="arial" w:eastAsia="arial" w:hAnsi="arial" w:cs="arial"/>
          <w:color w:val="000000"/>
          <w:sz w:val="20"/>
          <w:lang w:val="en-US" w:eastAsia="en-US" w:bidi="ar-SA"/>
        </w:rPr>
        <w:t>, the Mortgage complied with Alpine's Lending Guidelines for bare land and the amount of the Mortgage loan did not exceed 55% of the market value of the Properties as at September 28, 2010, and the highest and best use of Properties was as stated in the Addendum "B" Report. Ryan has suffered loss and damage as a result of relying on the said misrepresentation by Alpine.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disallow the amendment application. The Appraiser conducted his entire defence, since August 2015, based on the pleadings as they stood, and stand, unamended. In particular, he conducted his pre-hearing discoveries on that basis. It would be most unfair to subject him to reformulating his position on the second-last day of the application for final judgment. Of equal importance, the application is not brought in order to have the pleading amended so as to conform with the evidence that came in during the course of the trial. To the contrary, the proposed amendment does not align with any of the evidence that was before me. Instead, the amendment was a last moment effort by the Plaintiff to present a new legal argument, not based on the evidence, when the perils associated with its earlier position were perhaps becoming apparent. (In no way do I fault Plaintiff's counsel for attempting the amendment when he did. An advocate's duties may even include such efforts.) In my view, however, there is no reasonable and fair basis for allowing the amendment at this late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noted above that the evidence in the hearing did not support the amendment. It would be surprising if it had. Ryan and Alpine worked together in a busy and high-volume mortgage and investment business. Between June 1, 2015 and June 30, 2016, Ryan examined 2,241 potential mortgage investments, in three provinces, and proceeded with 1,620 of them. Both Ryan and Alpine are relatively lean operations. It would be impossible for them, in their present incarnations, to have Alpine, in effect, audit the many hundreds of appraisal reports streaming into its office. In other words, it would not make any commercial sense to read into the Lending Guidelines the onerous responsibility on Alpine of insuring that the appraisals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I would not have allowed Ryan's claim against Alpine. Alpine therefore has no claim for indemnity against the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remainder of these reasons are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POINT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this case goes to appeal, the parties may wish to consider a further point, which I do not believe was argued at trial. It may be that Ryan is burdened by its acquiescence, waiver or estoppel. That point arises from the fact that Ryan and Alpine were non-arm's length to one another, and co-authored Alpine's mortgage investment strategies, policies and decisions. Ryan knew every step Alpine took on the transaction in this case. More accurately, Ryan and Alpine took those steps together, acting as one. See paras. 6 and 7 above for a brief summary of the two companies acting effectively as one. If, on this analysis (acquiescence, waiver or estoppel), Alpine cannot be held liable to Ryan, again it would be prevented from obtaining indemnity from the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I was required to address the issue, I would conclude that the Appraiser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knew he was preparing an appraisal for the purpose of obtaining financing for land. He knew the land in question was in a floodplain, but he made no mention of that in his report. He failed to learn, and therefore obviously failed to state in his report, that Mission, in the year before his report, had enacted a floodplain bylaw which effectively blocked any building on the land. A key element in any appraisal is the determination of the highest and best use of the land. Land value is directly linked to potential land usage. Under the heading in his report, "ZONING / HIGHEST AND BEST USE UPDATE", the Appraiser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Highest and Best Use is unchanged and, as in the original report, is viewed as being development to commercial-type use consistent with the current land use policies. The zoning classifications for Mission have recently changed. The Subject is still zoned for commercial and/or commercial/industrial use. Copies of the zoning by-law excerpts are included in the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That statement was wrong because the onerous floodplain building restrictions, contained in the floodplain bylaw, were neither referred to nor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page 5 of his report, the Appraiser wrote, "I HEREBY CERTIFY, that to the best of my knowledge and belief: ... - my analyses, opinions and conclusions were developed, and this report has been prepared in conformity with the Canadian Uniform Standards of Professional Appraisal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the Canadian Uniform Standards of Professional Appraisal Practice required the Appraiser to include in his report the impact on value of the floodplain bylaw, which the Appraiser neglected to do. (The requirements of the Canadian Uniform Standards of Professional Appraisal Practice were addressed in the report of M.C. Nilsen, tendered by Ryan and Alpine. I accept Mr. Nilsen's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the Appraiser overstated the market value of the property by $1.3 million (his valuation) minus $678,000 (valuation by Larry Dybvig, a qualified appraiser whose report was tendered by Ryan and Alpine), or $622,000.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defence, the Appraiser said that he spoke with some unnamed person at Mission City Hall about the property, and that the floodplain bylaw never came up in the conversation. That, in my view, is not enough. Those paying for appraisal reports need to learn from them, first and foremost, what uses can be made of the property in question. That is what drives value. A central responsibility for an appraiser is to get the bylaws right if they affect possible land use. In this case, as noted earlier, the relevant floodplain bylaw was available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mentioned above the report of M.C. Nilsen. By way of summary, the fundamental point Mr. Nilsen addressed was the failure of the Appraiser to make any reference to the floodplain, the floodplain bylaw and the resulting adverse impact on land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Appraiser sought to rely on this Court's decision in </w:t>
      </w:r>
      <w:r>
        <w:rPr>
          <w:rFonts w:ascii="arial" w:eastAsia="arial" w:hAnsi="arial" w:cs="arial"/>
          <w:i/>
          <w:color w:val="000000"/>
          <w:sz w:val="20"/>
          <w:lang w:val="en-US" w:eastAsia="en-US" w:bidi="ar-SA"/>
        </w:rPr>
        <w:t>Eaton Bay Trust Co. (Alberta) v. First Citizens Financial Corp</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(1988), 30 B.C.L.R. (2d) 84</w:t>
        </w:r>
      </w:hyperlink>
      <w:r>
        <w:rPr>
          <w:rFonts w:ascii="arial" w:eastAsia="arial" w:hAnsi="arial" w:cs="arial"/>
          <w:color w:val="000000"/>
          <w:sz w:val="20"/>
          <w:lang w:val="en-US" w:eastAsia="en-US" w:bidi="ar-SA"/>
        </w:rPr>
        <w:t xml:space="preserve"> (S.C.). In my view, however, a consideration of that decision, particularly at paras. 7-8, 27, 34-36 and 43, demonstrates that it is clearly to be distinguished on its facts as compared with the facts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ALLEGED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case the Appraiser was found to be obligated to indemnity Alpine, he sought a finding that Ryan was between 20% and 25% contributorily negligent, with the result that any damages found to be owing should be reduced by that percentage range. For purposes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Ryan accepted that liability on that basis could be found </w:t>
      </w:r>
      <w:r>
        <w:rPr>
          <w:rFonts w:ascii="arial" w:eastAsia="arial" w:hAnsi="arial" w:cs="arial"/>
          <w:i/>
          <w:color w:val="000000"/>
          <w:sz w:val="20"/>
          <w:lang w:val="en-US" w:eastAsia="en-US" w:bidi="ar-SA"/>
        </w:rPr>
        <w:t>as a matter of law</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2002 BCCA 417</w:t>
        </w:r>
      </w:hyperlink>
      <w:r>
        <w:rPr>
          <w:rFonts w:ascii="arial" w:eastAsia="arial" w:hAnsi="arial" w:cs="arial"/>
          <w:color w:val="000000"/>
          <w:sz w:val="20"/>
          <w:lang w:val="en-US" w:eastAsia="en-US" w:bidi="ar-SA"/>
        </w:rPr>
        <w:t xml:space="preserve">, at paras. 12-21. However, Ryan disputed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against it on </w:t>
      </w:r>
      <w:r>
        <w:rPr>
          <w:rFonts w:ascii="arial" w:eastAsia="arial" w:hAnsi="arial" w:cs="arial"/>
          <w:i/>
          <w:color w:val="000000"/>
          <w:sz w:val="20"/>
          <w:lang w:val="en-US" w:eastAsia="en-US" w:bidi="ar-SA"/>
        </w:rPr>
        <w:t>two factual grounds</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Enviro West Inc. v. Copper Mountain Mining Corporation</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2012 BCCA 23</w:t>
        </w:r>
      </w:hyperlink>
      <w:r>
        <w:rPr>
          <w:rFonts w:ascii="arial" w:eastAsia="arial" w:hAnsi="arial" w:cs="arial"/>
          <w:color w:val="000000"/>
          <w:sz w:val="20"/>
          <w:lang w:val="en-US" w:eastAsia="en-US" w:bidi="ar-SA"/>
        </w:rPr>
        <w:t xml:space="preserve">, at paras. 34 and following. Ryan submits that it did not fail to take reasonable care of its own interests, and, even if it was negligent,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contribute to the damage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on the facts here, Ryan was entitled to rely fully on the Appraiser for determining the highest and best use of the property. In particular, Ryan was entitled to rely fully on the Appraiser for finding and stating in his report the current, applicable land use bylaws, including the floodplain bylaw. That is a central element in an appraisal report. It is work particularly within an appraiser's mandate. There would of course be nothing wrong with Ryan going out to Mission and examining the property. But Ryan not doing so, and not conducting its own bylaw investigation, in order to assess possible land usage, does not give rise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 Generally speaking, I accept Ryan's factual analysis addressing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contained in its written argument. What I have said above, however, distills what I believe is the main point against a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Third Parties are not liable to indemnify Alpine because Alpine breached no obligation it owed to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it were necessary to determine, I would decide that the Appraiser was negligent, and that Ryan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award costs to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Shariatmadari v. Ahmadi, [2009] B.C.J. No. 2277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28-30, October 1, 2 and 5-9,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17,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M061583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2277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1571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3100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183 A.C.W.S. (3d) 296</w:t>
      </w:r>
    </w:p>
    <w:p>
      <w:pPr>
        <w:spacing w:before="120" w:line="260" w:lineRule="atLeast"/>
        <w:rPr>
          <w:lang w:val="en-US" w:eastAsia="en-US" w:bidi="ar-SA"/>
        </w:rPr>
      </w:pPr>
      <w:r>
        <w:rPr>
          <w:rFonts w:ascii="arial" w:eastAsia="arial" w:hAnsi="arial" w:cs="arial"/>
          <w:color w:val="000000"/>
          <w:sz w:val="20"/>
          <w:lang w:val="en-US" w:eastAsia="en-US" w:bidi="ar-SA"/>
        </w:rPr>
        <w:t>Between Mahshahr Shariatmadari, Plaintiff, and Azad Ahmadi, deceased, Defendant,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8"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5" w:name="Keywords_28"/>
      <w:bookmarkEnd w:id="195"/>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Voluntary assumption of risk (volenti non fit injuria) — Willing passengers — Intoxicated driver — Voluntary acceptance of risk — Waiving right of action — Motion by insurer for order that the defence of volenti non fit injuria be put to the jury and that evidence of the plaintiff's alcohol consumption, especially her blood alcohol concentration, was admissible on the basis that it was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After drinking with defendant, plaintiff allowed defendant to drive — Defendant lost control of vehicle — Defendant was killed and plaintiff was seriously injured — No evidence to support the defence of volenti — Evidence of plaintiff's state of intoxication was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6" w:name="Case Summary_26"/>
            <w:bookmarkEnd w:id="19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the third party insurer for an order that the defence of volenti non fit injuria be put to the jury and that evidence of the plaintiff's alcohol consumption, especially her blood alcohol concentration, was admissible on the basis that it was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both the plaintiff and defendant consumed alcohol, the plaintiff drove the defendant to meet his employer. After stopping on the way back to make a phone call, the defendant asked the plaintiff if he could drive and the plaintiff agreed. The defendant lost control of the vehicle, causing the vehicle to roll over. The defendant was killed and the plaintiff was seriously injured. The insurer defended the action against the deceased driver. It wished to lead evidence to support a finding by the jury of a tacit agreement between the parties to assume any risk that might arise in relation to such driving, a finding which would support the defence of volenti non fit injuria. The plaintiff's blood alcohol concentration suggested that she had far more alcohol than she admitted to, and provided evidence that she and the defendant were drinking more than the plaintiff attested to. </w:t>
            </w:r>
            <w:r>
              <w:rPr>
                <w:lang w:val="en-US" w:eastAsia="en-US" w:bidi="ar-SA"/>
              </w:rPr>
              <w:cr/>
            </w:r>
          </w:p>
          <w:p>
            <w:pPr>
              <w:spacing w:before="120" w:line="260" w:lineRule="atLeast"/>
              <w:ind w:left="240"/>
              <w:jc w:val="both"/>
              <w:rPr>
                <w:lang w:val="en-US" w:eastAsia="en-US" w:bidi="ar-SA"/>
              </w:rPr>
            </w:pPr>
            <w:bookmarkStart w:id="197" w:name="Holdings of Court_23"/>
            <w:bookmarkEnd w:id="197"/>
            <w:r>
              <w:rPr>
                <w:rFonts w:ascii="arial" w:eastAsia="arial" w:hAnsi="arial" w:cs="arial"/>
                <w:color w:val="000000"/>
                <w:sz w:val="20"/>
                <w:lang w:val="en-US" w:eastAsia="en-US" w:bidi="ar-SA"/>
              </w:rPr>
              <w:t>HELD: Motion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to support the defence of volenti. That defence should not be put to the jury. There was no evidence to support the plaintiff's waiver of her legal right to sue for injuries, as distinct from evidence to support a willingness to assume the risk of injury itself. There was no evidence that the plaintiff and defendant turned their minds to the question of legal liability, and either expressly or tacitly made an agreement to waive liability that could be supported on basic contract law principles. Evidence of the plaintiff's state of intoxication was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blood alcohol concentration was evidence that, if accepted by the jury, supported the plaintiff's awareness of the defendant's consumption of enough alcohol to cause him to be impaired. </w:t>
            </w:r>
            <w:r>
              <w:rPr>
                <w:lang w:val="en-US" w:eastAsia="en-US" w:bidi="ar-SA"/>
              </w:rPr>
              <w:cr/>
            </w:r>
          </w:p>
          <w:p>
            <w:pPr>
              <w:rPr>
                <w:lang w:val="en-US" w:eastAsia="en-US" w:bidi="ar-SA"/>
              </w:rPr>
            </w:pPr>
          </w:p>
        </w:tc>
      </w:tr>
    </w:tbl>
    <w:p>
      <w:pPr>
        <w:jc w:val="both"/>
        <w:rPr>
          <w:lang w:val="en-US" w:eastAsia="en-US" w:bidi="ar-SA"/>
        </w:rPr>
      </w:pPr>
      <w:bookmarkStart w:id="198" w:name="Counsel_29"/>
      <w:bookmarkEnd w:id="1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9"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W. Mussio.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R.K. Hartshorne, R. Langille.</w:t>
      </w:r>
      <w:r>
        <w:rPr>
          <w:lang w:val="en-US" w:eastAsia="en-US" w:bidi="ar-SA"/>
        </w:rPr>
        <w:cr/>
      </w:r>
    </w:p>
    <w:p>
      <w:pPr>
        <w:spacing w:after="240"/>
        <w:rPr>
          <w:lang w:val="en-US" w:eastAsia="en-US" w:bidi="ar-SA"/>
        </w:rPr>
      </w:pPr>
      <w:bookmarkStart w:id="199" w:name="Judgment_29"/>
      <w:bookmarkEnd w:id="199"/>
      <w:r>
        <w:pict>
          <v:line id="_x0000_s1170" style="position:absolute;z-index:2517913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0" w:name="L. FENLON J."/>
            <w:bookmarkEnd w:id="200"/>
            <w:r>
              <w:rPr>
                <w:rFonts w:ascii="arial" w:eastAsia="arial" w:hAnsi="arial" w:cs="arial"/>
                <w:b/>
                <w:color w:val="000000"/>
                <w:sz w:val="30"/>
                <w:lang w:val="en-US" w:eastAsia="en-US" w:bidi="ar-SA"/>
              </w:rPr>
              <w:t>L. FENLON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day six of this personal injury trial, I made two rulings with reasons to follow: (1)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cannot be put to the jury; and (2) evidence of the plaintiff's alcohol consumption, and in particular her blood alcohol concentration, is admissible on the basis that it is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are my reasons in support of those rulings.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defendant had dinner and drinks together at the defendant's apartment. The plaintiff's evidence was that she and the defendant drank the same number of drinks, but she did not know if the drinks were of the same strength. Later in the evening the plaintiff drove the defendant to meet his employer to pick up a cheque. The defendant went into a building to meet his employer, leaving the plaintiff in the car. When the defendant returned to the car they drove to Stanley Park, pulling into a parking lot at one point so the defendant could make a phone call. After the phone call, the defendant asked the plaintiff if he could drive and the plaintiff agreed, getting into the passenger seat and permitting the defendant to take the wheel. The defendant pulled out, accelerated rapidly to 100 km/h, and missed a curve on Stanley Drive. The car went off the road, hit a tree, and rolled onto the sea wall, landing on its roof. The defendant was killed in the accident and the plaintiff received serious injuries including fractures to a number of vertebrae, her sternum, several ribs, and her wrist.</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Volenti non fit injuria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third party, Insurance Corporation of British Columbia ("ICBC"), who is defending this case on behalf of the deceased driver, wished to lead evidence of excessive drinking by the plaintiff, defendant, and mutual friends several nights a week for some time prior to the accident. ICBC also sought to lead evidence of the plaintiff occasionally driving following such evenings or letting the defendant drive her vehicle. They argued that this evidence, in conjunction with the fact that the plaintiff and defendant had a close personal relationship and were both driving impaired before the accident, will support a finding by the jury of a tacit agreement between the parties to assume any risk that might arise in relation to such driving - a finding which would support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Counsel for the plaintiff offered to have the plaintiff testify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 permit counsel for ICBC to argue the appropriateness of putting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to the jury based on the actual evidence that could be elicited from the plaintiff. The third party was of the view, with which I agreed, that they could argue the appropriateness of putting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to the jury based on their "best case scenario". I heard argument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for ICBC candidly acknowledged that in cases involving a plaintiff riding with an impaired driver,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 a difficult defence to prove in light of recent cases on the issue. In </w:t>
      </w:r>
      <w:r>
        <w:rPr>
          <w:rFonts w:ascii="arial" w:eastAsia="arial" w:hAnsi="arial" w:cs="arial"/>
          <w:i/>
          <w:color w:val="000000"/>
          <w:sz w:val="20"/>
          <w:lang w:val="en-US" w:eastAsia="en-US" w:bidi="ar-SA"/>
        </w:rPr>
        <w:t>Hall v. Hebert</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xml:space="preserve"> at 207, </w:t>
      </w:r>
      <w:hyperlink r:id="rId600" w:history="1">
        <w:r>
          <w:rPr>
            <w:rFonts w:ascii="arial" w:eastAsia="arial" w:hAnsi="arial" w:cs="arial"/>
            <w:i/>
            <w:color w:val="0077CC"/>
            <w:sz w:val="20"/>
            <w:u w:val="single"/>
            <w:shd w:val="clear" w:color="auto" w:fill="FFFFFF"/>
            <w:lang w:val="en-US" w:eastAsia="en-US" w:bidi="ar-SA"/>
          </w:rPr>
          <w:t>101 D.L.R. (4th) 129</w:t>
        </w:r>
      </w:hyperlink>
      <w:r>
        <w:rPr>
          <w:rFonts w:ascii="arial" w:eastAsia="arial" w:hAnsi="arial" w:cs="arial"/>
          <w:color w:val="000000"/>
          <w:sz w:val="20"/>
          <w:lang w:val="en-US" w:eastAsia="en-US" w:bidi="ar-SA"/>
        </w:rPr>
        <w:t xml:space="preserve">, Cory J. in concurring reasons noted that the maxim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"stands for the proposition that no injury is done to one who consents." He stated the following at 207-208: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order for the doctrine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to apply, there must be either an express or implied assumption of the risk of the activity which caused the damage. That is to say, both parties to the activity must have agreed that they would participate in it regardless of the risk of injury and give up their right to sue should injury occur as a result of the agreed upon activity. It must be observed that the consent goes to the legal as opposed to the physical risk of harm (see </w:t>
      </w:r>
      <w:r>
        <w:rPr>
          <w:rFonts w:ascii="arial" w:eastAsia="arial" w:hAnsi="arial" w:cs="arial"/>
          <w:i/>
          <w:color w:val="000000"/>
          <w:sz w:val="20"/>
          <w:lang w:val="en-US" w:eastAsia="en-US" w:bidi="ar-SA"/>
        </w:rPr>
        <w:t>Lehnert v. Stein</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[1963] S.C.R. 38</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acts as a complete bar to recovery. Although it has not been the subject of legislation, it has been very severely limited in its application. Perhaps the judicial limitation was well merited in light of the harsh academic criticism of the defence. See Prosser,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454. Before it can operate as a defence, the plaintiff must not only consent to accept the risk of harm but also must bargain away his or her right to sue for injuries that may result from the dangerous activity. The doctrine will only be applied where it can truly be said that there is an understanding on the part of both parties that the defendant assumed no responsibility to take care for the safety of the plaintiff and the plaintiff did not expect him or her to do so. Clearly,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will only be applicable in a narrow range of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Joe v. Paradis</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2008 BCCA 57</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290 D.L.R. (4th) 556</w:t>
        </w:r>
      </w:hyperlink>
      <w:r>
        <w:rPr>
          <w:rFonts w:ascii="arial" w:eastAsia="arial" w:hAnsi="arial" w:cs="arial"/>
          <w:color w:val="000000"/>
          <w:sz w:val="20"/>
          <w:lang w:val="en-US" w:eastAsia="en-US" w:bidi="ar-SA"/>
        </w:rPr>
        <w:t xml:space="preserve">, the plaintiff had persuaded the defendant to drive him to a pub to obtain beer. Both parties were heavily intoxicated and the defendant drove off the road, injuring the plaintiff. The plaintiff's action for damages was dismissed by a jury on the basis of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The issue before the British Columbia Court of Appeal was whether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should have been put to the jury. At para. 13, Mackenzie J.A. writing for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[13] There is no evidence of any express agreement between Mr. Joe and Mr. Paradis to absolve the latter from legal liability for negligent driving. The first issue is whether there was evidence from which a properly instructed jury could find an implied agreement to that effect. The first and third issues are inter-related: if there was no evidence to support the defence, the jury verdict is unsupported by evidence and therefore perverse.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noted further at paras. 16-22: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[16] Commentators are generally critical of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doctrine, particularly its application to passengers in motor vehicle accident cases: see, for example,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2nd ed. (Toronto: Carswell, 2002); Allen M.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(Markham, Ont.: Butterworths, 2002);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3rd ed. (Toronto: Carswell, 2003);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9th ed. (Sydney: LBC Information Services, 1998); and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xml:space="preserve">, 19th ed. (London: Sweet &amp; Maxwell, 2006).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xml:space="preserve"> points out that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's complete bar to recovery is inconsistent with comparative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statutes which allow the apportionment of responsibility and "a more finely adjusted justice between parties" (at s. 3-103). Professor Klar observes that the nominal standard of an implied waiver of legal liability will rarely be met, if taken seriously. He adds: "It is not realistic to impose this implied agreement upon parties who are frequently unaware of the legal niceties surrounding these types of events, and who are not deliberating upon the physical or legal risks of dangerous conduct" (at 482). It would be hard to find parties who better fit Professor Klar's description than Mr. Joe and Mr. Paradis.</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[20] Interjecting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short circuits the process and invites the jury to use the defence as a subterfuge to assign all responsibility for the accident to Mr. Joe notwithstanding that the theoretical basis of the doctrine, an implied agreement to waive legal liability, may be unsupported by the evidence. Unless the courts are prepared to condone the manipulation of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doctrine to avoid the comparative fault regime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should not be invoked unless there is evidence that the parties put their minds to the question of legal liability and expressly or tacitly made an agreement to waive liability that could be supported on basic contract law principles.</w:t>
      </w:r>
    </w:p>
    <w:p>
      <w:pPr>
        <w:spacing w:before="120" w:line="260" w:lineRule="atLeast"/>
        <w:ind w:left="720"/>
        <w:rPr>
          <w:lang w:val="en-US" w:eastAsia="en-US" w:bidi="ar-SA"/>
        </w:rPr>
      </w:pPr>
      <w:r>
        <w:rPr>
          <w:rFonts w:ascii="arial" w:eastAsia="arial" w:hAnsi="arial" w:cs="arial"/>
          <w:color w:val="000000"/>
          <w:sz w:val="20"/>
          <w:lang w:val="en-US" w:eastAsia="en-US" w:bidi="ar-SA"/>
        </w:rPr>
        <w:t>[21] The weight of Supreme Court of Canada jurisprudence and the critical commentaries support restricting the doctrine to cases where an agreement can be supported by the evidence. This case was not one of them.</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[22] The question left with the jury failed to clearly distinguish between the physical and legal risk of harm. The judge's charge attempted to explain the distinction, but essentially in a vacuum as to evidence supporting acceptance of the legal risk of injury in contrast to the physical risk. </w:t>
      </w:r>
      <w:r>
        <w:rPr>
          <w:rFonts w:ascii="arial" w:eastAsia="arial" w:hAnsi="arial" w:cs="arial"/>
          <w:color w:val="000000"/>
          <w:sz w:val="20"/>
          <w:u w:val="single"/>
          <w:lang w:val="en-US" w:eastAsia="en-US" w:bidi="ar-SA"/>
        </w:rPr>
        <w:t xml:space="preserve">Voluntary acceptance of the physical risk without acceptance of the legal risk is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issue and not </w:t>
      </w:r>
      <w:r>
        <w:rPr>
          <w:rFonts w:ascii="arial" w:eastAsia="arial" w:hAnsi="arial" w:cs="arial"/>
          <w:i/>
          <w:color w:val="000000"/>
          <w:sz w:val="20"/>
          <w:u w:val="single"/>
          <w:lang w:val="en-US" w:eastAsia="en-US" w:bidi="ar-SA"/>
        </w:rPr>
        <w:t>volenti</w:t>
      </w:r>
      <w:r>
        <w:rPr>
          <w:rFonts w:ascii="arial" w:eastAsia="arial" w:hAnsi="arial" w:cs="arial"/>
          <w:color w:val="000000"/>
          <w:sz w:val="20"/>
          <w:lang w:val="en-US" w:eastAsia="en-US" w:bidi="ar-SA"/>
        </w:rPr>
        <w:t>.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even assuming the defendant's best case scenario on the evidence elicited at trial, there is no evidence to support the plaintiff's waiver of her legal right to sue for injuries, as distinct from evidence to support a willingness to assume the risk of injury itself. There is no evidence that the plaintiff and defendant turned their minds to the question of legal liability, and either expressly or tacitly made an agreement to waive liability that could be supported on basic contract law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conclusion on this point, there is no evidence to support 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therefore that defence should not be put to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 asserts that the plaintiff had a duty to take reasonable care of herself and contributed by her want of care to her injuries. In particular, ICBC argues that the plaintiff was contributorily negligent in surrendering the care and control of her car to the defendant and permitting him to drive when she knew or ought to have known the defendant was impaired.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ICBC wants to lead evidence of the blood alcohol concentration of the plaintiff, which was 0.126 at the time of the accident. The plaintiff opposes the admissibility of the plaintiff's blood alcohol concentration on the basis that it is not relevant to the central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a reasonable person in the plaintiff's circumstances have known that the defendant was impaired when the plaintiff permitted the defendant to drive her car? In the alternative, the plaintiff says the prejudicial effect of such evidence on the jury far outweighs any slight probative value that evidence might have.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submits that evidence that the plaintiff had consumed enough alcohol to reach this state of impairment is not relevant because it does not prove either that the defendant was intoxicated or that the plaintiff was aware of his intoxication. Plaintiff's counsel argues that evidence of the plaintiff's impairment would only be relevant if it equated precisely, drink for drink and degree of impairment for degree of impairment, with the defendant's state -- something that cannot be assumed since the defendant was serving the drinks, the plaintiff had no idea about the amount of alcohol the defendant was putting into each drink, and the defendant was a male who drank heavily and regularly and therefore could not be assumed to process alcohol in the same way as a smaller female.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Plaintiff's counsel asserts that the cases in which blood alcohol concentration of a plaintiff were admitted into evidence are cases in which 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was raised in addition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that the courts in those cases let in evidence of the plaintiff's drinking to establish the "common purpose" of a night of drinking necessary to support the voluntary acceptance of risk required to establish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my view, evidence of the plaintiff's state of intoxication is relevant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particular facts of this case. The plaintiff gave evidence that she and the defendant drank together at his apartment, having one to two drinks each. She says she thought they drank the same number of drinks. She says that the only drinking the defendant did that she knew about was the drinking they did together at his apartment before 9:00 p.m. The plaintiff also gave evidence that she did not drink at all other than at the apartment with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Evidence that she had a blood alcohol concentration of 0.126 at about 3:00 o'clock in the morning when the accident occurred means, according to expert evidence, that she consumed 10 - 20 ounces of hard liquor over the evening. The defendant had a blood alcohol concentration of 0.18. The plaintiff says the defendant must have become intoxicated from drinking alone when they parted company from about midnight to 2:30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blood alcohol concentration suggests that she had far more alcohol than she admits to, and provides evidence that she and the defendant were drinking more than the plaintiff attested to. If that is accepted by the jury, it is evidence that supports the plaintiff's awareness of the defendant's consumption of enough alcohol to cause him to be impaired.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response to the submission by plaintiff's counsel that evidence of a plaintiff's impairment is relevant only to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counsel for ICBC pointed to cases in which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was not a defence and in which the court accepted evidence of the plaintiff's impairment and blood alcohol concentration in relation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accept the plaintiff's submission that those cases did not involve a jury and therefore did not require the court to weigh with the same care the potential prejudice of such evidence in relation to its probative value, but the cases nonetheless support the relevance of such evidence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(1998), 87 A.C.W.S. (3d) 694</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[1999] B.C.J. No. 764</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Mushta v. Best</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(1998), 79 A.C.W.S. (3d) 1284</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[1998] B.C.J. No. 1346</w:t>
        </w:r>
      </w:hyperlink>
      <w:r>
        <w:rPr>
          <w:rFonts w:ascii="arial" w:eastAsia="arial" w:hAnsi="arial" w:cs="arial"/>
          <w:color w:val="000000"/>
          <w:sz w:val="20"/>
          <w:lang w:val="en-US" w:eastAsia="en-US" w:bidi="ar-SA"/>
        </w:rPr>
        <w:t xml:space="preserve"> (S.C.). While the evidence of the plaintiff's impairment is prejudicial because the jury may assume that she was driving impaired prior to giving control of her car to the defendant and therefore had been doing something wrong which should disentitle her to damages, in my view that prejudice can be dealt with by way of an appropriate caution in the charge to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opposes the admissibility of the plaintiff's blood alcohol concentration on the basis that it is relevant only if the plaintiff asserts that she was too impaired to be aware of the defendant's state of inebriation, an assertion the plaintiff does not make in this case. While that could be correct where the plaintiff and defendant have not been drinking together, where the evidence establishes that the plaintiff and defendant were together drinking over the evening and consuming roughly the same number of drinks (the evidence in this case), the level of the plaintiff's intoxication is also relevant to her awareness of how intoxicated the defendant was at the time she let him drive her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conclusion on this point, evidence of the plaintiff's alcohol consumption and blood alcohol concentration is admissible in relation to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 FENLON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Texada Land Corp. v. Texada Logging Ltd., [2002] B.C.J. No. 904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Brine</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19,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25,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S016944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904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622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50</w:t>
      </w:r>
    </w:p>
    <w:p>
      <w:pPr>
        <w:spacing w:before="120" w:line="260" w:lineRule="atLeast"/>
        <w:rPr>
          <w:lang w:val="en-US" w:eastAsia="en-US" w:bidi="ar-SA"/>
        </w:rPr>
      </w:pPr>
      <w:r>
        <w:rPr>
          <w:rFonts w:ascii="arial" w:eastAsia="arial" w:hAnsi="arial" w:cs="arial"/>
          <w:color w:val="000000"/>
          <w:sz w:val="20"/>
          <w:lang w:val="en-US" w:eastAsia="en-US" w:bidi="ar-SA"/>
        </w:rPr>
        <w:t>Between Texada Land Corporation, plaintiff, and Texada Logging Ltd., Agra Simons Limited/Agra Simons Limitee and Orm Resources Canada Ltd. d.b.a. Olympic Resource Management, defendants, and Egan Trethewey,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2"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1" w:name="Keywords_29"/>
      <w:bookmarkEnd w:id="201"/>
      <w:r>
        <w:rPr>
          <w:rFonts w:ascii="arial" w:eastAsia="arial" w:hAnsi="arial" w:cs="arial"/>
          <w:b/>
          <w:color w:val="000000"/>
          <w:sz w:val="20"/>
          <w:lang w:val="en-US" w:eastAsia="en-US" w:bidi="ar-SA"/>
        </w:rPr>
        <w:t xml:space="preserve">Practice — Parties — Third party or subsequent party procedure — Third party notice — Striking out of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Vicarious liability — For independent contractors — Joint and concurrent tortfeasors — Joint tortfeasors — Principal and agent.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2" w:name="Case Summary_27"/>
            <w:bookmarkEnd w:id="20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third party, Trethewey, for an order that the third party proceedings be dismissed. Trethewey argued that the allegations raised in the third party notice were more properly raised as defences to the claim of Taxada Land Corp. Land Corp. purchased certain properties from Taxada Logging Ltd. Land Corp. alleged that Logging Ltd. provided it with a report upon which Land Corp. relied in determining the value of the transaction. Land Corp. alleged that the report was inaccurate and sued for breach of contract and negligent misrepresentation. Logging Ltd. denied that it provided the report for the purposes alleged or that it warranted its accuracy. Logging Ltd. alleged in the third party notice that Trethewey was requested by Land Corp. to and did provide forestry consulting advice in relation to the property and that he analyzed and interpreted certain data from the report. It alleged that Trethewey was in a special relationship with Land Corp. and that he owed it a duty to take reasonable care in analyzing and interpreting the data. Logging Ltd. alleged that Land Corp. relied on Trethewey's analysis and advice, which Logging Ltd. alleged was inaccurate and negligently made. Logging Ltd. sought contribution and indemnity from Trethewey to the extent that Land Corp. was not vicariously liable for his acts and omissions. </w:t>
            </w:r>
            <w:r>
              <w:rPr>
                <w:lang w:val="en-US" w:eastAsia="en-US" w:bidi="ar-SA"/>
              </w:rPr>
              <w:cr/>
            </w:r>
          </w:p>
          <w:p>
            <w:pPr>
              <w:spacing w:before="120" w:line="260" w:lineRule="atLeast"/>
              <w:ind w:left="240"/>
              <w:jc w:val="both"/>
              <w:rPr>
                <w:lang w:val="en-US" w:eastAsia="en-US" w:bidi="ar-SA"/>
              </w:rPr>
            </w:pPr>
            <w:bookmarkStart w:id="203" w:name="Holdings of Court_24"/>
            <w:bookmarkEnd w:id="203"/>
            <w:r>
              <w:rPr>
                <w:rFonts w:ascii="arial" w:eastAsia="arial" w:hAnsi="arial" w:cs="arial"/>
                <w:color w:val="000000"/>
                <w:sz w:val="20"/>
                <w:lang w:val="en-US" w:eastAsia="en-US" w:bidi="ar-SA"/>
              </w:rPr>
              <w:t>HELD: Application dismissed and the third party claim was allowed to proceed.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a triable issue raised against Trethewey for which Land Corp. might not be responsible. The third party notice did not allege that Trethewey was either representing Land Corp. or was its agent. It pleaded that Trethewey's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committed independently of his duties to Land Corp. although during the performance of those duties. Land Corp. did not admit nor acknowledge that it was responsible for or bound by the conduct of Trethewey. It was not possible to determine whether the alleged wrongdoing of Trethewey could be used as a defence against Land Corp.'s claim or that Trethewey's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Land Corp. </w:t>
            </w:r>
            <w:r>
              <w:rPr>
                <w:lang w:val="en-US" w:eastAsia="en-US" w:bidi="ar-SA"/>
              </w:rPr>
              <w:cr/>
            </w:r>
          </w:p>
          <w:p>
            <w:pPr>
              <w:rPr>
                <w:lang w:val="en-US" w:eastAsia="en-US" w:bidi="ar-SA"/>
              </w:rPr>
            </w:pPr>
          </w:p>
        </w:tc>
      </w:tr>
    </w:tbl>
    <w:p>
      <w:pPr>
        <w:jc w:val="both"/>
        <w:rPr>
          <w:lang w:val="en-US" w:eastAsia="en-US" w:bidi="ar-SA"/>
        </w:rPr>
      </w:pPr>
      <w:bookmarkStart w:id="204" w:name="Legislation Cited_22"/>
      <w:bookmarkEnd w:id="20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3"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lang w:val="en-US" w:eastAsia="en-US" w:bidi="ar-SA"/>
        </w:rPr>
        <w:cr/>
      </w:r>
    </w:p>
    <w:p>
      <w:pPr>
        <w:keepNext/>
        <w:spacing w:before="240" w:line="340" w:lineRule="atLeast"/>
        <w:rPr>
          <w:lang w:val="en-US" w:eastAsia="en-US" w:bidi="ar-SA"/>
        </w:rPr>
      </w:pPr>
      <w:bookmarkStart w:id="205" w:name="Counsel_30"/>
      <w:bookmarkEnd w:id="20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4" style="position:absolute;z-index:2517923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D.P. Church and I. Schildt, for the plaintiff and third party. H. Shapray, Q.C., for the defendant Texada Logging Ltd. G. Walker, for the defendant Agra Simons Limited. D.R. Bennett, for the defendant ORM Resources Canada Ltd.</w:t>
      </w:r>
      <w:r>
        <w:rPr>
          <w:lang w:val="en-US" w:eastAsia="en-US" w:bidi="ar-SA"/>
        </w:rPr>
        <w:cr/>
      </w:r>
    </w:p>
    <w:p>
      <w:pPr>
        <w:spacing w:after="240"/>
        <w:rPr>
          <w:lang w:val="en-US" w:eastAsia="en-US" w:bidi="ar-SA"/>
        </w:rPr>
      </w:pPr>
      <w:bookmarkStart w:id="206" w:name="Judgment_30"/>
      <w:bookmarkEnd w:id="206"/>
      <w:r>
        <w:pict>
          <v:line id="_x0000_s1175" style="position:absolute;z-index:2518425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7" w:name="MASTER BRINE"/>
            <w:bookmarkEnd w:id="207"/>
            <w:r>
              <w:rPr>
                <w:rFonts w:ascii="arial" w:eastAsia="arial" w:hAnsi="arial" w:cs="arial"/>
                <w:b/>
                <w:color w:val="000000"/>
                <w:sz w:val="30"/>
                <w:lang w:val="en-US" w:eastAsia="en-US" w:bidi="ar-SA"/>
              </w:rPr>
              <w:t>MASTER BRINE</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application, the third party seeks an order that the third party proceedings taken against him by the defendant, Texada Logging Ltd. (TLL), be dismissed. The basis of the application is that the allegations raised in the third party notice are more properly raised as defences to the plaintiff's claim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 transaction by which the plaintiff purchased certain properties, including the Horne Lake property, from TLL. The plaintiff alleges that prior to entering into the transaction TLL provided it with timber cruise information which was contained in a report prepared by, for the purposes of this application, the defendant, ORM Resources Canada (ORM).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to TLL's knowledge, it relied on the report for the purposes of determining a value for the transaction. The plaintiff further alleges that the report was inaccurate and sues TLL for, inter alia, breach of contract and negligent misrepresentation arising from the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third party is also counsel for the plaintiff, indicating that their respective interests do not conflict insofar as the issues in this action as framed by the pleadings are concerned.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Based on the pleadings alone and on the assumption that the facts contained in the pleadings can be proved at trial the issue is whether the pleadings raise the possibility of a claim against the third party for which the plaintiff may or may not be responsible?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distinction is critical. In the former case, where the third party's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attributable to the plaintiff, there will be no third party proceedings as the defendant has a complete remedy against the plaintiff's claims. In the latter, where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attributable to the plaintiff, third party proceedings must be allowed to stand.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Pleadings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alleges that TLL provided it with a copy of the timber cruise report during and for the purposes of the negotiations that ultimately led to the plaintiff's purchase of the lands in question. The plaintiff also alleges that TLL provided it with the report "for the purpose of satisfying (the plaintiff) as to the volume of timber on the Horne Lake Property." The plaintiff also alleges that, prior to the sale of the lands, ORM confirmed, on behalf of itself and TLL, that the report "was accurate and could be relied upon." The plaintiff further alleges that it reviewed and relied on the report in making its decision to purchase the Horne Lake Property.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TLL's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TLL denies that it provided the plaintiff with a copy of the report in order to satisfy the plaintiff as to the volume of timber on the Horne Lake Property, or that it ever confirmed, warranted or represented to the plaintiff, either directly or indirectly, that the report was accurate or that the plaintiff could rely upon it for any purpose whatsoever.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Third Party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TLL alleges and the third party notice states that prior to the plaintiff's purchase of the land, the third party, Mr. Trethewey, was requested by the plaintiff to and did provide forestry consulting advice in relation to both the timber harvesting prospects on the Horne Lake property and the subsequent oversight of the plaintiff's logging operations at that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TLL also alleges that Mr. Trethewey was asked to and did analyze and interpret certain data from the timber cruise report and to provide the plaintiff with his assessment and recommendations regarding the volume of merchantable timber on the Horne Lake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TLL further alleges that Trethewey was in a special relationship with the plaintiff, that he owed a duty to the plaintiff to take reasonable care in analyzing and interpreting the data from the report and in providing his advice and recommendations regarding the reliability of the report and the volume of merchantable timber on the Horne Lake property. The notice also states that Trethewey was under a duty to take reasonable care in preparing a logging plan for and overseeing the plaintiff's logging operations on the Horne Lake property, and to do so in a professional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TLL also alleges that the plaintiff relied on Trethewey's analysis, interpretations, advice and recommendations regarding the report and timber cruise data for the purposes of deciding whether to close the transaction and that the plaintiff subsequently relied upon him to oversee its logging operations at the Horne Lake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TLL alleges that Trethewey's analysis, interpretation, advice and recommendations regarding the volume and/or value of the merchantable timber on the Horne Lake property were inaccurate and negligently made; that he negligently failed to arrange for or recommend to the plaintiff that an independent timber cruise be undertaken before providing his advice and recommendations; and that he negligently oversaw the plaintiff's logging operations at the Horne Lake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TLL seeks contribution and indemnity from Trethewey pursuant to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the event that the plaintiff is found to have suffered damages which it is entitled to recover from TLL "...to the extent that (the plaintiff) is not vicariously liable for the acts and omissions of Trethewey."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the claims made above against Trethewey, TLL seeks contribution and indemnity from Trethewey to the extent that he represented to the plaintiff that ORM confirmed the accuracy of the data in the report as an agent for or on behalf of TLL on the basis that any such representation was false and either negligently or fraudulently made.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determination as to whether a third party notice should be dismissed in whole or in part is to made on the pleadings, on the assumption that the facts pleaded can be established at trial: Gelt Holdings Ltd. v. Pannell, </w:t>
      </w:r>
      <w:hyperlink r:id="rId612" w:history="1">
        <w:r>
          <w:rPr>
            <w:rFonts w:ascii="arial" w:eastAsia="arial" w:hAnsi="arial" w:cs="arial"/>
            <w:i/>
            <w:color w:val="0077CC"/>
            <w:sz w:val="20"/>
            <w:u w:val="single"/>
            <w:shd w:val="clear" w:color="auto" w:fill="FFFFFF"/>
            <w:lang w:val="en-US" w:eastAsia="en-US" w:bidi="ar-SA"/>
          </w:rPr>
          <w:t>[1995] B.C.J. No. 1283</w:t>
        </w:r>
      </w:hyperlink>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applicable legal principles raised in this application by the third party are found in the decision of the B.C. Court of Appeal decision in Adams v. Thompson, Berwick Pratt and Partners, </w:t>
      </w:r>
      <w:hyperlink r:id="rId519"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that case the plaintiffs had retained the defendant engineers to complete a subdivision and the third party law firm to prepare a prospectus thereafter. For various reasons the subdivision was not ready to be marketed until after the real estate boom had ended. The plaintiffs sued the defendants alleging that they were responsible for the delay. The defendants brought third party proceedings against the law firm alleging that it had been negligent in failing to file the prospectus which would have enabled the plaintiff to have sold some of the lots sooner and, further, in failing to advise the plaintiff to mitigate its losses by selling as many lots as they could by the summer of 1981. The law firm applied to strike the third party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McLachlin J.A., as she then was, for the court, stated, at page 54: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authorities establish that where a plaintiff contracts with two separate parties, such as a contractor and an engineer,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result follows from the decision in Yemen Salt Mining Corp. v. Rhodes-Vaughan Steel Ltd. </w:t>
      </w:r>
      <w:hyperlink r:id="rId531" w:history="1">
        <w:r>
          <w:rPr>
            <w:rFonts w:ascii="arial" w:eastAsia="arial" w:hAnsi="arial" w:cs="arial"/>
            <w:i/>
            <w:color w:val="0077CC"/>
            <w:sz w:val="20"/>
            <w:u w:val="single"/>
            <w:shd w:val="clear" w:color="auto" w:fill="FFFFFF"/>
            <w:lang w:val="en-US" w:eastAsia="en-US" w:bidi="ar-SA"/>
          </w:rPr>
          <w:t>(1976), 2 C.P.C. 318</w:t>
        </w:r>
      </w:hyperlink>
      <w:r>
        <w:rPr>
          <w:rFonts w:ascii="arial" w:eastAsia="arial" w:hAnsi="arial" w:cs="arial"/>
          <w:color w:val="000000"/>
          <w:sz w:val="20"/>
          <w:lang w:val="en-US" w:eastAsia="en-US" w:bidi="ar-SA"/>
        </w:rPr>
        <w:t xml:space="preserve"> (B.C.S.C.) (Ruttan J.). In that action, the defendant contractor issued a third party notice against the plaintiff's inspector/engineer. The court struck out the third party notice on the grounds that the fault, if any, of the inspector would be visited upon the plaintiff and reduce its recovery against the contractor. Yemen was followed in Westcoast Transmission Co. v. Interprv. Steel &amp; Pipe Corp. </w:t>
      </w:r>
      <w:hyperlink r:id="rId529"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Where the fault alleged against the proposed third party is in fact the fault of the plaintiff, the defendant can raise the default by way of defence, making third party proceedings unnecessary. Yemen and Westcoast were such cases. In both cases the plaintiff had hired someone to act in its stead to ensure that the defendant was performing his contract. Any default was attributable to the plaintiff.</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significance in these decisions of the fact that the proposed third party was acting as the agent of the owner in circumstances where his conduct became the responsibility of the owner was pointed out by McEachern C.J.S.C. in Quintette Coal Ltd. v. Bow Valley Resource Services Ltd. Vancouver No. C837395, 2nd April 1986 [now reported </w:t>
      </w:r>
      <w:hyperlink r:id="rId526" w:history="1">
        <w:r>
          <w:rPr>
            <w:rFonts w:ascii="arial" w:eastAsia="arial" w:hAnsi="arial" w:cs="arial"/>
            <w:i/>
            <w:color w:val="0077CC"/>
            <w:sz w:val="20"/>
            <w:u w:val="single"/>
            <w:shd w:val="clear" w:color="auto" w:fill="FFFFFF"/>
            <w:lang w:val="en-US" w:eastAsia="en-US" w:bidi="ar-SA"/>
          </w:rPr>
          <w:t>19 C.L.R. 153</w:t>
        </w:r>
      </w:hyperlink>
      <w:r>
        <w:rPr>
          <w:rFonts w:ascii="arial" w:eastAsia="arial" w:hAnsi="arial" w:cs="arial"/>
          <w:color w:val="000000"/>
          <w:sz w:val="20"/>
          <w:lang w:val="en-US" w:eastAsia="en-US" w:bidi="ar-SA"/>
        </w:rPr>
        <w:t xml:space="preserve"> at p. 171]:</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...both Yemen and Westcoast were cases where the putative third parties were inspectors employed by the plaintiff to supervise the work of the defendant. It was not suggested that the third parties were guilty of active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their failure to detect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it was assumed that any fault on the part of the third parties would be imputed to the plaintiffs. In this case, however, the defendant seeks contribution from Kilborn for Kilborn's own alleged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am not satisfied that Kilborn's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 On the other hand, where the pleadings and the alleged facts raise the possibility of a claim against a third party for which the plaintiff may not be responsible, the third party claim should be allowed to stand.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same result arises if one views the matter on the basis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the Supreme Court Rules. Where the third party claim can be raised by way of defence, the substance of the matter is that the plaintiff is at fault. That being the case,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deals with the situation where fault is alleged against the plaintiff, is applicable. Section 1 makes no provision for contribution or indemnity between co-defendants. By contrast,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deals with cases where the plaintiff is not at fault, provides for contribution and indemnity between those found at fault in causing the plaintiff's loss.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Under Supreme Court R. 22, a third party claim may be brought for "contribution or indemnity". That remedy is available where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is applicable. It is not available where the claim is for fault for which the plaintiff is responsible.</w:t>
      </w:r>
    </w:p>
    <w:p>
      <w:pPr>
        <w:spacing w:before="120" w:line="260" w:lineRule="atLeast"/>
        <w:ind w:left="720"/>
        <w:rPr>
          <w:lang w:val="en-US" w:eastAsia="en-US" w:bidi="ar-SA"/>
        </w:rPr>
      </w:pPr>
      <w:r>
        <w:rPr>
          <w:rFonts w:ascii="arial" w:eastAsia="arial" w:hAnsi="arial" w:cs="arial"/>
          <w:color w:val="000000"/>
          <w:sz w:val="20"/>
          <w:lang w:val="en-US" w:eastAsia="en-US" w:bidi="ar-SA"/>
        </w:rPr>
        <w:t>It remains to consider those circumstance in which a claim against a third party is, in fact, a claim with respect to an obligation of the plaintiff.</w:t>
      </w:r>
    </w:p>
    <w:p>
      <w:pPr>
        <w:spacing w:before="120" w:line="260" w:lineRule="atLeast"/>
        <w:ind w:left="720"/>
        <w:rPr>
          <w:lang w:val="en-US" w:eastAsia="en-US" w:bidi="ar-SA"/>
        </w:rPr>
      </w:pPr>
      <w:r>
        <w:rPr>
          <w:rFonts w:ascii="arial" w:eastAsia="arial" w:hAnsi="arial" w:cs="arial"/>
          <w:color w:val="000000"/>
          <w:sz w:val="20"/>
          <w:lang w:val="en-US" w:eastAsia="en-US" w:bidi="ar-SA"/>
        </w:rPr>
        <w:t>Generally speaking, all acts falling within the scope of an agency between the proposed third party and the plaintiff fall into the category of acts for which the plaintiff is responsible and hence are not the proper subject to third party claims. At the same time, it must be recognized that a person acting as agent to the plaintiff may undertake duties toward co-contractors and others outside the scope of his agency. To put it another way, the plaintiff's agent may, as a consequence of his relations with other contractors on the project, assume duties toward persons other than the plaintiff, for breach of which the plaintiff would not be vicariously liable. It was the possibility of such claims which led McEachern C.J.S.C. in Quintette, supra, to allow the third party claim to stand.</w:t>
      </w:r>
    </w:p>
    <w:p>
      <w:pPr>
        <w:spacing w:before="120" w:line="260" w:lineRule="atLeast"/>
        <w:ind w:left="720"/>
        <w:rPr>
          <w:lang w:val="en-US" w:eastAsia="en-US" w:bidi="ar-SA"/>
        </w:rPr>
      </w:pPr>
      <w:r>
        <w:rPr>
          <w:rFonts w:ascii="arial" w:eastAsia="arial" w:hAnsi="arial" w:cs="arial"/>
          <w:color w:val="000000"/>
          <w:sz w:val="20"/>
          <w:lang w:val="en-US" w:eastAsia="en-US" w:bidi="ar-SA"/>
        </w:rPr>
        <w:t>Another situation where a third party claim cannot be raised because the obligation is essentially that of the plaintiff is where the claim is one that the proposed third party should have mitigated his damages. In that situation, like the situation of agency, third party proceedings are redundant because the defendant can obtain any relief to which he may be entitled by reduction of the plaintiff's claim if he makes out the defence of failure to mitigate.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result, the third party notice was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this action, the third party notice alleges that Trethewey was negligent and owed a duty of care to the plaintiff by way of a special relationship he had with the plaintiff. It does not allege that Trethewey was either representing the plaintiff or was its agent. Rather, it pleads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possible fraud) was committed by Trethewey independently of his duties to the plaintiff, although while in the performance of those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G.W.L. Properties Ltd. v. W.R. Grace &amp; Co. of Canada, </w:t>
      </w:r>
      <w:hyperlink r:id="rId613" w:history="1">
        <w:r>
          <w:rPr>
            <w:rFonts w:ascii="arial" w:eastAsia="arial" w:hAnsi="arial" w:cs="arial"/>
            <w:i/>
            <w:color w:val="0077CC"/>
            <w:sz w:val="20"/>
            <w:u w:val="single"/>
            <w:shd w:val="clear" w:color="auto" w:fill="FFFFFF"/>
            <w:lang w:val="en-US" w:eastAsia="en-US" w:bidi="ar-SA"/>
          </w:rPr>
          <w:t>[1992] B.C.J. No. 1477</w:t>
        </w:r>
      </w:hyperlink>
      <w:r>
        <w:rPr>
          <w:rFonts w:ascii="arial" w:eastAsia="arial" w:hAnsi="arial" w:cs="arial"/>
          <w:color w:val="000000"/>
          <w:sz w:val="20"/>
          <w:lang w:val="en-US" w:eastAsia="en-US" w:bidi="ar-SA"/>
        </w:rPr>
        <w:t>, Mr. Justice Lowry distinguished the result in Adams. In G.W.L., an asbestos manufacturer, sued by the owner of a number of buildings, issued a third party notice against the engineer who had recommended to the owner that the asbestos be removed on the basis that the advice was negligently given. Mr. Justice Lowry, in declining to strike out the third party notice, stating (at paragraph 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case against the engineers is that, as a result of the advice they gave and the recommendations they made, the owners suffered damages - damages that at least to some extent, if not entirely, they would not have otherwise suffered. The allegation made against (the third party) is not one that, in my view, is, if proven, certain to be attributed to the owners such as to constitute a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decision of Mr. Justice Tysoe in Cooper v. Hobart, </w:t>
      </w:r>
      <w:hyperlink r:id="rId614" w:history="1">
        <w:r>
          <w:rPr>
            <w:rFonts w:ascii="arial" w:eastAsia="arial" w:hAnsi="arial" w:cs="arial"/>
            <w:i/>
            <w:color w:val="0077CC"/>
            <w:sz w:val="20"/>
            <w:u w:val="single"/>
            <w:shd w:val="clear" w:color="auto" w:fill="FFFFFF"/>
            <w:lang w:val="en-US" w:eastAsia="en-US" w:bidi="ar-SA"/>
          </w:rPr>
          <w:t>[1999] B.C.J. No. 844</w:t>
        </w:r>
      </w:hyperlink>
      <w:r>
        <w:rPr>
          <w:rFonts w:ascii="arial" w:eastAsia="arial" w:hAnsi="arial" w:cs="arial"/>
          <w:color w:val="000000"/>
          <w:sz w:val="20"/>
          <w:lang w:val="en-US" w:eastAsia="en-US" w:bidi="ar-SA"/>
        </w:rPr>
        <w:t>, is similarly illuminating. The case involved an action that was attempted under the Class Proceedings Act against a mortgage broker, the Registrar of Mortgage Brokers and others in relation to the losses suffered by investors in the Eron Mortgage Corporation failure. The defendants issued a third party notice whereby it was alleged that Eron's legal advisor owed and breached various duties to the investors and had committed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party applied to strike the third party notice relying on the Adams decision. In reviewing the Adams decision, Tysoe J. said, at paragraph 20,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Adams, it was clear that the solicitor was acting within the scope of the agency in respect of the prospectus which the defendant architect alleged should have been filed sooner. I this case, my decision is based solely on the pleadings. In the event that it is found that (the lawyer) was acting as (the plaintiff's) legal representative, I have no evidence or admissions which would enable me to make a determination whether any alleged negligent acts of (the lawyer) were inside or outside of the scope of the agency. As held in McNaughton v. Baker, </w:t>
      </w:r>
      <w:hyperlink r:id="rId524"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and Legion Credit Union (Co-Liquidators of) v. Marsh &amp; Marsh, </w:t>
      </w:r>
      <w:hyperlink r:id="rId615" w:history="1">
        <w:r>
          <w:rPr>
            <w:rFonts w:ascii="arial" w:eastAsia="arial" w:hAnsi="arial" w:cs="arial"/>
            <w:i/>
            <w:color w:val="0077CC"/>
            <w:sz w:val="20"/>
            <w:u w:val="single"/>
            <w:shd w:val="clear" w:color="auto" w:fill="FFFFFF"/>
            <w:lang w:val="en-US" w:eastAsia="en-US" w:bidi="ar-SA"/>
          </w:rPr>
          <w:t>[1994] B.C.J. No. 2153</w:t>
        </w:r>
      </w:hyperlink>
      <w:r>
        <w:rPr>
          <w:rFonts w:ascii="arial" w:eastAsia="arial" w:hAnsi="arial" w:cs="arial"/>
          <w:color w:val="000000"/>
          <w:sz w:val="20"/>
          <w:lang w:val="en-US" w:eastAsia="en-US" w:bidi="ar-SA"/>
        </w:rPr>
        <w:t xml:space="preserve">, it is premature to decide whether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lawyer) can be used by the defendants as a defence against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case before me, the defendant, TLL, has alleged that Trethewey owed a duty of care to the plaintiff and that this duty was breached. Can it be said that Trethewey's conduct was such that the plaintiff would be responsible for it? If so, Trethewey's alleged conduct would provide a defence to TLL of the plaintiff's claims against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has neither admitted nor acknowledged that it would be responsible for or bound by the conduct of Trethewey. The loss being claimed by the plaintiff is the same loss that arises from the alleged wrongdoing of both TLL and Trethewey. In my view, it is not possible to determine, at this stage of the proceedings, whether the alleged wrongdoing of Trethewey can be used as a defence against the plaintiff's claim. It is conceivable that Trethewey may have provided negligent advice to the plaintiff which then relied on that advice to its detriment and for which it cannot be said that the plaintiff is, in any way, responsible. To paraphrase McEachern C.J.S.C. in Quintette Coal, I am not satisfied that Trethewey's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I am compelled to dismiss the third party's application to dismiss the third party proceedings. There will be costs of the application to the defendant, TLL, at scale 3. I am not inclined to make any orders as to costs for the remaining defendants, Agra and ORM although their counsel were present for the application. However, should the parties wish to address that issue before me they may do so.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BRINE</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Tran v. Kim Le Holdings Ltd., [2011] B.C.J. No. 2380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12-16, 19-22 and 29-30,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S054927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Thi (Sandy) Tran, Plaintiff, and Kim Le Holdings Ltd., 663584 B.C. Ltd. doing business as Secret Nail and Beauty Supply and Linh Nguyen, Defendants, and 663584 B.C. Ltd. doing business as Secret Nail and Beauty Supply and Linh Nguyen,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30"/>
      <w:bookmarkEnd w:id="208"/>
      <w:r>
        <w:rPr>
          <w:rFonts w:ascii="arial" w:eastAsia="arial" w:hAnsi="arial" w:cs="arial"/>
          <w:b/>
          <w:color w:val="000000"/>
          <w:sz w:val="20"/>
          <w:lang w:val="en-US" w:eastAsia="en-US" w:bidi="ar-SA"/>
        </w:rPr>
        <w:t xml:space="preserve">Damages — Physical and psychological injuries — Physical injuries — Body injuries — Back and spine — Action for damages for personal injuries dismissed — Plaintiff placed a jug of acetone on the counter at the defendants' store with an intention to purchase it — The jug fell off the counter and leaked its contents — Plaintiff slipped on the acetone and fell, injuring her back — Plaintiff submitted that defendants were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the Occupiers Liability Act — It was more probable than not that the plaintiff caused the jug to fall — Plaintiff failed to establish that the defendants did not make their premises reasonably safe or that they breached the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Action for damages for personal injuries dismissed — Plaintiff placed a jug of acetone on the counter at the defendants' store with an intention to purchase it — The jug fell off the counter and leaked its contents — Plaintiff slipped on the acetone and fell, injuring her back — Plaintiff submitted that defendants were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the Occupiers Liability Act — It was more probable than not that the plaintiff caused the jug to fall — Plaintiff failed to establish that defendants did not make their premises reasonably safe or that they breached the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Action for damages for personal injuries dismissed — Plaintiff placed a jug of acetone on the counter at the defendants' store with an intention to purchase it — The jug fell off the counter and leaked its contents — Plaintiff slipped on the acetone and fell, injuring her back — Plaintiff submitted that the defendants were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the Occupiers Liability Act — It was more probable than not that the plaintiff caused the bottle to fall — Plaintiff failed to establish that the defendants did not make their premises reasonably safe or that they breached the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28"/>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Tran for damages for personal injuries sustained in a slip and fall. Tran attended the defendant store, Secret Nail and Beauty Supply, to purchase supplies for her manicure business. She picked up a plastic gallon jug of acetone and placed it on the counter to pay for it. However, the jug somehow fell off the counter and leaked its contents onto the floor. Tran slipped on the acetone and fell, injuring her lower back. She later required surgery to relieve pressure on a nerve, but the surgery was only partially successful. The defendant Nguyen was working at Secret Nail that day. Tran took the position that Nguyen and Secret Nail were liable for the accident. Tran submitted that it was Nguyen's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jug to be dislodged. Tran further submitted that Secret Nail failed to provide a safe place to handle acetone at the point of sale and, therefore, was liable under the Occupiers Liability Act. The defendants took the position that the jug was knocked off the counter inadvertently, perhaps even by Tran, and the accident was a pure accident. The defendant further submitted that Tran caused her own injury by attempting to chase the rolling jug, slipping and falling in the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5"/>
            <w:bookmarkEnd w:id="21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dispute that the defendants owed Tran a duty to take care in handling the jug of acetone and to ensure that Tran was safe from unreasonable risks while on the defendants' premises. However, there were problems with Tran's evidence and the Court found that it was more probable than not that Tran herself caused the bottle to fall. Furthermore, Tran failed to establish that the defendants failed to make their premises reasonably safe or that they breached the applicable standard of care. Tran's injuries were sustained in an accident and they were not caused or contributed to by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23"/>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8"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623"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2" w:name="Counsel_31"/>
      <w:bookmarkEnd w:id="2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Barbara Webster-Evans, Kara Naish.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663584 B.C. Ltd. dba Secret Nail &amp; Beauty and Linh Nguyen: R. Nigel Beckmann, Lindsey Galvin.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1"/>
      <w:bookmarkEnd w:id="213"/>
      <w:r>
        <w:pict>
          <v:line id="_x0000_s1180"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D.C. HARRIS J."/>
            <w:bookmarkEnd w:id="214"/>
            <w:r>
              <w:rPr>
                <w:rFonts w:ascii="arial" w:eastAsia="arial" w:hAnsi="arial" w:cs="arial"/>
                <w:b/>
                <w:color w:val="000000"/>
                <w:sz w:val="30"/>
                <w:lang w:val="en-US" w:eastAsia="en-US" w:bidi="ar-SA"/>
              </w:rPr>
              <w:t>D.C.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9, 2003, Ms. Tran went to shop in a store called Secret Nail and Beauty Supply. She wanted to buy some supplies, including some acetone, for a manicure and pedicure business she ran. Ms. Tran picked up a gallon plastic jug of acetone and placed it on the counter so that she could pay for it. Somehow the jug fell from the counter. Its contents leaked on the floor. Ms. Tran slipped and fell on the acetone. She injured her lower back. At first it did not seem to be serious. But she did not recover from her injury and some months later had surgery to relieve pressure on a nerve that was causing pain to radiate down her leg. The surgery was, at best, only partially successful. Ms. Tran continues to have back problems that limit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Linh Nguyen was working at Secret Nail that day. Ms. Tran contends that Secret Nail and Ms. Nguyen are liable for the accident and must compensate her for the damages she has suffered. Ms. Tran says that Ms. Nguyen did not take proper care in handling the jug of acetone. She says that the jug of acetone was knocked off the counter by Ms. Nguyen when she attempted to put a box on the counter. In lay terms, Ms. Nguyen was careless in trying to put the box on the counter when the jug of acetone was there. It was that carelessness that dislodged it, causing Ms. Tran to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Tran contends that although her explanation of how the acetone jug fell off the counter should be accepted, ultimately, it does not matter how it was knocked off, or by whom. Secret Nail is liable because it is responsible for its employees. It failed to properly instruct them how to take care in handling a hazardous substance like acetone. Furthermore, it did not provide a safe place to handle acetone at the point of sale. This latter point is based on the argument that the sales counter was too high and narrow to be used for the sale of a potentially toxic liquid like acetone. The counter was unreasonably unsafe for the use to which it was put. For both of these reasons, Secret Nail is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alternative, Ms. Tran submits that it was reasonably foreseeable that the jug of acetone might be knocked off the counter, spill its contents and injure someone nearby. Accordingly, Secret Nail breached the standard of care of a reasonable business. It is, therefore,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do not dispute either that Ms. Tran slipped and fell that day or that she was injured. They do say, however, that the accident did not happen in the way described by Ms. Tran. They say the acetone jug was knocked or fell off the counter inadvertently, perhaps by Ms. Tran herself, but not 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 of the shop employees. The accident was just that, a "pure accident", but not one that was the defendants' fault. In any event, they contend that Ms. Tran caused her own injury by attempting to chase the rolling jug of acetone as it leaked its contents, slipping and falling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argue that there was nothing unreasonable about how they handled the acetone at the point of sale. The counter was reasonably safe and it was not reasonably foreseeable that something like acetone, which if spilled could cause a slip hazard, would fall from the counter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claim involves, therefore, an assessment of whether the defendants are liable for Ms. Tran's injury. For the reasons that follow, I have concluded that Ms. Tran has not proven that the defendants are liable to her. I do not accept her evidence that the jug of acetone fell from the counter because it was negligently knocked off by a Secret Nail employee. Further, Ms. Tran has not discharged her burden of showing that a breach of duty caused the accident to take place, regardless of how the jug fell. Accordingly, it is not necessary to deal with the damages claim.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framework: an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Tran has based her case on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occupier's liability. Regardless of the foundation of the alleged liability, she carries the burden of proving her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Tran must show that Secret Nail, or its employees, breached a duty of care they owed to her and that breach caused her injury. Here, there is no dispute that the defendants owed Ms. Tran a duty to take care in handling the jug of acetone at the point of sale. The real legal disagreement between the parties turns on the nature of that duty and the standard of care it entails. The defendants say it was not reasonably foreseeable that a jug of acetone would fall from the sales counter and create a hazard on which someone might immediately slip and fall on. They also take the position that Ms. Tran's injuries were not caused by any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From a practical perspective, little turns on the fact that this action is also based on occupier's liability. It is common ground that, as an occupier, Secret Nail owed duties to Ms. Tran to ensure that she was safe from unreasonable risks while she was on its premises. Occupiers have an affirmative duty to take reasonable care for the safety of people allowed to be on the premises. Ms. Tran's counsel submitted that the standard of care owed by Secret Nail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the same as the standard of care owed to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Tran made much of the fact that acetone is a controlled substance because it has toxic qualities and is flammable. Those regulations relate to the use of acetone. There are no regulations that govern how acetone should be handled in a shop when it is sold. That does not mean, however, that the toxic nature of acetone is irrelevant to the standard of care applicable to handling it at the point of sale. Here, the principal concern with a possible spill of acetone on the floor, however that might occur, is that it creates a risk of slipping. In this respect, it is like many other liquids, some of which may be more or less slippery than acetone. I accept, though, that acetone poses additional risks of injury if, for example, its container were to fail and it were to splash. I am satisfied that the standard of care for handling acetone in any circumstance where it could be dropped and splash is higher than for an equally slippery, but non-toxic liquid. Greater care needs to be taken in handling bottles of acetone than, for example, milk.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said this, the first question to decide is what led to Ms. Tran slipping? Only when those facts are found can the legal principles be applied to determine whether there is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did Ms. Tran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Each side accuses the other of putting forward an unbelievable - or worse, a fabricated - version of what happened that day. I agree that finding the facts involves issues of credibility. The evidence of Ms. Tran conflicts with the two principal defence witnesses, the defendant, Ms. Linh Nguyen, and another employee working in the shop that day, Ms. Thuy Nguyen. Accordingly, finding the facts involves testing the evidence of the witnesses against the objective facts and the probabilities of the situation in the manner described by O'Halleran J.A.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page 356 O'Halloran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validity of evidence does not depend in the final analysis on the circumstance that it remains uncontradicted, or the circumstance that the Judge may have remarked favourably or unfavourably on the evidence or the demeanour of a witness; these things are elements in testing the evidence but they are subject to whether the evidence is consistent with the probabilities affecting the case as a whole and shown to be in existence at the time; and </w:t>
      </w:r>
      <w:r>
        <w:rPr>
          <w:rFonts w:ascii="arial" w:eastAsia="arial" w:hAnsi="arial" w:cs="arial"/>
          <w:i/>
          <w:color w:val="000000"/>
          <w:sz w:val="20"/>
          <w:lang w:val="en-US" w:eastAsia="en-US" w:bidi="ar-SA"/>
        </w:rPr>
        <w:t>cf. Brethour v. Law Society of B.C.</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[1951] 2 D.L.R. 138</w:t>
        </w:r>
      </w:hyperlink>
      <w:r>
        <w:rPr>
          <w:rFonts w:ascii="arial" w:eastAsia="arial" w:hAnsi="arial" w:cs="arial"/>
          <w:color w:val="000000"/>
          <w:sz w:val="20"/>
          <w:lang w:val="en-US" w:eastAsia="en-US" w:bidi="ar-SA"/>
        </w:rPr>
        <w:t xml:space="preserve"> at pp. 141-2.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Brethour v. Law Society of British Columbia</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[1951] 2 D.L.R. 138</w:t>
        </w:r>
      </w:hyperlink>
      <w:r>
        <w:rPr>
          <w:rFonts w:ascii="arial" w:eastAsia="arial" w:hAnsi="arial" w:cs="arial"/>
          <w:color w:val="000000"/>
          <w:sz w:val="20"/>
          <w:lang w:val="en-US" w:eastAsia="en-US" w:bidi="ar-SA"/>
        </w:rPr>
        <w:t xml:space="preserve"> (B.C.C.A.), O'Halloran J.A. said at 141-142: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must reasonably be subjected to an examination of the consistency of their stories with the probabilities that surround the currently existing conditions. In short, the real test of the truth of a story of a witness in such a case must be its harmony with the preponderance of the probabilities which a practical and informed person would readily recognize as reasonable in that place and under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Stripped to its essentials, Ms. Tran says that when she went to Secret Nail on the morning of September 9, 2003, she took a shopping basket and gathered a number of items she wanted to buy. Ms. Tran was familiar with the store and its counter having shopped there for supplies regularly. She took the shopping basket and put it on the floor by the sales counter. Then she collected a gallon jug of acetone from a shelf in the store, took it to the sales counter and placed it on the middle of the counter, as she was directed to do by Ms. Linh Nguyen. At this point, Ms. Linh Nguyen, who was serving behind the counter and was standing directly opposite Ms. Tran, turned around and took a cardboard box off the shelf behind her. According to Ms. Tran, Ms. Nguyen had to reach up to shoulder height to take the box. She says Ms. Nguyen was attempting to interest her in buying a steriliser contained in the box. Ms. Nguyen then turned again and heaved the box onto the counter, thereby knocking the acetone jug off the counter, onto the floor immediately in the vicinity of Ms. 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Ms. Tran, everything happened quickly. In reaction, Ms. Tran turned to her right away from the falling bottle. As she did so, she saw the acetone bottle bouncing away from her, leaking its contents. Her right foot went out from underneath her and she fell down on her right buttock, under a table and into the pool of acetone on the floor. As she fell, she also struck her elbow. When she got up, her elbow and the right jean leg were wet from the acetone. The acetone had also damaged one of her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Ms. Tran had some difficulty using English to describe the events in words, on several occasions she re-enacted Ms. Nguyen's movements in turning to take the cardboard box off the shelf and heave it onto the countertop. She also re-enacted her own movements in turning, slipping and falling. Her re-enactments graphically displayed how she says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of both Ms. Linh Nguyen and Ms. Thuy Nguyen contradicts Ms. Tran's evidence that Ms. Nguyen dislodged the bottle by displacing it with a box. Ms. Linh Nguyen says she was checking Ms. Tran's purchases at the computer when she heard a noise. She looked and saw Ms. Tran pursuing the rolling acetone jug in an apparent effort to retrieve it. She then saw her slip and fall as she leant forward to reach for it. Ms. Thuy Nguyen testified that she saw the bottle fall, but did not see what caused the fall. She too saw Ms. Tran scurry after the bottle and fall as she tried to retrieve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Tran says that the account given by the two witnesses who "observed" the event cannot be true. It cannot be true because the layout of the store compels the conclusion that there was not enough space for Ms. Tran to set off running in pursuit of a rolling jug of acetone. Moreover, the store layout, and in particular the height of the counter, prevented either Ms. Linh Nguyen or Ms. Thuy Nguyen from seeing the bottle rolling on the floor or Ms. Tran's feet as she allegedly ran after the bottle. The counter would, so the argument goes, necessarily have blocked their view. Their evidence on these points must be rejected, and with it, the implication that Ms. Linh Nguyen did not knock the bottle off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does not follow if I rejected the defence account of Ms. Tran pursuing the jug and falling as a result, that I must find that Ms. Linh Nguyen dislodged the jug as Ms. Tran insists she did. I can accept part or all of a witness's testimony. I take it, therefore, that the argument put to me is that if I do reject the defence evidence of the pursuit and fall, I should conclude that the witnesses' evidence is so unreliable on this key point that I should reject it on the question of how the jug fell in favour of Ms. Tran's more plausible account. Alternatively, I should conclude that the evidence has been fabricated and reject it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then to consider whether the layout and "geometry" of the store assist in concluding that the defence evidence is, at the very least, unreliable. This evidence is also important to the argument Ms. Tran advances that Secret Nail breached its duties to her in using the counter when selling her the jug of acetone.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assessing the witnesses' evidence, it is important to bear in mind several considerations. This accident occurred in 2003. Since that time Secret Nail has moved, but in any event the counter in use in 2003 was replaced shortly after the accident. The interior of the shop was also modified. There are no recorded dimensions of any of the objects in the shop and no contemporary plan of the layout as it existed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accident happened it appeared to all to be a minor incident. Ms. Tran's clothes were wet, but she did not appear to be injured. Mr. Le, who was managing the shop and was there at the time, did ask his staff what had happened, but understandably he did not prepare an incident report. It is not clear when Secret Nail first learnt that the accident had caused more serious injuries than anyone had anticipated. Given that the counter was replaced shortly after the accident and, certainly, before Ms. Tran returned to the shop to take photographs of the Secret Nail's interior, I am satisfied that the counter was not available to be inspected when a claim was first advanced. All of the witnesses are, therefore, in the difficult position of trying to estimate dimensions and the locations of furnishings some eight years after the accident. It would be unreasonable to expect precise or entirely reliable estimates. One must, therefore, do the best one can to get a reasonable sense of size and location. It is important also to remember that, at best, one can expect only to recreate an approximate sense of the layout of the store and the space between objects. I must be cautious in drawing conclusions based on estimates that are sometimes little more than guesses or may otherwise be unreliable. This is particularly so when I am being asked to reject a witness' evidence of what they recall seeing based on an argument that they must be wrong because, for example, their view was blocked. The difficulty is that the conclusion that their view was blocked depends on what may be unreliable estimates of the height and place of objects in their field of vision. It may well be that the more reliable evidence is what they remember seeing, not the estimates of the size and location of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September 2003, a customer entered the store through a door that was recessed into the shop. On entering the store an L-shaped counter stood to the right. The L-shaped counter was described by Ms. Tran as being about 8 feet long. Its long side ran from near the front of the store towards the back. The short side of the L ran about 4 feet parallel to the front of the store in the direction of the right wall as one entered the store. The end of the short side of the L faced the right wall near the display window. Ms. Tran was the only witness to estimate the length of the counter at 8 feet. It is necessary to treat that estimate with some caution given the difficulty she and all the witnesses had with their estimates. I am not persuaded that the counter was as short as 8 feet. It may easily have been 10 to 12 feet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only evidence on its location was that the L-shaped counter sat several feet inside the store. In other words, the short side of the L did not abut the display window. I find this to be a fact. It is more probable than not that there was a gap of at least 4 feet between the counter and the display window. The gap may well have been more, but this would line up the edge of the counter with the doorway.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conflicting evidence about the dimensions of the L-shaped counter. Estimates of its height varied. Witnesses demonstrated how high the counter was by reference to their bodies. More than one witness said the counter was about chest height. Several witnesses used a tape measure against their bodies in an effort to show the counter's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whole, the discrepancies in the height estimates were not very significant. Most put the counter height somewhere between 40 to 44 inches. I find the counter was 42 inches. I do not think any of the other findings of fact I will make in this judgment would be any different if the counter was 40 or 44 inches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weight of the evidence suggests the sales counter doubled as a display case. The top of the counter was most probably made of glass, and I so find, although one witness said it was made of laminate.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also clear that the top of the counter was relatively narrow. Ms. Tran estimated it was about 12 inches wide. She, like other witnesses, used her hands to estimate its width and then the estimate was measured with a measuring tape. Ms. Thuy Nguyen also estimated it at 12 inches in a statement she gave in 2005. In the courtroom, she estimated the width at close to 16 inches. Other witnesses gave estimates of up to close to 2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variation in the estimates of the width of the counter is hardly surprising given the length of time since it was last seen by any of the witnesses. It is difficult to be confident about the accuracy of the estimates, although most of the estimates clustered around about 16 inches. What is helpful in getting a sense of the probable width of the counter is that a computer monitor sat on its top. The evidence was that the computer monitor was an old fashioned, bulky monitor that stood on a base. Mr. Le suggested that the monitor did overhang the counter top to some degree. It is more probable than not, and I so find, that the keyboard for the computer sat on a ledge just below the computer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think it realistic that a countertop only 12 inches wide would accommodate the computer monitor with only a slight overhang. In my view, it is probable that the countertop was at least 16 inches wide and more likely about 18 inches. Assessing the evidence, I find as a fact that the countertop was about 18 inches wide. Given that a keyboard sat on a lower ledge, the total width of the counter must have been wider than 18 inches. To allow for the keyboard, I estimate it to be between 2 and 3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also, that the computer was placed in the middle of the long side of the L-shaped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was shelving on the wall behind the counter. According to Ms. Tran, the box that Ms. Linh Nguyen placed on the counter was sitting on one of those shelves at about shoulder height. The shelving arrangement was said to be similar to shelving shown in a photograph taken sometime later, after the store had been renovated. The shelving shown in the photograph appears to be at most 12 inches deep. The shelving stands on a wider cupboard that might be about 24 inches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table stood at some point opposite the L-shaped counter. How big it was and where exactly it stood was not well-established in the evidence. Ms. Tran, who was the only witness to estimate the size of the table, said it measured six by three feet. But again, that is only an estimate and may not be reliable. It stood in front of the door through which customers entered the store, although it is not clear how deep it stood within the store. When a customer stood facing the sales counter, the table would be somewhere behind them, standing against or near a short wall on the left side of the store. I doubt the table was located where it would obstruct the entrance to the store. I find that the table was set against or very close to the wall opposite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One of the few ways to attempt to derive the distances in the layout of the store is by looking at the tiles shown on the floor in the photographs taken by Ms. Tran some time after the accident. The evidence suggests that those tiles were the same size as those that existed at the time of the accident. Those tiles were one foot square. That allows some sense to be developed of the amount of space within the store and what could happen within that space and what could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Those dimensions suggest the following. The width of the store from the right wall to the short middle wall was about 18 feet wide. Allowing 2 to 3 feet for the cupboard on the right wall, 3 feet for sales staff between the cupboard and the counter, a total counter width of 2 to 3 feet and 3 feet for the table, there remained something in the order of 6 to 8 feet of space between the counter and the table for customers to walk past the sales counter and to be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My attention was also drawn to photographs showing the layout at the back of the store. A display case stood in the middle of the back of the store, apparently in the place it stood in 2003. It was one of at least three cases ranged across the back of the store. The middle case stood further forward than the case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Counting the tiles, it is clear that there was sufficient space in the store for the far end of the L-shaped counter to stand about 12 feet into the store, measured from the doorway. The evidence does not, however, clearly establish how far the counter sat into the store or its exact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only allows rough estimates of the dimensions and locations of the objects in the store. By my estimates, which are derived from snippets of evidence and an examination of the photographs, the middle of the counter could have been anywhere from about 4 to 6 feet from the door. If Ms. Tran was standing roughly at the mid-point of the counter or just to the entrance side of the counter, she would have been about 3 to 5 feet from the door. These measurements should not be taken to imply a precision, which in the circumstances I view to be unattainable.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it is more probable than not that someone standing at or near the cash register would be standing more than 3 or 4 feet from the doorway. Placing the cash register so close to the door would inevitably clog the doorway and impede access to the store. It is more probable that the cash register would be more deeply recessed into the store. If Ms. Tran had been standing so close to the door when she was paying for her purchases, I would have expected her to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gone into some detail to examine what one can conclude about the store layout because the argument that Ms. Tran advanced that the defendants' evidence must be inaccurate or false turns critically on whether, given the store's layout, it is impossible for them to have seen what they said they saw and for Ms. Tran to have acted in the way they said she did. Most particularly, Ms. Tran argued that there was no space in the store for her to "run" or "scurry" after a bottle rolling on the floor. It was impossible for the witnesses to see her feet when they were standing behind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the description offered by both defence witnesses of what they saw Ms. Tran do, is something they could reasonably have observed given the dimensions and layout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Tran acknowledges seeing the jug bouncing and rolling away from her. As I understood the evidence, the jug was bouncing in the direction of the door and under the table. There must have been several feet available for the jug to bounce and roll. Ms. Tran did not suggest that the jug rolled out of the doorway. I have already concluded that there must have been something in the order of 6 to 8 feet between the counter and the table. Ms. Tran would have been able to take several short steps across that space. I am satisfied that there must also have been several feet of space in the direction of the door in which she could move. Ms. Tran had ample room to take two or three short steps or, likely, more. In the space of 6 or 8 feet she could easily have given the impression of scurrying or running after the bottle. The jug could readily have rolled 6 or 8 feet and rolled under the table. If this happened, Ms. Tran could easily have stepped into the acetone that had been spilling out of the jug. Ms. Tran agrees that the bottle went "bump, bump, bump", away from her. Taking at least a step or two, and perhaps three or four, to reach for the jug would be a natural reaction, but more importantly, for current purposes, I find there was sufficient space in the shop for Ms. Tran to take those steps, slip and fall. There was nothing about the layout of the store that would prevent Ms. Linh Nguyen or Ms. Thuy Nguyen from observing Ms. Tran's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it was not impossible for either Ms. Linh Nguyen or Ms. Thuy Nguyen to see the bottle on the floor or Ms. Tran's feet as she moved. Ms. Tran's theory is that the counter was too high for either witness to be able to see the floor area where the jug was rolling or her feet moving. I disagree. Ms. Linh Nguyen stands about five foot four inches and Ms. Thuy Nguyen about five feet two inches. Obviously, there would be a blind spot on the far side of the counter, but the size of that blind spot was not established in the evidence. Common sense suggests that someone could reduce and practically eliminate the blind spot simply by leaning forward and looking over the counter. Nothing in the evidence of Ms. Linh Nguyen or Ms. Thuy Nguyen supports an argument that they had so positioned themselves behind the counter to prevent them seeing a substantial part of the floor between the counter and the table. I am not persuaded that given the dimensions I have laid out it was impossible for either witness to see what they say in their evidence they saw. To the contrary, I find that they could have been able to see what they said they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conclusion, I dismiss the argument that the evidence of both Ms. Linh Nguyen and Ms. Thuy Nguyen must be rejected because it cannot possibly be true. I have not been persuaded by Ms. Tran that the dimensions and placement of objects in the store made it impossible for the defence witnesses to have seen what they testified they saw. Of course, this conclusion simply establishes that their evidence does not have to be rejected as impossible. It does not mean that I have to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Ms. Tran bears the persuasive onus to establish that the physical dimensions and layout of the store rule out the possibility that the evidence of the defendants could be true. This has not been established to my satisfaction. Furthermore, although both Ms. Linh Nguyen and Ms. Thuy Nguyen were challenged on whether they could see what they said they saw, Ms. Tran developed insufficient evidence of the size and location of objects within the store to establish that their evidence could not be true. For example, there was no clear evidence of how deeply recessed the L-shaped counter was into the store. Yet this, and some persuasive evidence about its length, would be necessary to establish her theory that there was no room for her to run or scurry after the bottle. Similarly, insufficient evidence was led to establish that the sightlines from behind the counter ruled out the defendants' evidence. Ms. Tran developed insufficient evidence of the space between the counter and the table for me to reliably reach a conclusion that someone standing behind the counter could not see a large part of the floor area between the counter and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necessary, therefore, to analyze the evidence to find the facts about what happened that day on the assumption that Ms. Linh Nguyen's and Ms. Thuy Nguyen's evidence could be true. For the reasons that follow, I have concluded that I cannot accept Ms. Tran's version of how the bottle of acetone came to fall from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Tran says that after she placed the bottle of acetone on the middle of the counter, Ms. Linh Nguyen turned around and reached up to take a cardboard box off the shelf behind the counter. The cardboard box apparently contained a sterilizer that Ms. Linh Nguyen wanted to show Ms. Tran. A number of witnesses testified that large items such as the sterilizer were kept at the back of the store and not at the front. I accept that evidence. In particular, the display areas at the front of the store and the shelving behind the counter were used to display small items for sale. That is a more logical use of the space than cluttering it up with cardboard boxes. The photograph of shelving similar to that behind the counter in 2003, also suggests that the shelving is not suitable to hold larger cardboard boxes of the size this box was estimated to be. I find that there was no cardboard box stored on the shelf behind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Linh Nguyen's evidence was that at the time the acetone bottle fell off the counter, she was using the computer to process Ms. Tran's purchases. In the circumstances, the evidence that she was ringing in the purchases is eminently plausible. She was not asked in cross-examination whether she had turned to take a cardboard box from the shelving. Given the importance of this point to Ms. Tran's case, Ms. Nguyen's evidence on this point should have been tested. The only cross-examination on whether Ms. Tran was being shown a box was to the effect that it was possible that someone else might have been showing her a box. That is not an admission either that she had taken a box and put it on the counter or that anyone else had. It represents nothing more than the witness' unwillingness to rule out a possibility, not positive evidence that the event occurred. It was certainly not an effort to deflect responsibility to someone else, as was suggested in argument. In the absence of cross-examination on the point and in the circumstances of this case, I am loath to find a fact adverse to Ms. Nguyen on such a central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of Ms. Linh Nguyen is broadly corroborated by the evidence of Ms. Thuy Nguyen. Ms. Thuy Nguyen recalled seeing the acetone bottle on the counter. She said that Ms. Linh Nguyen was standing at the counter, close to the computer, cashing or calculating the purchases. In her examination in chief, she said that she saw the bottle fall, but could not remember what caused it to fall. She said that she did not remember whether a cardboard box was behind the counter, but she did note that the sterilisers were kept in the machine area at the back of the store. Ms. Thuy Nguyen's evidence is inconsistent with the proposition that Ms. Linh Nguyen knocked the acetone off the counter by placing a cardboard box on it. Ms. Linh Nguyen was working at the computer at the critical moment. If a box knocked the bottle off the counter, Ms. Thuy Nguyen would have seen and remembered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not demonstrated that Ms. Thuy Nguyen had any interest in concocting the evidence of what she saw or any interest in supporting the defendants' case. Her credibility was attacked by Ms. Tran who said that she could not have seen what she reported and her evidence at trial was inconsistent with an earlier statement given to Ms. Tran's counsel. I have already dealt with the first point. Turning to the alleged inconsistency in her evidence, at most there were minor discrepancies between a statement she gave in 2005 and her evidence at trial. Those discrepancies, to the extent they were material, related to whether she had seen the bottle fall. The general thrust of her evidence was not undermined. She was not demonstrated to lack credibility. I am satisfied that Ms. Thuy Nguyen was an independent witness who was in a position to observe the event and gave her evidence honestly to the best of her recollection. Even if I accept that Ms. Thuy Nguyen did not see the bottle fall or what caused it to fall, her evidence is inconsistent with the bottle falling because Ms. Linh Nguyen knocked it off with a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Ms. Nguyens gave evidence that when the bottle fell Ms. Tran pursued it, or ran or scurried after it before slipping and falling. I do not regard Ms. Thuy Nguyen's witness statement in which she did not refer to Ms. Tran pursuing the bottle to be inconsistent with her evidence at trial. Her evidence at trial was more complete than her statement, and her evidence of seeing Ms. Tran pursuing the bottle supplements her statement and does not contradict it. Only Ms. Tran's evidence casts doubt on the account of how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Tran's evidence was internally consistent. There are, however, a number of problems with her evidence. Shortly after the accident, she described what had happened to two of her treating medical professionals. Dr. Chang's medical records record Ms. Tran saying that she "reached over to pick something. R[ight] foot slipped forward + fell onto R[ight] buttock". Ms. Flora Lee's records record the following: "P[atien]t bent down + slipped + landed on R[ight] buttock +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Neither of these descriptions is consistent with how Ms. Tran described the accident occurring. Indeed, in cross-examination she disputed those descriptions as an accurate account of what happened. Specifically, Ms. Tran denies reaching over to pick anything up or bending down. Her evidence is that she turned away when the bottle fell and slipped when her right foot went out from underneath her. Although these descriptions of the accident do not refer to her running after the acetone bottle, they are more consistent with a description of her attempting to recover the bottle than simply turning and slipping. They are more consistent with the defendants' case than with Ms. Tran's.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Chang gave evidence. She testified to the effect that her practice is to write notes of what patients tell her as they speak. She could recall Ms. Tran telling her the story and said that the record reflects what Ms. Tran had said. However, she acknowledged in cross-examination that the entry was made a long time ago and that she was unsure if Ms. Tran said that she was reaching or planning to reach for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Tran acknowledged that she had told Dr. Chang about what happened when she fell, but that she could not remember what she said and that she did not think she had said she had been reaching to pick up something. She could not remember saying that. She did remember telling Dr. Chang that she had slipped and fallen, but did not remember what else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Flora Lee also gave evidence. She had no current memory of the note in the records, but did say that the information came from the patient and that she recorded such information as accurately as possible. She agreed that the information had been given to her in Cantonese and then translated into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Tran acknowledged that she did tell Flora Lee about the accident and did tell her that she had landed on her right buttock. She disputed, however, that she had told Ms. Flora Lee that she had bent down and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Care needs to be taken in assessing the evidentiary significance of statements by a party recorded in clinical records. The reasons for being cautious in attaching too much weight to these statements are canvassed thoroughly by Mr. Justice N. Smith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Such statements may be treated as admissions against a party. But often what is recorded is synoptic, a paraphrase, incomplete and unqualified.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Bearing those cautions in mind, I am satisfied and find that Ms. Tran did describe the accident in terms broadly consistent with what is recorded. The two records are consistent with each other. In the one, Ms. Tran is recorded as saying that she bent down and slipped and in the other that she was reaching over to pick something. Both records describe essentially similar actions. They are couched in terms that are consistent with attempting to retrieve an object. They do not describe simply turning away and slipping.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Both statements were made very shortly after the accident, before it was apparent that Ms. Tran had seriously injured her back and before there could have been any consideration that they may be used in litigation. At that time, Ms. Tran likely did not have any reason or incentive to provide anything other than an accurate description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admittedly brief and cursory description of the accident found in both sets of medical records is more consistent with the defendants' witnesses who in various ways described Ms. Tran as taking off after the rolling bottle of acetone in an effort to retrieve it, than the account of the accident given by Ms. Tran. Whether I regard Ms. Tran's descriptions as admissions that are inconsistent with her evidence at trial or simply prior statements that give rise to an issue of credibility, the effect is to undermine my confidence that Ms. Tran gave me an accurate account of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note as well, that Ms. Tran has an interest in giving a wholly exculpatory account of how she slipped and fell. If Ms. Tran slipped because she pursued the rolling bottle and thereby stepped into the acetone, it is probable that an argument would be mounted that she caused her own injury, or at least contributed to it, by choosing to step into a slippery substance when she knew or ought to have known that it was risky to do so. The defendants did argue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I raise this issue because I have concluded that Ms. Tran is willing to be untruthful to further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My confidence in Ms. Tran's credibility is undermined by the fact that she has, on at least two occasions, admittedly not told the truth. In her tax return for 2003, Ms. Tran knowingly understated her income by a very substantial amount. Although she proffered an explanation for doing so, the fact remains that she lied about her income. It seems to me also to be likely that Ms. Tran did not declare income she received from part-time work before the accident. Ms. Tran also lied about her income in her examination for discovery. In substance, she said that the income tax statement from 2003 was accurate when, subsequently, she was forced to acknowledge that it was not. She said that she lied then because she was frightened to admit the truth, having lied about her income in the past. I did not find this explanation persuasive. Ms. Tran must have understood the importance of telling the truth on her examination for discovery, but did not do so. Ms. Tran is someone who has demonstrated that she is prepared to lie, even under oath, when it is to her advantage to do so. That being so, I am unable to give weight to her account of how the accident occurred except to the extent that it is corroborated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I find the defendants' description of how the fall occurred more accurate than Ms. Tran's. The defendants describe Ms. Tran moving forward and stepping into the spilling liquid. This describes a readily comprehensible reason for her to fall. Ms. Tran says, on the other hand, that she turned away to her right as the bottle fell. In my view, this movement would take her right foot away from the bottle when it landed. Ms. Tran did not describe anything other than that one movement before she lost her footing. She described the bottle rolling away from her, spilling its contents as it rolled. It does not appear to me likely that in these circumstances Ms. Tran would have been standing in acetone.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Ms. Linh Nguyen did not knock the acetone bottle off the counter with a cardboard box. I do not think it likely that there was a cardboard box at the counter when Ms. Tran's purchases were being processed. There is no evidence that any other employee of Secret Nail knocked the bottle off the counter. I find that Ms. Linh Nguyen was standing at the computer terminal ringing in Ms Tran's purchases when the bottle fell. It has not been demonstrated by Ms. Tran that Ms. Linh Nguyen caused the bottle to fall. Given that I have rejected Ms. Tran's claim that Ms. Linh Nguyen knocked the bottle off the counter, there is no other directly probative evidence explaining why the bottle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Tran says that she put the acetone bottle in the middle of the counter. Given my concerns about her credibility, I am not persuaded that she did so. A plausible explanation for the bottle falling is that Ms. Tran did not put the bottle safely on the middle of the counter, but put it near the edge where she nudged it off. This explanation is more likely than any other explanation involving any actions by any sales staff at Secret 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gallon jug of acetone is a relatively large and heavy item. If it were placed securely in the middle of an 18 inch counter it would not be easily dislodged. It would be stable standing on the counter. It would require some significant amount of force to dislodge it. It would not be moved by something as simple as shifting small light items on the counter. Examining a jug said to be similar to the one in the incident, it is obvious that it would not easily topple over. Toppling it would also require that some significant force would need to be imparted near to the top of the bottle. I am satisfied that the amount of force needed to knock the bottle off the counter if it were placed securely on it, or to topple it over, would be an amount of force that the person applying it would register. A fall would not occur without the person who caused it noticing that they had done something that caused the fall to happen. I find that no employee at Secret Nail caused the bottle to fall off the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Tran has not discharged her burden to prove that an employee of Secret Nail caused the bottle to fall. It is, in my view, more probable than not that Ms. Tran caused the bottle to fall, likely by failing to place the bottle securely on the counter and then knocking it off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accept that after the bottle fell, it bumped and rolled along the ground spilling its contents as it did so. I find that Ms. Tran did make an effort to retrieve the bottle and that in doing so she stepped into the pool of acetone, slipping and falling as a result. I reject her evidence that she simply turned in reaction to the falling bottle and then lost her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Before leaving this part of the case, I should say that I found Ms. Linh Nguyen to be a forthright and straightforward witness. She did not embroider her evidence with details that would have cast responsibility for the accident directly on Ms. Tran. She made appropriate concessions to her lack of memory of details. Ms. Tran suggested that Ms. Linh Nguyen had made admissions that someone other than Ms. Tran had knocked the jug off the counter and that someone may have been showing her a box. I do not read Ms. Nguyen's evidence in the way counsel urged me to. In my view, she was doing nothing more than speculating or refusing to rule out possibilities, not admitting to specific facts. The admonition of McEachern C.J.S.C., as he then was,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247 (S.C.), aff'd </w:t>
      </w:r>
      <w:hyperlink r:id="rId627"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(C.A.), referring to differences between the evidence of a party at trial and what was said by that party on examination for discovery, is also worth repeating: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say that I place absolutely no reliance upon the minor variations between the defendant's discovery and his evidence. Lawyers tend to pounce upon these semantical differences but their usefulness is limited because witnesses seldom speak with much precision at discovery, and they are understandably surprised when they find lawyers placing so much stress on precise words spoken on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Accordingly, I reject this basis on which Ms. Tran says that the defendants are liable to her. But Ms. Tran also says that it does not matter how the bottle fell and even whether she caused it to fall, because Secret Nail is liable to her in any event. I therefore turn to consider whether, nonetheless, Secret Nail is liable to Ms. Tran because it used a counter to sell acetone that was unreasonably unsafe and because it failed adequately to train its staff about handling acetone at the point-of-sale.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 Secret Nail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under the </w:t>
      </w:r>
      <w:r>
        <w:rPr>
          <w:rFonts w:ascii="arial" w:eastAsia="arial" w:hAnsi="arial" w:cs="arial"/>
          <w:b/>
          <w:i/>
          <w:color w:val="000000"/>
          <w:sz w:val="20"/>
          <w:lang w:val="en-US" w:eastAsia="en-US" w:bidi="ar-SA"/>
        </w:rPr>
        <w:t>Occupiers Liability 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Ms. Tran's position is that Secret Nail is liable to her even if she were the one who knocked the bottle of acetone off the counter. The first argument is that the counter was too high and too narrow to be used as the point-of-sale counter for acetone. The second argument is that Secret Nail failed to implement a reasonable scheme for the safe handling of acetone. If the staff had been properly aware of the risks associated with using such a high and narrow counter for selling acetone, they would have placed the jug on the floor and not placed it on the counter where it was at risk of falling. She argues that Secret Nail is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At this point, it is helpful to set out the law of occupiers' liability in somewhat greater detail than hitherto to provide a framework for this analysis. Secret Nail's standard of care is governed by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(1) An occupier of premises owes </w:t>
      </w:r>
      <w:r>
        <w:rPr>
          <w:rFonts w:ascii="arial" w:eastAsia="arial" w:hAnsi="arial" w:cs="arial"/>
          <w:b/>
          <w:color w:val="000000"/>
          <w:sz w:val="20"/>
          <w:lang w:val="en-US" w:eastAsia="en-US" w:bidi="ar-SA"/>
        </w:rPr>
        <w:t>a duty to take that care that in all the circumstances of the case is reasonable</w:t>
      </w:r>
      <w:r>
        <w:rPr>
          <w:rFonts w:ascii="arial" w:eastAsia="arial" w:hAnsi="arial" w:cs="arial"/>
          <w:color w:val="000000"/>
          <w:sz w:val="20"/>
          <w:lang w:val="en-US" w:eastAsia="en-US" w:bidi="ar-SA"/>
        </w:rPr>
        <w:t xml:space="preserve"> to see that a person, and the person's property, on the premises, and property on the premises of a person, whether or not that person personally enters on the premises, will be </w:t>
      </w:r>
      <w:r>
        <w:rPr>
          <w:rFonts w:ascii="arial" w:eastAsia="arial" w:hAnsi="arial" w:cs="arial"/>
          <w:b/>
          <w:color w:val="000000"/>
          <w:sz w:val="20"/>
          <w:lang w:val="en-US" w:eastAsia="en-US" w:bidi="ar-SA"/>
        </w:rPr>
        <w:t>reasonably safe</w:t>
      </w:r>
      <w:r>
        <w:rPr>
          <w:rFonts w:ascii="arial" w:eastAsia="arial" w:hAnsi="arial" w:cs="arial"/>
          <w:color w:val="000000"/>
          <w:sz w:val="20"/>
          <w:lang w:val="en-US" w:eastAsia="en-US" w:bidi="ar-SA"/>
        </w:rPr>
        <w:t xml:space="preserv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Madam Justice Ross put it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at paras. 25-27: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standard expected of an occupier is one of reasonableness, not perfection.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6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owed by an occupier of premises is to take reasonable care to see that persons using the premises will be reasonably safe. </w:t>
      </w:r>
      <w:r>
        <w:rPr>
          <w:rFonts w:ascii="arial" w:eastAsia="arial" w:hAnsi="arial" w:cs="arial"/>
          <w:b/>
          <w:color w:val="000000"/>
          <w:sz w:val="20"/>
          <w:lang w:val="en-US" w:eastAsia="en-US" w:bidi="ar-SA"/>
        </w:rPr>
        <w:t>The Acts do not impose a duty to take reasonable care to insure that persons using the premises will be 'absolutely safe'</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Hagerman v. Niag[a]ra Falls</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Case law holds that "an occupier is not an insurer". </w:t>
      </w:r>
      <w:r>
        <w:rPr>
          <w:rFonts w:ascii="arial" w:eastAsia="arial" w:hAnsi="arial" w:cs="arial"/>
          <w:i/>
          <w:color w:val="000000"/>
          <w:sz w:val="20"/>
          <w:lang w:val="en-US" w:eastAsia="en-US" w:bidi="ar-SA"/>
        </w:rPr>
        <w:t>Lamont v. Westfair Properties (Pacific Ltd.) et al.</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it is the case that the occupier is not an insurer and that the standard is not one of perfection,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place an affirmative duty on the occupier to make the premises reasonably safe. See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general principles of occupier's liability were also summarized by Preston J.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at para. 21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applying the duty imposed by the [</w:t>
      </w:r>
      <w:r>
        <w:rPr>
          <w:rFonts w:ascii="arial" w:eastAsia="arial" w:hAnsi="arial" w:cs="arial"/>
          <w:i/>
          <w:color w:val="000000"/>
          <w:sz w:val="20"/>
          <w:lang w:val="en-US" w:eastAsia="en-US" w:bidi="ar-SA"/>
        </w:rPr>
        <w:t>Occupiers Liability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facts of an individual case there are a number of propositions of law that are well established by the jurisprudence.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imposed by the [</w:t>
      </w:r>
      <w:r>
        <w:rPr>
          <w:rFonts w:ascii="arial" w:eastAsia="arial" w:hAnsi="arial" w:cs="arial"/>
          <w:i/>
          <w:color w:val="000000"/>
          <w:sz w:val="20"/>
          <w:lang w:val="en-US" w:eastAsia="en-US" w:bidi="ar-SA"/>
        </w:rPr>
        <w:t>Occupiers Liability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 (</w:t>
      </w:r>
      <w:r>
        <w:rPr>
          <w:rFonts w:ascii="arial" w:eastAsia="arial" w:hAnsi="arial" w:cs="arial"/>
          <w:i/>
          <w:color w:val="000000"/>
          <w:sz w:val="20"/>
          <w:lang w:val="en-US" w:eastAsia="en-US" w:bidi="ar-SA"/>
        </w:rPr>
        <w:t>Gerak v. British Columbia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 (</w:t>
      </w:r>
      <w:r>
        <w:rPr>
          <w:rFonts w:ascii="arial" w:eastAsia="arial" w:hAnsi="arial" w:cs="arial"/>
          <w:i/>
          <w:color w:val="000000"/>
          <w:sz w:val="20"/>
          <w:lang w:val="en-US" w:eastAsia="en-US" w:bidi="ar-SA"/>
        </w:rPr>
        <w:t>Cropley v. Daishinpan (Canada) Ltd.,</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xml:space="preserve"> para. 22).</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 (</w:t>
      </w:r>
      <w:r>
        <w:rPr>
          <w:rFonts w:ascii="arial" w:eastAsia="arial" w:hAnsi="arial" w:cs="arial"/>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 (</w:t>
      </w:r>
      <w:r>
        <w:rPr>
          <w:rFonts w:ascii="arial" w:eastAsia="arial" w:hAnsi="arial" w:cs="arial"/>
          <w:i/>
          <w:color w:val="000000"/>
          <w:sz w:val="20"/>
          <w:lang w:val="en-US" w:eastAsia="en-US" w:bidi="ar-SA"/>
        </w:rPr>
        <w:t>Leduc v. Goodwill Investments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[1997] B.C.J. No. 1709</w:t>
        </w:r>
      </w:hyperlink>
      <w:r>
        <w:rPr>
          <w:rFonts w:ascii="arial" w:eastAsia="arial" w:hAnsi="arial" w:cs="arial"/>
          <w:color w:val="000000"/>
          <w:sz w:val="20"/>
          <w:lang w:val="en-US" w:eastAsia="en-US" w:bidi="ar-SA"/>
        </w:rPr>
        <w:t xml:space="preserve"> (S.C.)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also clear that to comply with its duty, an occupier is required to take reasonable steps to remedy any unsafe condition that would be seen by a person applying his or her mind to the relevant risks associated with the use of the premises. An occupier is not absolved of liability because a risk has not yet materialised: </w:t>
      </w:r>
      <w:r>
        <w:rPr>
          <w:rFonts w:ascii="arial" w:eastAsia="arial" w:hAnsi="arial" w:cs="arial"/>
          <w:i/>
          <w:color w:val="000000"/>
          <w:sz w:val="20"/>
          <w:lang w:val="en-US" w:eastAsia="en-US" w:bidi="ar-SA"/>
        </w:rPr>
        <w:t>Niblock v. Pacific National Exhibition and City of Vancouver</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(1981), 30 B.C.L.R. 20</w:t>
        </w:r>
      </w:hyperlink>
      <w:r>
        <w:rPr>
          <w:rFonts w:ascii="arial" w:eastAsia="arial" w:hAnsi="arial" w:cs="arial"/>
          <w:color w:val="000000"/>
          <w:sz w:val="20"/>
          <w:lang w:val="en-US" w:eastAsia="en-US" w:bidi="ar-SA"/>
        </w:rPr>
        <w:t xml:space="preserve"> at 27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elements for establishing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well known.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that: the defendant owed her a duty of care; the defendant's action breached the standard of care; the plaintiff sustained a loss; and the defendant's breach caused, in fact and in law,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Secret Nail concedes that they owed Ms. Tran a duty of care. However, they maintain that Ms. Tran's claim fails under the second element, breach of the standard of care. The standard is one of the reasonable person, or in this case, the reasonable business. What is "reasonable" was outlined by Martinson J. in </w:t>
      </w:r>
      <w:r>
        <w:rPr>
          <w:rFonts w:ascii="arial" w:eastAsia="arial" w:hAnsi="arial" w:cs="arial"/>
          <w:i/>
          <w:color w:val="000000"/>
          <w:sz w:val="20"/>
          <w:lang w:val="en-US" w:eastAsia="en-US" w:bidi="ar-SA"/>
        </w:rPr>
        <w:t>Wilde v. The Cambie Malone Corporation,</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this case, Ms. Wilde has plead in the alternative, that Malones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conduct is defined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Even if the plaintiff can satisfy the court that the defendant breached the standard of care, she still must prove that her damages were caused by the defendant. The correct test for determining causation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The plaintiff must prove that ""but for" the negligent act or omission of each defendant, the injury would not have occurred":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Tran bears the onus of demonstrating that Secret Nail breached its duty to her and that breach caused her injury. In my view, Ms. Tran has failed to discharge her onus. Ms. Tran's argument holds Secret Nail to a standard of perfection or treats it like it is an insurer. The defendant cannot be held to a standard of providing absolute safety for any one on the premises. The standard it is held to,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one of reasonableness. I cannot find that Ms. Tran has proven that the type of counter Secret Nail used in the course of business or its handling practices for acetone were either unreasonably unsafe or fell below the standard of care of a reasonable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Tran has not demonstrated that the use of the counter breached the standard of care owed to her as a customer buying acetone at Secret Nail. Nor has she demonstrated that it was objectively unreasonable to use the counter in the way it was used. I reach this conclusion fully aware that the standard of care for selling a hazardous liquid is heightened.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Furthermore, Ms. Tran has not demonstrated that any breach of the standard, related to the use of the counter, caused the accident. In other words, she has not proven that "but for" the breach, the jug of acetone would not have failed and spilled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support of her argument that the type of counter chosen by the defendant, what she refers to as a "receptionist's counter", fell below the standard of care or was not reasonably safe, Ms. Tran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Receptionist's counters are usually found in offices or salons where transactions are limited to paying for a haircut or receiving of mail or courier packages. In drug stores, grocery stores and the like, ordinarily prudent business managers provide lower, wider counters for the sale of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evidence was led at trial in support of this claim and it is not obviously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Tran also did not lead any evidence about industry standards or industry practice for sales counters in general or for sales counters used for selling slippery liquids or other liquids that have toxic characteristics if inhaled or if splashed on someone. Therefore, I have nothing that offers me guidance, other than plaintiff's counsels' assertions, about whether the height and width of this counter did or did not meet industry standards, if there are any, or industry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my view, evidence of industry standards or practice would have been probative of the issue of the standard of care. The plaintiff's failure to lead this evidence, whilst not determinative, goes some way to support a conclusion that Ms. Tran has not discharged the burden of proving the breach of duty. In the absence of evidence, I have to determine whether it is simply obvious, as a matter of common sense, to any reasonable observer that the use of this counter breached the standard of care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By contrast, Secret Nail's expert gave evidence about the very large number of retail and wholesale outlets that sell a wide variety of both hazardous and non-hazardous liquids in containers of a similar or larger size than the one in question here. There is no doubt that potentially slippery liquids (both hazardous and not) are commonly available in many stores. In this circumstance, I would have expected the plaintiff to lead evidence that the use of a counter of this kind was a departure from reasonable standards or typical practice, recognising that compliance with industry practice is not necessarily a complete answer if the industry standard is itself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I conclude, in any event, a notorious fact that liquids of both a slippery hazardous and non-hazardous character are routinely sold in wholesale and retail outlets in British Columbia. It is also notorious that containers of these liquids are stored on shelving in retail and wholesale outlets and that this shelving is often several feet high. It is by no means uncommon for customers to have to reach above head height to take a container. The risk of containers falling and failing is not completely eliminated in shops throughout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Any container of slippery liquid stored at any height is at risk of falling of shelving and being knocked to the floor. There are a myriad of ways in which that could happen. Whenever it occurs, there is some risk that the container might fail, depending on its particular characteristics, spill its contents and create a slip hazard. I cannot find that virtually every retailer or wholesaler who stores slippery liquids on shelving up to 6 or 7 feet high is acting unreasonably or failing to ensure that the premises are reasonably safe for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same analysis applies when placing a container on a counter to buy it. There is always some risk that the container could be knocked off, or otherwise fall off, a counter regardless of its width and height. There is always some risk that it could fail. An occupier is not required to make its premises absolutely safe and eliminate all risk of injury. There must be some basis against which to assess reasonable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absence of evidence about standard practice or industry standards, I cannot conclude that the use of a sales counter of this height and width is in fact so uncommon that that fact alone supports a conclusion that it was unreasonable to use it. It is notorious that the dimensions of sales counters vary widely in retail and wholesale outlets. Ms. Tran has not put forward an adequate evidentiary basis to discharge her burden that Secret Nail breached its duty to her by using this 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would have expected to be provided with some bench mark against which to assess the use by Secret Nail of this sales counter. It should be remembered that I have found that Ms. Tran has not proven that any of the sales staff caused the bottle of acetone to fall. I have found that the most probable explanation of the accident is that Ms. Tran did not place the jug securely on the counter, even though she was familiar with the counter and could easily have securely placed the acetone on it. I cannot find that the jug was placed in the middle of the counter as Ms. Tran testified. I have no confidence in the accuracy of her evidence on these material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Tran has not provided any evidence on the critical question of what the counter's dimensions should have been for Secret Nail to discharge its obligations to her, if the counter was to be used for the sale of jugs of acetone. She has not proven that the width of the counter played any role in the bottle falling. On the face of it, the bottle would have stood securely on the counter unless it was knocked off. The counter surface of 18 inches was more than wide enough to safely and securely hold the jug. The diameter of the specimen jug exhibited at trial is 5 3/4 inches wide. As I have noted above, when it is full of acetone it would be relatively heavy and not easily knocked over or dislodged. A minor touch or brush would not move it. In my view, it would not be apparent to any reasonable observer that it was reasonably foreseeable that it would be at any measurable risk of falling from the counter just because of the width of the counter. The cause of the fall is not the width of the surface, but where on the surface the jug was put by Ms. Tran, as well as someone's action, most likely Ms. Tran's, in knocking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same can be said in respect of its height. The evidence does not demonstrate that the bottle would not have failed if the counter had been of a "reasonable" height, whatever that height is. I had the benefit of a single "experiment" in which a jug, that was said to be similar to the one in the accident, was pushed off a height of 44 inches. The acetone in the jug was replaced with milk for the purpose of the experiment. In the experiment, the jug hit the ground top first and the hard plastic cap on the jug shattered, allowing the contents to spill onto the floor. I was provided with the opinion that a plastic jug of the type used in the experiment was not robust and that no engineer would always expect it to, or be confident it would, survive a fall from 44 inches intact, regardless of how the container landed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cannot say that I found this reconstruction or opinion particularly helpful. I was not provided with an opinion that there was a safe height from which such containers could fall and expect to survive. This would have been evidence relevant to the question whether "but for" the breach of the standard of care the accident would not have happened. If there is such a height, I have no idea whether it is 3 feet or 2 feet or 18 inches or somewhere in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Moreover, in the experiment, the contents of the jug spilled out because the plastic cap broke. It seems clear that that did not happen at Secret Nail. It is clear that the cap did not break, but popped off, presumably because of the momentum imparted to the contents of the jug on striking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What is not established is how similar the jug in the experiment was to the one that fell from the counter. The acetone jug used for the experiment was bought from a supplier that appears not to have existed in 2003. There is no evidence it was produced by the same manufacturer as the one in the accident. Beyond the fact that its shape and size were similar to the one in the incident, I do not know if the plastic jug that day was more or less robust than the one in the experiment. I do not know whether the same or similar plastic caps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What is clear is that in September 2003, the acetone jug leaked its contents because the cap popped off. I do not know how likely that event was. I was not given any opinion other than that one could not expect jugs similar to this always to survive a fall from 44 inches. All that this tells me is that a falling jug will not always survive. It does not help me approach the question whether a reasonable observer ought reasonably to foresee that failure was more than a mere possibility, but that the risk rose to a level of materiality that a reasonable person would take steps to guard against the risk. I do not know whether failure would not occur if the jug fell from a counter of a reasonable height, whereas it likely or possibly or reasonably possibly would fail if it fell from 42 inches high. I do not know whether there was a defect with the cap or whether it was properly screwed on. I have nothing to guide me in assessing how probable it was that the jug would fail in some way if it fell from that height. It has not been demonstrated that it ought to have been apparent to the principals and staff at Secret Nail that the possibility of failure of a falling jug from the counter was sufficiently material that the counter ought not to have been used when handling the sale of a jug of acetone. Certainly, the evidence is that there had never been a similar incident before or after September 2003, so they had no experience to guide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Although it is common sense that any container is more likely to fail if dropped from a higher rather than a lower height, I have no basis to assess how much more probable a failure is in a fall from 42 inches as opposed to 30 or 36 inches. Moreover, I have no way of knowing whether this container would have failed in any event, even if it fell from a counter that clearly met the standard of care or was reasonably safe. If any counter is used at the point of sale, there will be a risk that something could be knocked off it. That is true whether the counter is 30 or 36 or 42 inches high or 15 or 18 or 24 or 30 inches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not apparent to me what a reasonable person applying his or her mind to the risks associated with a bottle of acetone falling off a 42 or even a 44 inch counter ought to conclude about the bottle failing. Certainly, a single experiment with a bottle, that is not demonstrated to share the same characteristics relevant to the risks of failure as the actual bottle and which does not reproduce the mechanism of the actual failure, does nothing to advance the analysis. It may be of little moment, but, having inspected the plastic jug used in the experiment, I could draw no conclusions just by looking at it about the risk of it failing if it were to fall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 the evidence before me, I cannot conclude that a gallon jug of acetone ought never to be sold by placing it on a counter. A storekeeper cannot be in breach of the standard of care anytime a gallon jug of acetone is placed on a counter. It cannot be in breach on every occasion a jug might be inadvertently knocked off the counter. But the evidence did not assist in drawing a line between a counter that complies with the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one that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not persuaded that Ms. Tran has proven that a counter standing 42 inches high and 18 inches wide is unreasonably unsafe or breaches the standard of care if it is used for the sale of a gallon bottle of acetone. Furthermore, in my view, Ms. Tran has failed to prove a causal connection between a counter that is too high and narrow, the creation of the slip hazard (the failure of the jug to contain its contents) and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Tran did develop some evidence at trial that the staff at Secret Nail were aware that some items of merchandise had fallen from the counter in the past. This evidence was argued to demonstrate that a reasonable occupier and its servants were aware of the risk of items falling from this particular counter. Accordingly, they ought to take care to prevent an item such as this from falling or recognise that placing an acetone jug on the counter was not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find this persuasive. The evidence did not establish that items routinely fell from the counter. It would be most surprising if some items did not sometimes get knocked off the counter. The counter was used to display small and light items of merchandise for sale; principally cosmetic items that were easy to dislodge. Occasionally these items would fall. Nothing as bulky or heavy as a jug of acetone had, it seems, ever fallen. I have found that this jug would not easily be dislodged or toppled without some significant force being applied to it, unless perhaps it were placed insecurely on the edge of the counter. I cannot find that the past history of light items occasionally falling was sufficient to alert the owners of Secret Nail or its staff to the proposition that it was unreasonably unsafe, therefore, to allow a jug of acetone to be placed on the counter when it was being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also reject two further arguments advanced by Ms. Tran regarding safe handling practices. The first is that the sales counter should not be used at all when processing the sale of a jug of acetone. Ms. Tran suggests that the jug should have been placed on the floor and not allowed to sit on the counter. While no doubt the jug would not have fallen if it had not been on the counter, I can see no breach of duty in allowing it to be placed there. There is no possible way of handling the sale without there being some risk of some kind associated with handling the product. Ms. Tran might drop it as she handed it over. A sales clerk might drop it while ringing it in. If the jug is allowed to sit on the floor, it simply poses a different hazard. It would then be an obstacle for a customer to fall over. There would be no guarantee that if it were kicked the container might not fail and its contents leak onto the floor. In my view, there was nothing unreasonable about allowing the container to stand on the counter while Ms. Linh Nguyen processed Ms. Tran's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second argument is that the staff at Secret Nail was not specifically instructed in handling acetone at the point of sale. Acetone is a controlled substance. It is toxic if inhaled and it is flammable. Regulations govern how to handle it when it is in use. But there are no regulations governing the handling of containers of acetone at the point of sale. Ms. Linh Nguyen was aware, however, that acetone was used to remove nail polish and was flammable. I do not accept that instructing Ms. Nguyen, or any of the other staff, about the specific hazardous qualities of acetone would have required any of the staff to handle the bottles of acetone any differently from the way they did at the point of sale. Moreover, since Ms. Tran has not established any specific negligent act by a Secret Nail employee that caused the bottle to fall, she has not demonstrated any causal connection between the failure to provide instruction, even if that were required,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conclusion, Ms. Tran has not discharged the onus of proving a breach of duty in using the particular sales counter at Secret Nail, in the handling of the jug of acetone at the point of sale or in the failure to provide adequate instruction to the sales staff in handling jugs of acetone at the point of sale. Moreover, she has not proven that any alleged breach of the standard of care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Ms. Tran has not proven her case against the defendants. I do not accept Ms. Tran's version of how the slip and fall occurred and, accordingly, I do not find that Ms. Linh Nguyen or her employer are liable for her injuries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Furthermore, Ms. Tran has not shown that the defendant company failed to make its premises reasonably safe or that it breached the standard of care imposed on it as an occupier.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conclude that Ms. Tran suffered an unfortunate accident when she slipped on the acetone after the jug had fallen from the counter. But it was an accident. Ms. Tran did not suffer injuries that were caused or contributed to by any breach of duty whether that duty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Subject to written submissions to the contrary,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WM Enterprises Inc. v. Consumers Choice Mortgages Inc., [2017] B.C.J. No. 427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S2524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WM Enterprises Inc., Plaintiff, and Consumers Choice Mortgages Inc., Cathy Swallow, Andrew Wright, and TMG the Mortgage Group,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1"/>
      <w:bookmarkEnd w:id="215"/>
      <w:r>
        <w:rPr>
          <w:rFonts w:ascii="arial" w:eastAsia="arial" w:hAnsi="arial" w:cs="arial"/>
          <w:b/>
          <w:color w:val="000000"/>
          <w:sz w:val="20"/>
          <w:lang w:val="en-US" w:eastAsia="en-US" w:bidi="ar-SA"/>
        </w:rPr>
        <w:t xml:space="preserve">Contracts — Proceedings in contract — Practice and procedure — Pleadings — Evidence — Application by the defendants Swallow and Consumers Choice Mortgages for summary dismissal of the claims against them allowed — The principal of the plaintiff WM Enterprises wanted to purchase property and approached the defendant Wright of TMG the Mortgage Group, who looked for financing by contacting Swallow — WM Enterprises alleged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relation to the arrangement or provision of allegedly misleading or insufficient mortgage commitments — WM Enterprises failed to establish that it had a contract with the moving defendants that was breached — The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lacked substance and could not stand.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Evidence — Application by the defendants Swallow and Consumers Choice Mortgages for summary dismissal of the claims against them allowed — The principal of the plaintiff WM Enterprises wanted to purchase property and approached the defendant Wright of TMG the Mortgage Group, who looked for financing by contacting Swallow — WM Enterprises alleged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relation to the arrangement or provision of allegedly misleading or insufficient mortgage commitments — WM Enterprises failed to establish that it had a contract with the moving defendants that was breached — The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lacked substance and could not stand.</w:t>
      </w:r>
    </w:p>
    <w:p>
      <w:pPr>
        <w:jc w:val="both"/>
        <w:rPr>
          <w:rFonts w:ascii="arial" w:eastAsia="arial" w:hAnsi="arial" w:cs="arial"/>
          <w:sz w:val="20"/>
          <w:lang w:val="en-US" w:eastAsia="en-US" w:bidi="ar-SA"/>
        </w:rPr>
      </w:pPr>
      <w:bookmarkStart w:id="216" w:name="Counsel_32"/>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WM Enterprises Inc.: D. Roberts, R. Hainsworth,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Consumers Choice and Cathy Swallow: M. Voell.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32"/>
      <w:bookmarkEnd w:id="217"/>
      <w:r>
        <w:pict>
          <v:line id="_x0000_s1184"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N. SHARMA J. (orally)"/>
            <w:bookmarkEnd w:id="218"/>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for judgment. This is an application for a summary trial brought by two of the four defendants in this action, Consumers Choice Mortgage Inc., and its principal Cathy Swallow (the "Applicants"). They seek to dismiss all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two defendants, The Mortgage Group and Andrew Wright (I will refer to them collectively as "TMG"), filed a response and supporting affidavits, but did not appear at the hearing. In that response, TMG consents to the order dismissing claims against the Applicants but takes no position with regard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was filed in July 2016, but concerned events that took place in June and July 2014. The plaintiff is a company, WM Enterprises Inc. ("WM"). The principal of that company is Martin Sliwinski, who provided an affidavit opposing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facts are not controversial. Mr. Sliwinski owned a piece of land in Powell River and wanted to purchase adjacent land with a view to developing them both together. He approached Mr. Wright about financing. Mr. Wright was a sub-mortgage broker with TMG. Mr. Wright agreed to look for financing and did so by contacting Ms. Swallow by email on June 24,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replied the same day, agreeing to look for an investor and stated: "[w]e would need appraisals on both properties by Wednesday for subject removal." She also asked for mortgage applications and credit reports to be sent that day. Some of the documents were immediately provided and in his responding email, Mr. Wright said the appraisals were being done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However, that turned out to be problematic. In his next email, Mr. Wright asked Ms. Swallow if WM could get conditional approval and he would encourage it to seek an extension on the closing date. The problem with obtaining the appraisal was that it needed to be done for both commercial and residential aspects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responding emails, Ms. Swallow confirmed that the appraisals were needed and she also wrote: "I can issue a commitment subject to appraisal, but I need the clients to know the value may come in okay, but the lenders still might decide they don't like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same day, she sent what she termed a "mortgage commitment" to Mr. Wright. The legal characterization of this document is the main issue in the application, so I will describe it, and the accompanying letter from Ms. Swallow:</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opening paragraphs stated: "[f]unding date is contingent upon acceptance and provision of a legal fee deposit as detailed in the attached commitment."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stated that the borrowers were to complete four things: (i) sign and date the commitment; (ii) sign and initial the cost of credit disclosure; (iii) provide the name and contact of a solicitor, and; (iv) deliver the legal fee deposits to the lender's solicitor.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paragraph of the letter, Ms. Swallow wrote: "[t]ime is of the essence."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 commitment document did not identify the lender but stated the mortgage amount would be $210,000 at an interest rate of 7.8% for one year and the target funding date was July 15, 2014.</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second page of the mortgage commitment document there were a number of other terms and conditions including: (i) "sign this commitment and disclose and return by June 30th" and that date was written in bold; (ii) "subject to appraisal on both properties that satisfies the lenders. Subject to the lenders' inspecting the properties and being satisfied with the collateral", and; (iii) "the ability to cancel if we have any misrepresentations of fact or failure to disclose information on your credit application that is relevant material to your financial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dispute that the plaintiff has never signed and returned the mortgage commitment document. There is also no dispute that Ms. Swallow was not contacted by Mr. Wright or the plaintiffs by June 30th indicating one way or another if the plaintiff agreed to the mortgage, nor was an appraisal done or forwarded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2, 2014, Mr. Wright emailed Ms. Swallow and stated: "[t]he appraisal will be done July 11th and, other than the appraisals, is there anything else you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responds by email and stated a number of things, upon which the Applicants rely, including: "[t]he lender is having doubts. The lender is not willing to wait until July 11th for the appraisals" and "[y]ou will have to find another investor." She also made a general comment: "[t]his is why I hate issuing commitments without appraisal. The appraisal always gives them a back door out of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it clear from this communication that the deal is dead. All the correspondence attached to her affidavit and Mr. Wright's sworn affidavit (in which he believes Ms. Swallow's evidence to be true) is consistent with the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Wright responded to Ms. Swallow's email that the plaintiff had removed the subject to financing clause. He stated: "I wish the investors had been a bit more firm in their preliminary decision because now the client is committed to the purchase. This also puts me in a very awkward position." He also asked how soon Ms. Swallow believes she can get alternate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Swallow's responding email to Mr. Wright reminded him of her statement in the earlier email that the client may not want to lend the money even if the appraised value is acceptable, if the lender does not like the property. She also pointed out that the commitment expired on the 30th of June. She confirmed she would not issue another commitment without an appraisal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fact, the appraisals did get done on July 7th: one appraisal valued the property to be purchased at $265,000 and valued the adjacent piece of land, which was owned by Mr. Sliwinski, at $85,000. In earlier correspondence, it appears that Mr. Sliwinski suggested that property was worth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on July 14th Ms. Swallow sent a commitment letter from an investor identified as "Smart Aleck", but the offer was only for a $150,000 and it had a different interest rate than the previous offer. Other than that, the terms written in the accompanying letter were substantially the same as with the first commitment. The expiry was July 15th and there was no subject to appraisal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July 15th, Consumer Choice's lawyer apparently drafted the documents and Ms. Swallow emailed Mr. Wright stating: "[b]oth properties are registered in different names so Mr. Sliwinski is a co-borrower with the company as one property is owned by him, and as such he cannot be guarantor. I just sent them a revised set of legal instructions. They will make changes in the morning and get them over to the clients' lawyer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represents what I would say is a fundamental change in the financial conditions upon which the mortgage commitment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Swallow also asked for a signed commitment. It was, in fact, signed and dated July 16th, 2014. The plaintiff paid the deposit to the solicitor. However, by email dated July 18th, 2014, the plaintiff purported to withdraw from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notice of claim in Part 3 identifies the legal basis of the claim as the law of contract and the law of reliance damages. It alleges that the plaintiff acted in reliance of the promise of the defendants and has incurred loss of opportunity and associated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submissions, the plaintiff submitted that its claims included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possibly negligent misrepresentation. This is apparently based on paragraphs 41 and 45 of that claim, which both allege: "breach of contract was caused or contributed to by the fault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Wright and/or the Defendant Swallow, the particulars of which include": providing or arranging misleading mortgage commitments, providing mortgage commitments that were insufficient for the plaintiff's purpose in all the circumstances and providing insufficient or inadequate information relating to failure to honour the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Applicant's response to the civil claim denied there had been a binding contract between it and the plaintiff. Alternatively if there was, the Applicants submit that it was breached by TMG. It also says that potential damages do not exceed $25,000 and this matter should have been brought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two legal issues before me: (i) is this matter appropriate for a summary trial and, if so, (ii) should the claims against the Applicants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did not understand the parties to dispute the controlling case law to determine suitability as set out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The central question is whether the court can determine facts necessary to reach a fair and just determination. The applicants also rely on </w:t>
      </w:r>
      <w:r>
        <w:rPr>
          <w:rFonts w:ascii="arial" w:eastAsia="arial" w:hAnsi="arial" w:cs="arial"/>
          <w:i/>
          <w:color w:val="000000"/>
          <w:sz w:val="20"/>
          <w:lang w:val="en-US" w:eastAsia="en-US" w:bidi="ar-SA"/>
        </w:rPr>
        <w:t>Western Delta Lands Partnership v. 3557537</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xml:space="preserve"> where, at para. 24 Madam Justice Allan stated someone opposing a summary trial has a heavy onus to demonstrate one of four things: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is extensive and the summary trial hearing itself will take [a long] time;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unsuitability... of the issues is relatively obvious; e.g., where credibility is a crucial issue;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a summary trial involves a substantial risk of wasting time and effort and of producing unnecessary complexity; or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not determinative of the litigation and are inextricably interwoven with issues that must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Applicants also rely on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35 where the Court of Appeal states "notwithstanding it is a summary proceeding on affidavit evidence, the plaintiff still bears the onus of proving its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Applicants says the main issue is breach of contract and those are particularly appropriate for summary determination because it largely turns on an interpretation of documents, citing </w:t>
      </w:r>
      <w:r>
        <w:rPr>
          <w:rFonts w:ascii="arial" w:eastAsia="arial" w:hAnsi="arial" w:cs="arial"/>
          <w:i/>
          <w:color w:val="000000"/>
          <w:sz w:val="20"/>
          <w:lang w:val="en-US" w:eastAsia="en-US" w:bidi="ar-SA"/>
        </w:rPr>
        <w:t>Khosah v. Canada Life Assurance Company</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2013 BCCA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submits that the relationship amongst the defendants is inextricably interwoven in a way that makes summary determination of issues against one impractical; it would not achieve the purpose of the rules to create efficiencies. The plaintiff emphasizes the facts that may be material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representations or possible misrepresentations that may have been made and communication amongst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stresses that there has been no examination for discovery or disclosure of documents, and details of the relationship amongst the defendants are not within the knowledge of the plaintiff. In those circumstances the plaintiff says justice will not be served by dismissing the claims. It says it is especially prejudicial to its ability to prove damages for loss of opportunity because it needs expert evidence and it cannot do that, it says, prior to there being an examination for discovery or document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Turning to the first issue, I cannot assess suitability without describing the claim and the parties' position. With regard to the claim in contract, the plaintiff says when it completed the mortgage application forwarded to it by Mr. Wright, via Ms. Swallow, that constituted its offer in contract law, akin to an invitation to tender. It takes the position that the June 24th commitment letter constitutes acceptance of its offer. It says it relied on this acceptance. Because $210,000 was never forwarded to it, the plaintiff says the Applicants breached the contract. The plaintiff also submits that the second commitment letter crystallized that breach because the offer then became only $150,000. It claims that its agreement agreeing to that commitment was not a waiver of the Applicant's breach, but was an attempt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assert this theory of the case has no merit on the facts and does not conform with basic principles of contract law. The Applicants also say that there are no credibility issues raised and that these issues can be determined by looking at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that nothing in the assertion of facts in the notice of claim is dependent upon anyone's credibility. All suppositions turn on a construction of the documents and for that reason, I do not agree that credibility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also claims it has pled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that is not at all clear to me on the pleadings. Nothing in the recitation of facts and the notice of civil claim is akin to describing a duty, a standard, or proximity between the Applicants and the plaintiff. The plaintiff says it could amend its pleadings to rectify that, but it has not done so and that was an application that could have been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any event, even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properly claimed on the pleadings as they currently exist, I am not satisfied that the plaintiff has demonstrated that the evidence of the Applicants is inextricably interwoven with that of TMG such that a summary determination is inefficient or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appropriate to note here that, in general, the plaintiff's own evidence does not support its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Mr. Sliwinski's affidavit is vague and does not contain facts sufficient to establish the claims against the Applicants. Not once does he mention or refer to Ms. Swallow or Consumers Choice. His position is that one element of 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is the fact he did not know about Consumer Choice's role in the events. Even if that position was correct, I find the only possible claim he would have had is against Mr. Wright or TMG, not against Consumers Choice or Ms. Swallow. More importantly, he has not demonstrated through facts or law how he has a valid claim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Even if the communications between Consumers Choice and TMG are important to the plaintiff's claim against the TMG, that does not establish that the plaintiff has a legal claim against Consumers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reality, the evidence of Mr. Sliwinski and the submissions before me are most consistent with the possibility of a claim of misrepresentation by Mr. Wright regarding, perhaps, a failure in not communicating accurately or completely what he was told by Ms. Swallow. I do not see how that creates a contract or a duty between the Applicants and the plaintiff. Certainly I was not pointed to any authority to establish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to the lack of examination for discovery and discovery of documents, there is no general rule that it is inappropriate to have a summary trial prior to examination for discovery: </w:t>
      </w:r>
      <w:r>
        <w:rPr>
          <w:rFonts w:ascii="arial" w:eastAsia="arial" w:hAnsi="arial" w:cs="arial"/>
          <w:i/>
          <w:color w:val="000000"/>
          <w:sz w:val="20"/>
          <w:lang w:val="en-US" w:eastAsia="en-US" w:bidi="ar-SA"/>
        </w:rPr>
        <w:t>Tassone v. Cardinal</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2014 BCCA 149</w:t>
        </w:r>
      </w:hyperlink>
      <w:r>
        <w:rPr>
          <w:rFonts w:ascii="arial" w:eastAsia="arial" w:hAnsi="arial" w:cs="arial"/>
          <w:color w:val="000000"/>
          <w:sz w:val="20"/>
          <w:lang w:val="en-US" w:eastAsia="en-US" w:bidi="ar-SA"/>
        </w:rPr>
        <w:t xml:space="preserve"> as cited in </w:t>
      </w:r>
      <w:r>
        <w:rPr>
          <w:rFonts w:ascii="arial" w:eastAsia="arial" w:hAnsi="arial" w:cs="arial"/>
          <w:i/>
          <w:color w:val="000000"/>
          <w:sz w:val="20"/>
          <w:lang w:val="en-US" w:eastAsia="en-US" w:bidi="ar-SA"/>
        </w:rPr>
        <w:t>Habitat for Humanity Canada v. Hearts and Hands for Homes Society</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2016 BCCA 217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says it is being deprived of the opportunity to decide if it needs expert evidence to establish lost opportunity, but I agree with the Applicants that such evidence would not come from an examination in any event. In my view there is no prejudice to the plaintiff's possible ability to pursue that damage claim due to the lack of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already mentioned that I do not agree with the plaintiff that there is an intermingling of facts about the relationship between TMG and Consumers Choice that could be relevant to a valid legal claim against Consumers Choice, and that this supports proceeding with a summary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Accordingly, I am satisfied that this application is suitable for summary determination. The issues between these parties can be determined on evidence before me because almost all of them turn on the documents that were put before me. The plaintiff's affiant does not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also satisfied that this can potentially shorten any trial that may continue in the future with the remaining parties and save court time and expense if the defendants end up being successful. This summary hearing was brief and all the issues were canvassed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now turn to the main issue: should the claims against the Applicants be dismissed? In terms of the claim in contract, I find that it can. The plaintiff has not demonstrated that he had a contract with Consumers Choice or Ms. Swallow that was breached. He has no evidence whatsoever that he communicated with them at all. He says Mr. Wright was the intermediary to that contract, but this is a concept unknown to me in contract law, and no case law or other authority was provided to me to substantiate it. There simply cannot be a meeting of the minds if the two never communicated.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not mentioning Consumers Choice, nowhere does Mr. Sliwinski mention that he believed he had a contract for funding with regard to the first commitment document. At most, at paragraph 26 of his affidavit he deposes, "[a]t all material times, I was under the impression that there was only one lender and one agreement, Wright informed me of this all along and that he had it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describing his interactions with Mr. Wright, Mr. Sliwinski's affidavit does not make it clear whether he even had a contract with Mr. Wright, although I specifically make no finding on that point. The point is that his affidavit lacks specificity. This is telling because the prerequisite to a contract claim is that the parties are aware and agree on terms that can be identified and articulated. For instance, he talks about being assured or informed by Mr. Wright of a number of things, but I find it virtually impossible from that factual matrix that one could divine any contractual relationship between the plaintiff and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More importantly with regard to the Applicants, Mr. Sliwinski deposes at paragraph 13: "Wright then informed me that he had a commitment letter, but it requires an appraisal to show the property is worth the asking price. He further advised that if the appraisal did come in at the asking price or higher, then the financing would be a done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reveals that Mr. Sliwinski knew that the commitment letter was contingent upon an appraisal. There is no dispute that an appraisal was not provided until July 7th. The Applicants take the position it was clear on the face of the commitment letter that the offer expired June 30th. Mr. Sliwinski presents no evidence to contradict this. He does not address it in his affidavit at all. That is not a conflict in the evidence; rather, it demonstrates a gap in the plaintiff's evidence. Significantly, Mr. Sliwinski does not state that he understood, knew, or was told that the expiry date was different. The expiry date is clear on the face of the document. He does not say he did not receive or see that document from TMG. That may be true, but I have no evidence about that. Even if I did, that is a matter between TMG and the plaintiff, not between the plaintiff and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this defeats any successful claim of breach of contract that could be made against the Applicants by the plaintiff based on the first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also reject the plaintiff's submission that the mortgage application constitutes an offer of a contract. This conflicts with common sense in the face of the document. If such an unorthodox view of real estate transactions had validity, I would have expected there to be legal authority, but I was not directed to anything. Specifically, I was not given any case or other authority saying that the law of tendering applies to private, residential and commercial real estate mortgage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All parties in this case represented themselves to be knowledgeable in real estate matters. It is difficult to believe any of them would truly believe that an application for a mortgage is an offer in terms of contract law, nor can I accept that a mortgage commitment letter or even a proposal could ever amount to a property owner being legally bound by his application for a mortgage without something else being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Applicants point out that the invitation to make an offer does not constitute an offer upon which a binding contract is formed because, it submits, to do so the invitation must completely state the terms by which the parties want to make a deal, citing </w:t>
      </w:r>
      <w:r>
        <w:rPr>
          <w:rFonts w:ascii="arial" w:eastAsia="arial" w:hAnsi="arial" w:cs="arial"/>
          <w:i/>
          <w:color w:val="000000"/>
          <w:sz w:val="20"/>
          <w:lang w:val="en-US" w:eastAsia="en-US" w:bidi="ar-SA"/>
        </w:rPr>
        <w:t>Richter v. McKeachie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2009 BCSC 288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Roback v. UBC</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2007 BCSC 334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submits all the essential terms of a binding contract existed on its application form: the price, interest rate, and other details. At the same time, the plaintiff submits that the offer was made in general, akin to a tender. In other words, there was no other party identified. That, in my view, is incompatible with there being the existence of two parties to an agreement. Even if that could be possible, the party would be the lender and the plaintiff, not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Moreover, that offer was never accepted. Even if the expiry date could be contested, the plaintiff has not, to this day, signed and returned the original commitment letter. Communication of acceptance of an offer to the other contracting party is an essential element: S</w:t>
      </w:r>
      <w:r>
        <w:rPr>
          <w:rFonts w:ascii="arial" w:eastAsia="arial" w:hAnsi="arial" w:cs="arial"/>
          <w:i/>
          <w:color w:val="000000"/>
          <w:sz w:val="20"/>
          <w:lang w:val="en-US" w:eastAsia="en-US" w:bidi="ar-SA"/>
        </w:rPr>
        <w:t>chiller v. Fisher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[1981] 1 S.C.R. 593</w:t>
        </w:r>
      </w:hyperlink>
      <w:r>
        <w:rPr>
          <w:rFonts w:ascii="arial" w:eastAsia="arial" w:hAnsi="arial" w:cs="arial"/>
          <w:color w:val="000000"/>
          <w:sz w:val="20"/>
          <w:lang w:val="en-US" w:eastAsia="en-US" w:bidi="ar-SA"/>
        </w:rPr>
        <w:t>. The plaintiff led no evidence that he had ever communicated directly with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understood there to be an argument that the second commitment letter could be characterized as a revised contract but, for all the reasons mentioned above regarding the submissions, I find that has no merit. No contract existed between the plaintiff and the Applicants. In the same vein, I find the subject clauses were never removed and that also defeats the claim of there being a valid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regard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notice of civil claim only mentions a negligent breach of contract. I am unaware of the existence or validity of such a claim and no authority was presented. In any event, there is no evidence, nor is it clarified or particularized in the pleadings, that the Applicants owed the plaintiff a duty of care, what the standard of care was, and how it was breached.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lacks substance and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Applicants also submitted the plaintiff did not bring evidence to establish damages to this summary trial, and that is fatal based on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32-33. Although I do not have to consider this issue given my previous findings, I agree with the Applicants on this matter. Importantly, the plaintiff concedes expressly it had no communication with the Applicants and therefore there is no factual basis upon which it can say that it had reliance upon the Applicants, which defeats its specific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all those reasons, I find all claims against the Applicants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Wu v. Sun-Gifford, [2001] B.C.J. No. 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 August 4, August 8 - 11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6 - 10,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C985969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836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Margaret Wu, plaintiff, and Amy Sun-Gifford, Fine Line Interiors, Group Ltd. and Bluerock Developments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32"/>
      <w:bookmarkEnd w:id="21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Professional design consultant — Duty of care — Relationship required to raise duty of care — Building contracts — Tender calls — Duty of person calling tender — Acceptance of tender — Liability of builder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supervise — Delay — Damages — Duty to owner — Effect of negligent supervision by job engineer.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29"/>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Wu for damages for breach of contract against Sun- Gifford, Fine Line Interiors Group and Bluerock Developments. Wu hired Sun-Gifford, who was a friend and an interior designer, to renovate her apartment. Sun-Gifford owned Fine Line Interiors Group. Wu provided Sun-Gifford with money to be used for the work, which was deposited into Sun-Gifford's personal account. Sun-Gifford, through Fine Line, received quotations from two contractors, one of which was Bluerock, whose principals were related to Sun-Gifford and Fine Line. Sun-Gifford awarded the contract to Bluerock. Bluerock repudiated the contract with Wu when it refused to do further work until all outstanding issues regarding extras were resolved. Wu alleged that Sun-Gifford failed to properly supervise the project, which resulted in unnecessary delays and price increases. Sun-Gifford testified that she never agreed to be responsible for the renovation and was simply providing Fine Line employees when needed by Wu. She also alleged that Wu unnecessarily delayed the project by failing to provide funds when required.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1" w:name="Holdings of Court_26"/>
            <w:bookmarkEnd w:id="22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Bluerock was liable to Wu for the amount she paid over and above the value of the work completed by Bluerock. Bluerock was also liable for the delay caused by its failure to order proper materials. Sun-Gifford was liable for 75 per cent of the overpayment made to Bluerock. Wu was liable for the remaining 25 per cent as a result of her failure to more diligently protect her own interests once problems became apparent. Sun-Gifford was also ordered to account for the money belonging to Wu that remained in her personal account. Fine Line breached its duty of care to Wu when it awarded the contract to Bluerock without properly comparing the tenders. Fine Line was also liable for 12 months of delay as a result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design and supervision. Sun-Gifford assumed a duty of care when she received money from Wu to be used for the project. The parties had a personal relationship and Wu looked to Sun-Gifford on all important decisions. The proper standard of care was to implement a reasonable verification process and a holdback system, which Sun-Gifford failed to do. Wu did not delay the completion of the project. Sun-Gifford favoured Bluerock's interests over those of Wu. She made advances prior to work being done and continued to advance money without any process establishing that the work was done.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Legislation Cited_24"/>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ch. 45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3" w:name="Counsel_33"/>
      <w:bookmarkEnd w:id="2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 Rubin, for the plaintiff. P.J. Zibarras, for the defendants, Amy Sun-Gifford and Fine Line Interiors Group Ltd. No one appeared for the defendant, Bluerock Developments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3"/>
      <w:bookmarkEnd w:id="224"/>
      <w:r>
        <w:pict>
          <v:line id="_x0000_s1189"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B.M. DAVIES J."/>
            <w:bookmarkEnd w:id="225"/>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the renovation of the plaintiff's apartment suite in Vancouver. The renovation ultimately cost far more and took far longer to complete than was initially anticipated. It was only completed after the involvement of the defendants as the project's original designers and contractor was terminated. The fallout from the disputes concerning the renovation includes the destruction of the lifelong friendship between the plaintiff, Mrs. Margaret Wu, and the defendant, Ms. Amy Sun-Gifford ("Sun-Gifford").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Assessment of liability for the problems arising from the renovation requires determination of:</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or any of them are liable to repay monies paid by the plaintiff because of incomplete or negligent performance of services or for other damages including damages for delay, aggravated damages or punitive damages and whether the plaintiff was contributorily negligent;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Sun-Gifford is liable for an accounting of funds received;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Fine Line Interiors Group Ltd. (Fine Line) is entitled to compensation for design services performed on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Sun-Gifford met in Hong Kong many years ago. The plaintiff is an accomplished pianist and Sun-Gifford was one of her students. Sun-Gifford eventually moved to Canada and also became an accomplished musician. She then went on to become an interior designer and entrepreneur. She is an owner, shareholder, director or officer of companies involved in land development and interior design and also of companies involved in the construction and sale of furniture and other interior design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Fine Line and Corniche Interiors (Canada) Ltd. ("Corniche") are two of those companies. The principals or close relatives of the principals of the defendant Bluerock Developments Ltd. ("Bluerock") were also at all material times associated with Sun-Gifford in the ownership of Corniche.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Over the years the plaintiff has kept in touch with her former students in many parts of the world. She and some of those students, including Sun-Gifford, have met for dinners and other festive events in Hong Kong and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1994 the plaintiff, who had an apartment in Hong Kong, decided that she would like to have a home in Vancouver. She enlisted the assistance Sun-Gifford in choosing an apartment. The plaintiff eventually settled on suite 2303 - 738 Broughton Street at a rent of $3,150 per month. She determined to purchase the apartment when it became available and obtained an option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then provided Sun-Gifford with $110,000 over a period of months to be used for "minor" renovation work and furnishings for the apartment. Sun-Gifford placed these funds into her personal bank accounts and drew on them as renovation expenses were incurred or items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Sun-Gifford was never asked for an accounting of these expenditures or for the return of the balance of the $110,000 until after this litigation commenced. The plaintiff testified that in 1995 she told Sun-Gifford to hold any unused portion of the funds for the more extensive renovation that would occur when she was eventually able to purchase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establishes that in June 1995 Sun-Gifford still held $48,183.75 of the plaintiff's funds in personal bank accounts. Those funds have never been repaid to the plaintiff and were not in any way accounted for until late in the trial of this action in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1995 the plaintiff purchased the apartment for approximately $700,000 and determined to embark upon a major renovation. The plaintiff testified that Sun-Gifford told her that for approximately $200,000 the apartment could be made as "good as new". The plaintiff also testified that she accepted Sun-Gifford's advice as a "rough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1995 Sun-Gifford assigned Mr. Joey Chan ("Chan"), an employee of Fine Line, to work with the plaintiff on design concepts, choice of materials and tentative drawings for the renovation. Sun-Gifford testified that it was her intention that neither she nor Fine Line would provide their usual full services as interior design professionals. Instead, the plaintiff would be given access to Fine Line's employees for assistance and drafting services. She testified that she intended that fees for the use of Fine Line's employees' services would be charged on an "as used" basis at the end of the project. She says that the plaintiff was to be responsible for all design and construction decisions, would take overall personal responsibility for the design and completion of the renovation and would determine when to utilize the services of Fine Line's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to the contrary. She stated that it was agreed between herself and Sun-Gifford that Sun-Gifford would personally supervise the design work and the renovation. The plaintiff testified that she understood that some of the work would be carried out by Fine Line's employees under Sun-Gifford's supervision and control but says that she always anticipated that she would be treated as a client and would pay for all services provided to her by Sun-Gifford and Fine Line's employees. She testified that she expected to have input on overall design details and such matters as choice of colours and materials but that she otherwise expected that Sun-Gifford and Fine Line would take care of all aspects of the renovation. This was to include the setting of specifications, preparation of final drawings, choice of the contractor and the necessary supervision of that contractor to ensure that the renovation work was completed as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Work on the renovation design did not proceed quickly. The plaintiff and Chan met on a number of occasions and the plaintiff also occasionally met with Sun-Gifford concerning issues such as the general "look" of the apartment renovation which the plaintiff sought to achieve. The plaintiff wanted a design which was "modern and clean cut, straight edges, no fancy ornaments or ornate heavy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no apparent urgency in this exchange of ideas and Sun-Gifford was very busy on other projects. Although preliminary design drawings, material selections and specifications were undertaken and a preliminary price estimate of approximately $345,000 (of which approximately $320,000 was quoted by Bluerock) was obtained by Chan in mid-1996, no final project decisions were made while Chan was the plaintiff's principal contact with Fine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Chan left Fine Line's employment at the end of July, 1996. Sun-Gifford then assigned responsibility for the plaintiff's renovation to another Fine Line employee, Ms. Carole Faan ("Faan"). Sun-Gifford still remained busy with other matters and left the plaintiff's project largely in Faan's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late 1996 work on the design of the renovation had proceeded to the point that consideration had to be given to the preparation of final drawings and specifications, final material selection and the choice of a contractor. The evidence establishes that the scope and likely cost of the renovation had both increased significantly from the $200,000 originally anticipated by the plaintiff in 1995. I am satisfied, however, that the plaintiff was not particularly worried about these cost increases. In my view, she was at all times more concerned with the quality of the final product and its compliance with the overall design concept than with the cost of achieving those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late October of 1996 the decision was made to move the plaintiff's personal belongings from the apartment. The reason for the decision to do so at that time is unclear. It may have been to allow some preliminary balcony work and it may have been to accommodate plumbing repairs which were being carried out in every suite in the apartment building. Whatever motivation existed for the timing of the move, the evidence does establish that Sun-Gifford made the decision to have the plaintiff vacate the apartment. The plaintiff followed the advice of Sun-Gifford as to the necessity for the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also establishes that design drawings and specifications were far from complete in October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know the extent to which the fact that the apartment was vacated in late October influenced the events which followed. The evidence does, however, establish that even by mid-January 1997 when Fine Line sought quotes for the renovation from two contractors, the final drawings and specifications for the renovation were not yet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of 1997 Fine Line received quotations from Bluerock and from Vancouver Hi-Lite Construction Ltd. ("Hi Lite") for the renovation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Sun-Gifford advised the plaintiff in early February that the renovation work would be performed by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17, 1977 Sun-Gifford requested a "first progress draw" of $112,000 and also provided a copy of Bluerock's quote. On March 4, 1997 the plaintiff deposited the first progress draw into Sun-Gifford's personal bank account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heard many days of testimony concerning the renovation and its progress and was referred to hundreds of pages of documents including correspondence, specifications, drawings and diary entries as well as accepted and unaccepted quotations for "extra" work. I also had the benefit of expert opinion evidence as to interior design practice and of the value of the renovation work done. That testimony, documentation and expert evidence related to the adequacy of the design and supervision of the renovation and the progress of the work. It also included detailed reference to a myriad of individual items of work, which gave rise to disputes as to the scope and quality of that work as well as issues concerning the responsibility for payment for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Much of that evidence is of little significance to the issues which require determination in this proceeding. Many of the individual items in dispute were resolved and need not be revisited. Other issues were never resolved, but are not now the subject of direct monetary claims. In large measure these many individual items of dispute are now of importance only to the extent that they may have caused delay to or disruption of the progress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approach to damages taken by the plaintiff and the primary defence position that the plaintiff's lack of response and indecision when her input was needed was the root cause of delay it is not necessary to determine responsibility for each individual item of dispute raised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Determination of the issues in this case requires an examination of only those disputes which gave rise to substantial delay or significant additional cost claims; had a serious deleterious impact on the relationships amongst the parties, or which ended in the termination of the defendants' work on the renovation project. Those disputes concerned:</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tender process, the choice of Bluerock as the renovation contractor and issues concerning the pricing of "extras";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for final design and material selection including problems with flooring materials;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to the design and construction of the fireplace and the substitution of kitchen cabinets;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tiling of the master bedroom en suite;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concerning the renovation of the "boy's bathroom";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the defendants'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deal with those disputes in turn but first I must address the issues of credibility which impact upon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commercial dispute which does not proceed to trial for many years after the events in issue, it is not surprising to find serious conflicts in the evidence as memories fade and positions harden. The result will often be the reconstruction of events to accord with the position advanced by the litigants. That is not to say that the litigants are intentionally dishonest when testifying. Although that may be true in some cases, more often witnesses who have a stake in the outcome of the litigation will have adopted as their evidence a version of events which has emerged and evolved over time through the litigation process and which favours their legal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such circumstances the most reliable evidence as to what transpired will likely be found in contemporaneous documentation. In addition, the evidence of independent witnesses and the actions of all witnesses at the time events unfolded will more often reflect reality than a view of the past presented through reconstructive lenses. Further, the consistency or lack of consistency of the evidence of an interested witness with the contemporaneous documentation and with the evidence of independent witnesses will often be a valuable indicator of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Faryna v. Chorney, </w:t>
      </w:r>
      <w:hyperlink r:id="rId4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 O'Halloran J.A. stated similar propositions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having considered all of the evidence in light of the principles I have enunciated I have determined that where the evidence of the plaintiff conflicts with that of Sun-Gifford, I must prefer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evidence of her relationship with Sun-Gifford and Fine Line was consistent throughout and consistent also with the evidence of Chan, Faan and Mr. David Chang ("Chang"), the Fine Line employees who worked most closely with her. They at all times considered her to be a client and recorded their efforts on her behalf to a Fine Line project number. The manner in which the small 1994 renovation was undertaken also supports the existence of a more typical designer/client relationship than that now asserted by Sun-Gifford. Fine Line issued an account at the termination of the defendants' involvement in the project in 1997 in the same way an account was rendered at the end of the 1994 renovation. This is also consistent with the plaintiff's expectation that Sun-Gifford and Fine Line would provide design and contract supervision services to her as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accept the plaintiff's evidence that Sun-Gifford was to be personally involved in supervising the project on the plaintiff's behalf, notwithstanding the delegation of much of the design work and contract administration to others at Fine Line. That proposition is borne out by the personal relationship between the plaintiff and Sun-Gifford as well as by the fact that when important decisions were needed or when disputes with Bluerock reached an impasse the plaintiff would look to Sun-Gifford to intervene. More importantly, however, it is borne out by the delivery of funds directly to Sun-Gifford personally rather than to Fine Line or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accept Sun-Gifford's evidence that the plaintiff did not provide funds in a timely manner when they were required. The documentation shows little delay in the delivery of funds by the plaintiff when requested, unless there was dispute about the appropriateness of payment for a specific item. Those disputes did not unreasonably delay the advance of funds for undisputed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do not accept that the plaintiff delayed the project through indecision. Some delay did occur as a consequence of the time needed to resolve disputes. The documentation and the evidence of Chan and Faan establishes, however, that the plaintiff responded within a reasonable time to requests for input when material substitutions, design changes or contract "extras" required her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in considering the respective reliability of the evidence of the plaintiff and of Sun-Gifford, I note the consistency of the plaintiff's evidence with her actions throughout. More importantly I note her willingness to accept responsibility for and pay for those items where she acknowledged that she had initiated changes or had added to the scope of the work. For example, when she determined that she did not like a border she had approved for the master en-suite, she acknowledged her responsibility to pay for its substitution and any reasonable ancillary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contrast the plaintiff's acceptance of responsibility with the refusal of Sun-Gifford to acknowledge any responsibility for the many problems with the renovation. When ultimately forced under cross-examination to acknowledge design or supervision deficiencies she would either blame others or excuse her own actions because of her involvement in other matters. I note as well her failure to provide documentation in support of her handling of the plaintiff's monies in the 1994 renovation until well into the trial of this matter and that even that late disclosure did not fully account for the deposit of the remaining monies in 1995 into a new and still undisclosed bank account. Further, I note changes in her testimony at trial from that at her examination for discovery when the evidence of other witnesses who had already testified at trial was inconsistent with the version of events she had espoused on discovery. In that regard I note particularly Sun-Gifford's assertion of building code issues concerning the fireplace difficulties on discovery and her abandonment of that position at trial in the face of expert evidence that there were no such building code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considering the totality of the evidence in this case I have also had to consider the credibility of Mr. Frank Ng. Jr. ("Ng") and Mr. Frank Leung ("Leung"), the principals of Bluerock who were involved in the supervision and administration of the renovation respectively on behalf of Bluerock. There was little direct conflict in their evidence with that of the plaintiff because of their lack of direct communications with her. Sun-Gifford and Fine Line did, however, seek to rely on their evidence to establish both good construction practice and contract performance. I have determined that neither Ng nor Leung were reliable witnesses. Both had minimal major renovation construction experience and also had either little or convenient recall of the details of the matters in controversy. Their evidence was also generally inconsistent with contemporaneous documents and the evidence of disinterested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turn now to the major project disputes, which I have identified as requiring consideration in relation to the liability issues which must be resolved in this case.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Tender Process, Choice of Bluerock as Contractor and Pricing of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I have noted, the tender process employed by Fine Line and Sun-Gifford resulted in bids from two potential contractors for the renovation work. Hi-Lite quoted $228,000 (plus G.S.T.) on January 10, 1997. The quote included a time estimate of 4 months and was made in relation to "revised drawings F1, F2 and D1 to D16 dated 07 November, 1996 and </w:t>
      </w:r>
      <w:r>
        <w:rPr>
          <w:rFonts w:ascii="arial" w:eastAsia="arial" w:hAnsi="arial" w:cs="arial"/>
          <w:color w:val="000000"/>
          <w:sz w:val="20"/>
          <w:u w:val="single"/>
          <w:lang w:val="en-US" w:eastAsia="en-US" w:bidi="ar-SA"/>
        </w:rPr>
        <w:t>specifications dated November 28, 1996</w:t>
      </w:r>
      <w:r>
        <w:rPr>
          <w:rFonts w:ascii="arial" w:eastAsia="arial" w:hAnsi="arial" w:cs="arial"/>
          <w:color w:val="000000"/>
          <w:sz w:val="20"/>
          <w:lang w:val="en-US" w:eastAsia="en-US" w:bidi="ar-SA"/>
        </w:rPr>
        <w:t>" (emphasis added). The bid also excluded a number of items from the quoted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bid was then obtained from Bluerock. It was dated and received January 21, 1997 and was in the amount of $223,000 (plus applicable taxes). The bid did not refer to the same excluded items of work as those referred to in the Hi-Lite bid and was for work described in "the current revised set of </w:t>
      </w:r>
      <w:r>
        <w:rPr>
          <w:rFonts w:ascii="arial" w:eastAsia="arial" w:hAnsi="arial" w:cs="arial"/>
          <w:color w:val="000000"/>
          <w:sz w:val="20"/>
          <w:u w:val="single"/>
          <w:lang w:val="en-US" w:eastAsia="en-US" w:bidi="ar-SA"/>
        </w:rPr>
        <w:t>plans and specifications, dated November 07, 1996</w:t>
      </w:r>
      <w:r>
        <w:rPr>
          <w:rFonts w:ascii="arial" w:eastAsia="arial" w:hAnsi="arial" w:cs="arial"/>
          <w:color w:val="000000"/>
          <w:sz w:val="20"/>
          <w:lang w:val="en-US" w:eastAsia="en-US" w:bidi="ar-SA"/>
        </w:rPr>
        <w:t>" (emphasis added). The evidence also discloses that a revised bid from Bluerock in the same amount and also dated January 21, 1997 was received by Fine Line on January 28, 1997. That second bid excluded the same items as those referenced by Hi-Lite and also excluded a "balcony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however, no reference in either Bluerock bid to the November 28, 1996 specifications referred to by Hi-Lite and this reference in the Bluerock quotation to outdated specifications was not addressed by Faan or Sun-Gifford. This became important because the later specifications differed from those of November 7, 1996 to the extent that the November 28, 1996 specifications particularized the plaintiff's choice of carpet as "United Carpet Ocean Park 75 oz. Carpet special dyed to color requested" rather than "United Carpet-to be determined". The production, weight and availability of carpet for the project all later became delay, price and quality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establishes that Faan was a very inexperienced designer and as I have previously noted also discloses that Sun-Gifford was associated in business with the principals of Bluerock or their close relatives. The principals, Ng and Leung, were also relatively inexperienced contractors and in particular had little or no experience with major renovations of high rise apartment suites. That situation worsened after the tender was awarded to Bluerock when Mr. Fred Fraughton, apparently its most experienced supervisor, left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concluded that Sun-Gifford determined to award the contract for the renovation project to Bluerock to assist her business associates. I reach that conclusion because of: (a) her failure to properly compare the Bluerock and Hi-Lite tenders, especially concerning the difference in specifications; (b) the closeness in price of the Bluerock tender to the Hi-Lite tender after Bluerock had quoted Chan a much higher price for the project in a preliminary quote in mid-1996; and (c) the revision of the Bluerock tender to exclude the same work as that excluded by the Hi-Lite quote. These actions, as well as Sun-Gifford's handling of claims for extras, which I will discuss later, convince me that Sun-Gifford never intended to use anyone other than Bluerock as the project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go so far as to say that Sun-Gifford profited or expected to profit directly from the choice of Bluerock or that she initially intended to prefer Bluerock's interests over those of the plaintiff in the administration of the renovation contract. It is, however, obvious that her choice of Bluerock as the contractor immediately put her in a position of having to resolve competing loyalties as disputes arose. Those competing loyalties exacerbated the problems caused by Bluerock and Faan's inexperience and the incomplete and confusing tender documents. That was especially so in circumstances where the plaintiff had relied entirely on Sun-Gifford to choose the appropriate contractor and to protect her interests because she was unfamiliar with contractors in Vancouver and expected to be in Hong Kong for months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establishes that when disputes arose Sun-Gifford generally preferred the interests of Bluerock to those of the plaintiff. In my judgment she did so because of her divided loyalties and to avoid consequences to Fine Line arising from an analysis of the incomplete state of the drawings and specifications at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Bluerock claimed additional payment for work not originally specified or for changes to the work required due to the lack of availability of specified materials, Sun-Gifford simply passed those requests on to the plaintiff for payment. She did so without analyzing the propriety of the claim as an extra, the appropriateness of the price quoted or responsibility for the need for additional work. The plaintiff was then left to determine those issues without the necessary input from her designers.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Two examples of the pricing of "extras" which have caused me to draw these conclusions relate to the change of flooring from slate to granite and the change of the tile in the master en suite which I will discuss in more detail when dealing with those specific subjects.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further example involves Bluerock's proposed pricing to change the color of a hallway desk from white to black. Bluerock quoted $4,200 for this change. Chang considered it unreasonable, told Sun-Gifford so and suggested another quote be obtained. He testified that Sun-Gifford said she would take care of it by talking to Bluerock. At trial Sun-Gifford, in the face of this evidence, agreed that the price was too high. She then suggested that it was she who had initiated the discussion with Chang. On discovery, however, she had no recall of such detail. More importantly the documentary evidence shows that the contested quote was dated November 7, 1997. It was sent to the plaintiff on December 1, 1997 together with a number of other controversial quotes for her approval. The transmittal cover note from Chang included no negative comments. Rather,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initial and review the following quotes from Blue Rock. </w:t>
      </w:r>
      <w:r>
        <w:rPr>
          <w:rFonts w:ascii="arial" w:eastAsia="arial" w:hAnsi="arial" w:cs="arial"/>
          <w:color w:val="000000"/>
          <w:sz w:val="20"/>
          <w:u w:val="single"/>
          <w:lang w:val="en-US" w:eastAsia="en-US" w:bidi="ar-SA"/>
        </w:rPr>
        <w:t>Amy has reviewed them already</w:t>
      </w:r>
      <w:r>
        <w:rPr>
          <w:rFonts w:ascii="arial" w:eastAsia="arial" w:hAnsi="arial" w:cs="arial"/>
          <w:color w:val="000000"/>
          <w:sz w:val="20"/>
          <w:lang w:val="en-US" w:eastAsia="en-US" w:bidi="ar-SA"/>
        </w:rPr>
        <w:t>. Please fax back asap with your initial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for Final Design and Material Selection including Problems with Flooring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have noted, when Sun-Gifford and Fine Line sought tenders for the renovation in January of 1997, design drawings and specifications were incomplete. In addition, although the plaintiff had reviewed and approved many materials and building components for the project over a period of more than 18 months, neither Sun-Gifford nor Faan took steps to ensure that materials approved by the plaintiff were still available at the time of tender. I am satisfied that responsibility for checking on material availability rested with Sun-Gifford and Fine Line, not the plaintiff. I accept the opinion evidence of Ms. Jane McCutcheon ("McCutcheon") that an interior designer is responsible at the time of establishing specifications to determine if the specified materials will be available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concluded that proceeding to tender without completed drawings and specifications and without determining the continued availability of material was the genesis of many of the major disputes, delays and financial overruns which plagued the renovation as it proceeded. It opened the door to claims for "extras" to the price quoted by Bluerock for the work. Bluerock exploited that opening at every possible turn, with little resistance from Fine Line's employees and none from Sun-Gifford.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Two of the more significant problems, which arose from the failure to specify and ensure the availability of material approved by the plaintiff, related to flooring material. Although other material availability problems including wallpaper did cause some delay, they were of far less monetary and overall delay significance than were the flooring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Slate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Prior to the tender of the project the plaintiff had approved the use of polished 12x12 Pamas silver-gray slate tile for the apartment's foyer. That material was specified in both the November 7, 1996 and November 28, 1996 specifications. On March 13, 1997 Bluerock advised Fine Line that the material was unavailable and could not be available for "another 3 months". It then sought approval of an alternative tile. Faan did not doubt these statements but did ask Bluerock to seek alternate supply sources. In the end, however, on the recommendation of all defendants, the plaintiff approved a change to 16x16 blue granite in the foyer and 12x12 blue granite in the kitchen. The additional cost to change the flooring materials in all areas where the change was needed was $13,000. After receiving that approval Bluerock then sought an additional $4,680 to install a 12x12 granite border in the foyer.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establishes that at all material times after February 1997 a sufficient quantity of the originally specified Pamas slate material was available to complete the project. I accept the evidence of Mr. Graham Bruce, the owner of the supplier of Pamas slate, on this point without hesitation. When Bluerock advised Fine Line on March 13, 1997 that the material was unavailable it either failed to recheck with the supplier when told by Faan to do so or intentionally deceived the plaintiff in order to increase the contract price. I am also satisfied that, had Fine Line itself sought to determine the availability of Pamas slate in November before tendering the project, it would have learned of a temporary shortage which would be rectified before February of 1997 upon the arrival of new supplies. In the result the plaintiff suffered an increase in price and associated delays which were entirely unnecessary. The actual delay before the issue was resolved was a minimum of 8 months, although many other issues arose during that time that also had an impact on the length of time needed to complete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Carpet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November 7, 1996 specifications upon which Bluerock quoted specified "United Carpet-to be determined Person in charge: Thomas Wong". On November 18, 1996, however, Thomas Wong of United Carpet had sent Fine Line a specification for the carpet being "Ocean Park, 100% Pure New Wool, 75 ounces, Special Dyed to color requested." Availability was stated to be "2 1/2 months from date of ordering from New Zealand".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February 27, 1997 United Carpet provided a quotation to Bluerock of $34,400.50 for that material stating that availability would be "2 1/2 - 3 months from date of ordering". The evidence establishes that Bluerock did not purchase the specified 75 oz. carpet from United Carpet.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admit to being unable to ascertain from the evidence why they did not do so. What I do know, however, is that in July of 1997 Bluerock obtained a quotation from an alternate supplier for a 58 oz. wool carpet for $23,880. Fine Line apparently approved that change of specifications and supplier without seeking any credit for the lower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fail to understand how Fine Line could approve substitution of lower carpet quality on a fixed price tender without seeking a price reduction on behalf of its client. There is no evidence that Fine Line either sought such a price reduction or advised the plaintiff that inferior carpet was being provided. That is even more surprising given that the substitution occurred in circumstances where the specified material was at all times available on 2 to 3 months delivery after ordering.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accept that the plaintiff was in any way responsible for any delay in ordering substituted carpet. The plaintiff approved samples in a timely fashion when they were provided to her.</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to the Design and Construction of the Fireplace and Substitution of Kitchen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 issue that it was in the contemplation of Sun-Gifford and Fine Line's employees that the plaintiff would have to approve any changes to the design, materials or the price for the project. What is in contest is the defendants' submission that the plaintiff would approve changes and then later seek to revoke her authority or initiate further changes before the completion of construction. The documentation does not support the defendants'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Two disputes of particular importance demonstrate to my satisfaction that Sun-Gifford acted at times without the plaintiff's approval. Those disputes relate to the fireplace and the kitchen cabinetry. I am also satisfied that when the plaintiff did initiate changes she was at all times willing to accept that any reasonable costs or delay arising from such changes would be her responsibility.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Issues concerning the design and construction of the fireplace occupied an extraordinary amount of the time at trial and were a major irritant in the relationship between the parties. The fireplace was a focal point of the plaintiff's personal vision for her apartment. She did not want a fireplace that would be either "heavy" or "ornate". She wanted a "clean simple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much unsuccessful work with Chan in 1995 towards finalizing an acceptable fireplace design, the plaintiff found the look she wanted in a magazine lighting advertisement. It depicted not a fireplace but rather a floor to ceiling lighting feature that bore a remarkable resemblance to a fireplace. I accept the plaintiff's evidence that she gave the advertisement to Sun-Gifford in August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October of 1996 Faan prepared drawings to change the lighting feature in the advertisement to a fireplace. The project was then tendered in January, 1997 with a slightly revised version of that drawing. Despite the revisions, Fine Line assured the plaintiff that the sought after look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March of 1997, however, Fine Line changed the fireplace design in two significant ways. The two alterations to the design involved a change of the vertical drywall corners from square to round and the addition of a curved mantelpiece when there was to be no mantelpiece. The changes were made at the direction of Sun-Gifford when Bluerock sought clarification of the original design drawings. Unfortunately, the plaintiff was not consulted. When she saw the round corners and curved mantelpiece on her next visit to Vancouver from Hong Kong she insisted on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Months of unsuccessful attempts to redesign the fireplace to meet the plaintiff's initial objectives followed. The plaintiff even enlisted the assistance of friends in Hong Kong to help present her concepts. Sun-Gifford and Fine Line say that this is evidence that the plaintiff was herself designing the project. I do not agree. I am satisfied that the plaintiff was simply doing all that she could to assist in correcting the unauthorized changes to achieve that which she had always intended; i.e. a fireplace consistent with the "look" shown in the lighting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the plaintiff required a change back from round to square corners Bluerock quoted $3,000 to achieve that change. Sun-Gifford never accepted responsibility for the unauthorized change to round corners or the addition of the curved mantle. She asserted that the Plaintiff had approved the change. I reject that evidence. It is entirely inconsistent with the contemporaneous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Sun-Gifford also raised issues concerning an alleged building code problem involving the use of drywall with a gas firebox. She suggested a possible change to an electrical fireplace. Bluerock then quoted $15,800 for that change. I do not know whether at one time Sun-Gifford honestly perceived a building code problem as she had initially suggested and as she maintained through discoveries. I do know, however, that she ultimately abandoned that suggestion in the face of the expert evidence of Mr. Hans Haebler ("Haebler") adduced at trial. She then asserted that her concerns were governed by aesthetic issues relating to the discoloration of white drywall if a gas fireplace were used, rather than building code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final analysis the fireplace issues were not resolved before Fine Line and Bluerock's involvement with the renovation was terminated by the plaintiff. The fireplace was eventually modified to square corners and a minimal, almost flush mantle was constructed by Haebler Construction Ltd. It is a gas fireplace and fairly reflects the design obtained from the lighting advertisement. The plaintiff testified that in over two years of use she has experienced no discoloration problems.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Aside from the cost to correct the unauthorized design changes, the remaining significance of the fireplace to the matters in issue relates to the termination of Bluerock's work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late November and early December of 1997 the plaintiff expressed dissatisfaction with the work and its progress. On December 17, 1997 through Mr. M.Y. Chan ("M.Y Chan"), a friend and chartered surveyor, the plaintiff requested an accounting from Fine Line of the labour and materials expended and work done on the project. The accounting was then to be used as a basis for a "final settlement of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establishes that Bluerock refused to return to work on the project in December of 1997 unless the plaintiff agreed to pay all of its outstanding quotations, including its quotations for reconstructing the fireplace. It also establishes that on December 23, 1997 Sun-Gifford issued a cheque to Bluerock for $56,000 by which she depleted the balance of the $322,000 the plaintiff had by then deposited to her account for the second renovation.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Kitchen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November 7, 1996 and November 28, 1996 specifications prepared for the project by Fine Line and used for tender each provided that the kitchen cabinets were to be "as per Nickel's specifications". The kitchen cabinets finally ordered and installed by Bluerock were Citation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Sun-Gifford testified that the plaintiff had approved the change to Citation cabinets but there is no documentary evidence to substantiate the change or the approval. The significance of the change is that "lower end" cabinets than those specified by Fine Line and approved by the plaintiff were installed by Bluerock. The cabinets installed also did not conform with the initial drawings as to configuration. Again, there is no evidence of approval of any such change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Haebler Construction Ltd. completed the renovation the Citation cabinets were removed and replaced with "high end" cabinets. Although these cabinets were also not Nickel cabinets, no claim is made by the plaintiff for the increase, if any, in the value of the cabinets actually installed. I find that the plaintiff was entitled to remove the unauthorized Citation cabinets both because of inferior quality and failure to conform with the original design the plaintiff had approved. The defendants have not proven that the plaintiff had an obligation to mitigate her damages by accepting an inferior, non-conforming product. She would not, of course, be entitled to claim for any betterment and makes no such claim.</w:t>
      </w:r>
      <w:r>
        <w:rPr>
          <w:rFonts w:ascii="arial" w:eastAsia="arial" w:hAnsi="arial" w:cs="arial"/>
          <w:sz w:val="20"/>
          <w:lang w:val="en-US" w:eastAsia="en-US" w:bidi="ar-SA"/>
        </w:rPr>
        <w:cr/>
      </w:r>
    </w:p>
    <w:p>
      <w:pPr>
        <w:numPr>
          <w:numId w:val="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Tiling of the Master Bedroom En-suite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May of 1997 the plaintiff came to Vancouver to view the progress of the work on the renovation. She then decided that she did not want the border tile in the master bedroom en suite which she had previously approved. She told Fine Line and Bluerock to stop work until a decision could be made concerning the choice of tile. The plaintiff testified that she gave these instructions before any installation had occurred and was prepared to pay the reasonable costs of any change necessitated by her decision.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Bluerock did not, however, cease work. Notwithstanding the plaintiff's instructions it installed the border tile in accordance with the original specifications. The plaintiff then insisted that the border be removed and in August of 1997 Bluerock quoted $11,000 to remove and replace all of the tile in the master bedroom en suite. When the plaintiff insisted on a price breakdown, Bluerock then submitted a lower quotation of $8,400. When the plaintiff again sought clarification and insisted that Bluerock's error was not her responsibility, Bluerock quoted $200 for the change. It later, however, billed an additional $850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the refusal of Bluerock to acknowledge any responsibility for its error in proceeding in the face of the plaintiff's instructions and the lack of any support for the plaintiff's position by Fine Line exemplifies the extent to which the plaintiff was not protected by Fine Line in her dealings with Bluerock. Had the plaintiff remained passive she would have been required to pay $11,000 for a mistake which was not of her making. As events transpired she did not suffer that loss but there was still a delay of more than 4 months involved in resolving the payment and responsibility issues related to the dispute.</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Concerning Renovations to the "Boy's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the renovation project was initially tendered, the plaintiff did not intend to make changes to a bathroom which later became known as the "boy's bathroom". In May of 1997, however, while the renovation was still in progress, she also decided to renovate that bathroom. She then sought a quotation for the work as additional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Sun-Gifford and Fine Line now say that the determination to proceed with the bathroom renovation delayed the project, at her examination for discovery Sun-Gifford acknowledged that May of 1997 would have been early enough to obtain a quotation and not disturb the project completion schedule. Unfortunately, plans for the additional work were not immediately prepared by Fine Line. Furthermore, Faan then chose some discontinued materials for countertops and tiling which required further input from the plaintiff while she was in Hong Kong rather than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material selection problems were exacerbated in July of 1997 by Bluerock's delivery of an unparticularized quotation of $14,800 for the extra work. A detailed quotation was not delivered to the plaintiff until September of 1997, although at the request of the plaintiff it had been provided by Bluerock to Fine Line in early August. In addition, the quotation for $14,800 then became embroiled in the ongoing disputes over the fireplace and the master en-suite tile replacement. This occurred at a time when the plaintiff was reviewing quotations with care and insisting upon detailed information and pricing.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although the work on the boy's bathroom was delayed and that such delay had an impact on the balance of the project, it was not a delay which can be attributed to the fact that it was additional work. In my view the delay would have been considerably less than it was if Fine Line had proceeded more diligently to prepare specifications and clarify material selection and availability while the plaintiff was in Vancouver. Fine Line should also have processed Bluerock's quotations more expeditiously. I do not find that the delay was contributed to in any significant way by inaction or indecisiveness on the part of the plaintiff as alleged by the defendants.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the Defendants' Services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November of 1997 Faan left the project due to maternity leave and was replaced by Chang. The project had by then been in construction progress since early February and was still far from complete. Major disputes concerning the fireplace, pricing of extras generally and carpet selection were ongoing and the prospects for a satisfactory and imminent resolution of those disputes were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I have previously noted, in early December the plaintiff enlisted the aid of M.Y. Chan to assist her in resolving outstanding issues on the renovation project. His involvement was not well received by Sun-Gifford or Bluerock and their work on the project came to a virtual standstill. Although Bluerock alleges that the plaintiff prevented access to the project in December by changing the door locks and alarm codes, I do not accept that the plaintiff took such steps to preclude access. Although the alarm codes were changed, Fine Line was given the new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establishes that in mid-December 1997 Bluerock refused to return to work on the project unless all outstanding issues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January 19, 1998 the plaintiff's solicitor advised Fine Line and Bluerock that their involvement in the project was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January of 1998 the plaintiff retained Mr. Evan Stregger ("Stregger"), a Quantity Surveyor, to value the work done by Bluerock and Fine Line on the renovation project. He did this by assessing the quality and quantity of work performed and the materials delivered to the site or materials purchased and available for delivery to the site. The plaintiff also engaged McCutcheon to assist her in the completion of the design and supervision of the renovation and contracted with Haebler Construction Ltd. to perform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renovation work was completed at significant additional costs for both design and construction. Construction was completed at a cost of approximately $215,000 and McCutcheon completed the design work at an additional cost of approximately $24,000.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also establishes that the completed project is somewhat different than that initially contemplated and specified. The plaintiff does not, however, seek to recover any additional construction costs. Rather she seeks recovery of an alleged overpayment for the value of the work actually performed on the project by Bluerock and Fine Line based upon Stregger's valuation report dated May 28, 1998. She also seeks compensation for the additional design and supervision costs that she says arose because of Fine Line and Sun-Gifford's failure to adequately design and supervise the renovation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turn then to the issues that must be decided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defendants or any of them liable to repay monies paid by the plaintiff because of incomplete or negligent performance of services or for other damages including damages for delay, aggravated damages or punitive damages and is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establishes that Bluerock was paid $298,612 by Sun-Gifford from funds provided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Stregger's assessment of the value of the work performed by Bluerock as being $116,295. His report is based upon facts and assumptions that I find have been proven by the documentary evidence and the testimony of those witnesses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must now determine whether the plaintiff is entitled to return of an overpayment of $182,317 from Bluerock and whether Sun-Gifford, Fine Line or both are also liable to the plaintiff for that amount. I must also determine whether any of the defendants are liable for general damages for delay, additional design or supervision costs,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pleadings give rise to serious difficulties in respect of the assessment of both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argument the plaintiff advanced claims against the defendants based upon breach of contract. As it relates to potential claims against Sun-Gifford and Fine Line in contract, however, the plaintiff's statement of claim refers only to the payment of a "retainer" to Sun-Gifford and Fine Line in 1994 for the purposes of the first renovations and that "the defendant Sun-Gifford advised that the [unaccounted for balance of the] monies would be kept as a retainer against the future work hereinafter described [the 1996 renovation]". It does not provide any further particularization of the terms of any alleged contractual relationship between the plaintiff and either or both of Sun-Gifford or Fine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Similarly, although the statement of claim refers to Bluerock's tender of January 10, 1997 and alleges incomplete and incompetent performance and overcharges for the work done, it does not specifically plead a contractual relationship between the plaintiff and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addition, the plaintiff seeks punitive and aggravated damages against all defendants. The pleadings do refer to "improperly submitted quotations for work which should have been included in the original scope of the work" and "excessive quotations for changes" and alleges that "the defendant's dealings with the plaintiff have been arrogant and contumacious in the extreme". The fact remains, however, that the plaintiff has not specifically pleaded the existence or breach of any agency or fiduciary relationship between her and any of the defendants. The plaintiff has not pleaded fraud, deceit or conspiracy, all of which in various guises were suggested by her counsel during the course of evidence and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After considering the pleadings, including the defences filed by all defendants and the counterclaim filed by Fine Line I have determined that liability and damages in relation to the plaintiff's damages claims against Sun-Gifford and Fine Line must be assessed solely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tort rather than in contract. In my opinion, the pleadings are so lacking in particularity that the defendants Sun-Gifford and Fine Line would be prejudiced by any determination based upon contractual principles, notwithstanding that an evidentiary basis may exist for the same. Those defendants did, however, answer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tort in their pleadings. In addition, their counsel made no objection to the plaintiff's pleadings related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tort and their lack of particularity.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also determined that, notwithstanding the somewhat problematic pleadings of breach of contract against Bluerock, the claims of the plaintiff against Bluerock can and should be assessed on a contractual basis. The pleadings related to Bluerock are less vague as to the terms alleged to govern the obligations of the parties. Also, the statement of defence of Bluerock addresses the contractual allegations notwithstanding any deficiencies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Claims against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that Bluerock entered into a contract with the plaintiff for the renovation work through its quotation of January 10, 1997 which was accepted by Sun-Gifford and Fine Line as the disclosed agents of the plaintiff. I also find that Bluerock repudiated that contract when it refused to do further work unless all outstanding issues of extras were resolved. That was a position which it was not entitled to take in the circumstances and constituted a repudiation of the construction contract. The plaintiff accepted that repudiation by "firing" Bluerock on January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After considering the totality of the evidence concerning Bluerock's work on the renovation in light of its obligations under its tender and those change orders and extras approved by the plaintiff, I am satisfied that the plaintiff is entitled to recover the overpayment of $182,317 from Bluerock based upon Stregger's expert valuation of the work done and its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also satisfied that Bluerock is liable to the plaintiff for delay caused by its actions in relation to the failure to order the Pamas slate when it was available. That failure gave rise to protracted delay concerning the substitution of granite and the pricing issues related thereto. Bluerock is also responsible for delay arising from the issues relating to the installation of the border in the master en suite when the plaintiff had advised that the work was to stop pending resolution of the border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there were many other issues which contributed to the delay in the completion of the project for which Bluerock is not directly liable and which occurred during the same time frame, I find that a total delay of 4 months is attributable to Bluerock in relation to those two issues. I assess damages for those 4 months in the amount of $14,098 based upon the established rental value of the apartment of $3,150 per month and unnecessary storage costs of $374.50 per month paid by the plaintiff. I do so notwithstanding that the plaintiff was able to obtain accommodation elsewhere at no cost to her because she still lost the benefit of the use of her own home and was put to unnecessary inconvenience for which she is entitled to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accept that the plaintiff is entitled to aggravated or punitive damages against Bluerock. It certainly appears that Bluerock treated the plaintiff shabbily and may have sought to take advantage of her absence from Canada on many occasions. In the circumstances, however, given the inexperience of Ng. and Leung, and notwithstanding that I have serious misgivings about their integrity, I am not satisfied that Bluerock's actions mandate an award of punitive or aggravated damages. Although the plaintiff was inconvenienced, she has not proven that she suffered any other aggravating injury. In the absence of specific pleas of fraud, deceit or conspiracy, which might well have led to more complete evidence related to the impugned conduct, I do not accept that an award of punitive or aggravated damages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the plaintiff shall have judgment against Bluerock for $182,317 as a proven overpayment together with $14,098 for delay, totalling $196,415.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Sun-Gifford and Fine Line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theory of the liability of Sun-Gifford and Fine Line is simplistic. Mr. Rubin submits that joint and several liability arises from the negligent actions of both defendants and for the actions of Bluerock. The basis of that theory of liability appears to lie in the proposition that because Bluerock and Fine Line were associated through Sun-Gifford and the work was badly done by all, all defendants are equally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the liability of Sun-Gifford and Fine Line must be determined separately from that of Bluerock based upon the principles which govern the relationship between the provider and the consumer of professional services when the terms of that relationship are not reduced to writing. In other words, has the plaintiff proven that these defendants owed her a duty of care, that they breached that duty and that she suffered damages arising from that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must then also consider whether the defendants have established that the plaintiff was in any way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Sun-Gifford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Sun-Gifford undertook personal responsibility for the affairs of the plaintiff in relation to the renovation project notwithstanding that other employees of Fine Line performed most of the actual design work. She owed a duty of care to the plaintiff as a professional design consultant charged with the administration of the contract entered into between Bluerock and Fine Line as the plaintiff's disclosed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Sun-Gifford assumed that duty when she nominated herself as the recipient of the monies to be used in the administration of the project. Had she not done so it would have remained open for her to argue that the plaintiff engaged only the services of Fine Line. In my view, however, when Sun-Gifford determined to choose the contractor and to administer the contractual payments on behalf of the plaintiff she undertook personal liability for the administration of the contract funds. She therefore owed a duty of care to the plaintiff to do so as a reasonably prudent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also my view that although Sun-Gifford took on personal liability for contract administration and must be held personally accountable for that task, she did not otherwise personally assume liability to the plaintiff. Although the plaintiff says that she looked only to Sun-Gifford in all respects, I do not accept that she did so in such a way as to attract personal liability for anything other than the administration of the contract funds. The plaintiff was at all times aware that Fine Line's employees would do the actual design work on the project. She had also previously been billed by Fine Line for its professional services on the 1994 renovation. In those circumstances it would be wrong to elevate Sun-Gifford's supervisory role to the level of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will accordingly analyse the liability of Sun-Gifford in her role as a construction contract administrator and then consider the liability of Fine Line as a design consultant and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Perhaps not surprisingly the plaintiff led no expert evidence as to the standard of care expected of a construction contract administrator operating without a contract. These circumstances are unique in that Sun-Gifford undertook personal charge of the contract funds while Fine Line undertook the work of design consultant. They did not limit the expectations the plaintiff might reasonably have of them by reducing the terms of their involvement or responsibilities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do, however, have McCutcheon's expert evidence of a designer's responsibility for drawings and specifications which I earlier addressed. I also have the benefit of the contract between McCutcheon and Haebler Construction Ltd. which governed the design, administration and supervision of the completion of the work by McCutcheon and Haebler Construction Ltd. That contract established a regime for progress payments as work was completed. It required certification of completion by McCutcheon prior to the advance of monies and also provided for the 10% holdback required by the Builder's Lien Act </w:t>
      </w:r>
      <w:r>
        <w:rPr>
          <w:rFonts w:ascii="arial" w:eastAsia="arial" w:hAnsi="arial" w:cs="arial"/>
          <w:i/>
          <w:color w:val="000000"/>
          <w:sz w:val="20"/>
          <w:lang w:val="en-US" w:eastAsia="en-US" w:bidi="ar-SA"/>
        </w:rPr>
        <w:t>S.B.C. 1997 ch.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I recognize the difficulties inherent in looking to the after the fact conduct of persons involved in litigation to establish a standard of care, I consider it necessary and appropriate to do so in this case. Looking to after the fact conduct in this case is also affirmed by common sense. Common sense dictates that a person overseeing a construction contract would establish a process to attempt to verify completion, according to contractual specifications, before making payments claimed by the contractor. This is the minimum standard of care which should reasonably be expected of a person entrusted with overseeing the expenditure of large amounts of money under such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That standard of care does not require that a contract administrator guarantee that sufficient work has been done to allow progress draws to be made or warrant that the work has been done in accordance with the specifications. The standard is not one of perfect verification, only reasonable verification. The standard does, however, require at least some reasonable verification process and means of implementing a holdback system if work is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fact that the contract with Bluerock entered into by Fine Line on behalf of the plaintiff did not set up a verification requirement or process and does not absolve Sun-Gifford of her failure to institute such a process. In the unique circumstances of this case, Sun-Gifford undertook responsibility for the choice of the contractor and the administration of the contract. She was the one responsible for establishing contract terms. Her role as the plaintiff's representative required her to implement a verification regime and a holdback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this case, although Sun-Gifford did have Fine Line's employees visit the site from time-to-time to assess progress, the evidence establishes that at no time during construction did any Fine Line employee, including Sun-Gifford, evaluate the project status in accordance with the progress draws sought by Bluerock or assess the quality of the work then done in accordance with the specifications or drawings. Although Faan anticipated doing final inspections when the work was completed, the failure to verify the work as progress payments were made precluded the plaintiff from insisting upon compliance during construction. That put her at risk of exactly what occurred in this case: the termination of services with an enormous overpayment and no holdback to reduce her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evidence establishes that Sun-Gifford made advances prior to of any work being done and continued to make advances as work continued without any effective process for establishing that sufficient work had been done or materials ordered to justify such continued advances. In my judgment her conduct in relation to the advance of funds without any verification of entitlement based upon contract performance and without implementing the statutory lien holdback was negligent. It offered no protection of the plaintiff's interests and made it difficult for the plaintiff to require Bluerock to take remedial action as needed. The situation was further exacerbated by Sun-Gifford's negligent payment of $56,000 in December of 1997 to Bluerock in the face of Bluerock's incomplete work and the plaintiff's existing demand for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am satisfied that, but for Sun-Gifford's failure to put in place a reasonable process of verification of entitlement to payment and to implement statutory lien holdbacks, Bluerock would not have been overpaid $182,317 as established by the evidence. I am accordingly satisfied that the plaintiff has established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Sun-Gifford as a contract administrator and consequential losses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question then becomes whether the evidence establishes that Sun-Gifford is responsible for the entirety of the overpayment to Bluerock.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did not seek to prove that a reasonable verification and holdback process would have caught any particular payment. She says, rather, that if Sun-Gifford had required verification of all work done before making progress payments no overpayment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have determined that the plaintiff has proven that the failure to implement and carry out a verification process resulted in most, if not all, of the overpayments made to Bluerock. In the absence of any verification regime, it is not possible to say that overpayment for any particular item would have occurred in any event so as to limit Sun-Gifford's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also, however, determined that Sun-Gifford is not solely responsible for the entirety of the overpayment. In my view, while Sun-Gifford was negligent in the administration of the contract with Bluerock the plaintiff was also negligent in continuing to make progress payments when she was aware that the work was not proceeding as scheduled and was not of the quality she expected. There were numerous pricing disputes and disputes related to the quality of the work undertaken, especially concerning the flooring, tiling, fireplace and kitchen cabinets. These ought to have put the plaintiff on notice that Bluerock was not performing as required and upon enquiry as to whether Sun-Gifford was making progress payments without verification.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have determined that in apportioning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administration of progress draws Sun-Gifford is liable for damages of $155,000. I have assessed that amount based upon: (a) Sun-Gifford's payout of $56,000 in the face of the plaintiff's demand for an accounting in December of 1997; (b) approximately $24,000 for failure to maintain any statutory lien holdback on the amount of approximately $240,000 paid to Bluerock prior to the accounting demand; and (c) 75% of the additional overpayment of approximately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the plaintiff has no responsibility for the unauthorized payment of $56,000 or the failure to maintain the lien holdback, but is responsible for 25% of the balance of the overpayment which she might have prevented by more diligence in protecting her own interests in the face of the failure of Sun-Gifford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Fine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determined that Fine Line was negligent and in breach of the duty of care it owed to the plaintiff in proceeding to tender without completed drawings and specifications and without verifying the availability of specified materials. It was also negligent in awarding the renovation contract to Bluerock when the Bluerock tender did not include the most recent specifications. Fine Line was further negligent in the redesign of the fireplace when it proceeded with design changes without the approval of the plaintiff. Fine Line also failed to coordinate its design drawings with on-site conditions in relation to the kitchen cabinetry and was negligent in allowing the substitution of inferior cabinets and carpeting without authorization and without requiring credits to the plaintiff for less expensive material. Finally, Fine Line was negligent in the processing of change orders and selection of substituted materials both because it failed to adequately represent the plaintiff's interests in disputes with Bluerock and because of its delay in communicating information between Bluerock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 has submitted that because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Fine Line is jointly and severally liable with Bluerock for the proven overpayment of $182,317. The plaintiff has also submitted that the total value of Fine Line's work on the project was approximately $8,900 as valued by Stregger and that the plaintiff should have judgment for the difference between the overpayment and the sum of $8,900. In addition the plaintiff claims general damages for delay, consequential damage arising from the design and supervising fees of McCutcheon,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do not accept that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all of the plaintiff's losses related to the overpayment of Bluerock. The plaintiff has not proven on a balance of probabilities that any particular negligent act or the whole of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the overpayment. Fine Line was not responsible for the progress draws and was not a general contractor or a guarantor of Bluerock's performance. Although the plaintiff advanced such propositions in argument they were not pleaded and there is insufficient evidentiary base to support either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am, however, satisfied that the consequence of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design and supervision was confusion resulting in unnecessary delays and the termination of Fine Line's services by the plaintiff with much of the work still incomplete and poorly designed. Although the plaintiff has proven that she suffered damages from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has not proven specific losses arising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other than with respect to delay and the remedial costs of correcting design deficiencies and incomplete contract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am satisfied that the project could and should have been completed within at most 6 months after tender. The plaintiff was denied the use of her apartment from October 1996 until January 1998 when she terminated the involvement of the defendants. Further dislocation occurred due to the disruption caused by termination and the incomplete state of the work arising from the defendant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 find that Fine Line is responsible for 12 months of delay including the 4 month delay I have attributed to Bluerock. Based upon the rental value of the apartment in 1994 and unnecessarily incurred storage costs, I assess the damages suffered by the plaintiff due to delay because of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being $43,000 inclusive of interest to January 18,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am also satisfied that the plaintiff has suffered damages in relation to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concerning the unauthorized design of the fireplace. Bluerock quoted $3,000 for the change from round to square corners. Although Haebler Construction Ltd. did not provide a specific price for the fireplace repairs, its first progress indicated a charge of $510 for the fireplace. It also indicated a cost of approximately $8,000 for rough and finish carpentry and $4,000 for drywall. I assess the damages suffered by the plaintiff because of Fine Line's unauthorized fireplace design changes to be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Finally, I am satisfied that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 to incur some additional design and supervision fees that she would not have otherwise incurred. I am also satisfied, however, that the whole of McCutcheon's fees in excess of $24,000 are not directly attributable to Fine 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assess $15,000 of McCutcheon's fees as being related to the correction of Fine Line's errors. The balance was for new design and supervision to satisfy the plaintiff's changed requirements. Fine Line is also entitled to the set-off of a reasonable amount of its own design fees from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time records maintained by Fine Line's employees showed an expenditure of in excess of 415 hours on the plaintiff's project. Fine Line says that work had a value of in excess of $50,000 while Stregger valued the work performed by Fine Line at $8,900.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view Stregger's valuation fails to adequately address the many months of design work performed by Fine Line prior to 1996 and also does not adequately address the time and costs arising because of plaintiff's protracted absences from Vancouver. Taking those factors into account, but looking also to the design inefficiencies and inadequacies which I have discussed, I have concluded that Fine Line's interior design services provided to the plaintiff had a value of $12,000 resulting in an award to the plaintiff of $3,000 (after set off) for McCutcheon's additional design and supervision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For the reasons I have delineated with respect to my dismissal of the plaintiff's claims for aggravated and punitive damages against Bluerock, I also dismiss those claims against Sun-Gifford and Fine Line. I am unable to say that Sun-Gifford's actions in favouring Bluerock arose as a consequence of deliberate intent to harm the plaintiff rather than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absence of proof of such deliberate intent to harm and in the absence of any evidence of suffering other than inconvenience arising from any actions of Fine Line or Sun-Gifford and without a plea of fraud, deceit, conspiracy or breach of fiduciary duty, the plaintiff has not proven any entitlement to either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Sun-Gifford Liable to Repay the plaintiff for $48,183.75?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final question to be determined is whether Sun-Gifford is personally obligated to repay the amount of $48,183.75 remaining from the amount of $110,000 delivered to her by the plaintiff for the 1994 renovation. As I have noted the plaintiff did not demand an accounting of those funds until January of 1998 and prior to that time had suggested that Sun-Gifford hold the balance of funds to be used for the next renovation. The evidence establishes, however, that no funds were ever used for the second renovation and also that Sun-Gifford did not account for the funds at any time prior to trial. She in fact denied the receipt of $20,000 of those funds until she testified at trial and has still only produced some of the banking records related to the remaining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for Fine Line and Sun-Gifford has acknowledged that the sum of $48,183.75 remains owing to the plaintiff. He submits, however, that it is a debt of Fine Line rather than Sun-Gifford and that the debt should attract simple rather than compound interest. I find no merit to either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funds were at all times entrusted to Sun-Gifford's personal care and kept by her in personal bank accounts. She has failed to account for the present whereabouts of any of the funds and has not repaid any of the funds. The plaintiff is entitled to judgment against Sun-Gifford in the amount of $48,183.75 together with interest on that amount at Registrar's rates compounded monthly after January 19, 1998. I do not assess interest prior to that time because no demand was made. I consider it appropriate to award compound interest because Sun-Gifford had no basis whatsoever to deny the plaintiff an accounting and immediate return of the balance of the monies after the request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shall have judgment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Bluerock for $196,415 comprised of $182,317 for overpayment and $14,098 for damages due to delay together with simple interest at Registrar's rates from and after January 19, 1998;</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Fine Line for $47,500 comprised of $43,000 for damages due to delay, $1,500 for fireplace repairs and $3,000 (after set off of $12,000 for design fees) for additional design and supervision costs together with simple interest at Registrar's rates from and after January 19, 1998;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Sun-Gifford for $203,183.75 of which $155,000 shall bear simple interest and $48,183.75 shall bear interest compounded monthly, both at Registrar's rates from and after January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discussed, counsel will have liberty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Carmichael v. Kwon, [2016] B.C.J. No. 313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27-30 and May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M149405, M164630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313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2016 BCSC 265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Krystal-Ann Carmichael, Plaintiff, and Hye Kyung Kwon, Defendant And between Krystal-Ann Carmichael, Plaintiff, and Nicholas Knihnicki,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33"/>
      <w:bookmarkEnd w:id="226"/>
      <w:r>
        <w:rPr>
          <w:rFonts w:ascii="arial" w:eastAsia="arial" w:hAnsi="arial" w:cs="arial"/>
          <w:b/>
          <w:color w:val="000000"/>
          <w:sz w:val="20"/>
          <w:lang w:val="en-US" w:eastAsia="en-US" w:bidi="ar-SA"/>
        </w:rPr>
        <w:t>Damages — Physical and psychological injuries — Physical injuries -- body injuries — Back and spine — Neck — Arm injuries — Wrist — Leg injuries — Knee — Ankle — Fibromyalgia or chronic pain — Action by motorist for damages for injuries sustained in two motor vehicle accidents allowed — Plaintiff was involved in accidents in 2012 and 2014 — Plaintiff suffered soft tissue injuries to spine, injuries to wrist, knee and hip, and chronic pain, which were aggravated by second accident — Plaintiff entitled to non-pecuniary damages of $175,000, damages for past wage loss of $30,750 net, $290,000 for loss of future earning capacity, $152,500 for homemaking and child care costs, $31,416 for other future care costs and $6,566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Past loss of income — Expenses and expenditures — Medical — Non-pecuniary loss — Action by motorist for damages for injuries sustained in two motor vehicle accidents allowed — Plaintiff was involved in accidents in 2012 and 2014 — Plaintiff suffered soft tissue injuries to spine, injuries to wrist, knee and hip, and chronic pain, which were aggravated by second accident — Plaintiff entitled to non-pecuniary damages of $175,000, damages for past wage loss of $30,750 net, $290,000 for loss of future earning capacity, $152,500 for homemaking and child care costs, $31,416 for other future care costs and $6,566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30"/>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two motor vehicle accidents. The first accident occurred in January 2012. The plaintiff was struck by the first defendant when the first defendant failed to yield at a stop sign. As a result of the accident, the plaintiff suffered headaches, ringing in her ears and pain in her neck, shoulders, lower back, hips and right ankle. The plaintiff sought medical advice and participated in various treatments. She took various medications for her pain and depression. The second accident occurred in May 2014. The plaintiff was rear-ended by the second defendant while attempting to merge onto a highway. She was sore after the accident and went to a walk-in clinic. She experienced a flare-up of her injuries from the first accident. The plaintiff was currently 27 years of age. She resided with her fiancÚ and her six-year-old son. She had a grade 12 education. Prior to the accidents, the plaintiff was a cheerful, active and healthy individual. She had been continuously employed in a variety of positions. At the time of the first accident, she was employed at a retirement home. That employment ended as a result of the first accident. After the first accident, the plaintiff experienced mood changes, weight gain and sadness and she was less active.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8" w:name="Holdings of Court_27"/>
            <w:bookmarkEnd w:id="22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first accident, the plaintiff suffered injuries to her hip, neck, wrist, knees, lower back, shoulder and ankle and as a consequence she suffered chronic pain, headaches, sleep disturbance, anxiety and depression. The second accident exacerbated her injuries for a period of time. While she still had significant pain, headaches, sleep and mood disorders, the plaintiff's injuries, except for her hip, had resolved. Given the disruption caused to the plaintiff's life, an appropriate award for her non-pecuniary losses was $175,000. The plaintiff was entitled to damages for past wage loss of $30,750 net. In addition, the plaintiff was entitled to damages of $290,000 for loss of future earning capacity. The plaintiff was also entitled to damages of $152,500 for homemaking and child care costs, $31,416 for other future care costs and $6,566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Counsel_34"/>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S.J. Henshaw, W.K. Briscoe.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G.J. Chambers.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4"/>
      <w:bookmarkEnd w:id="230"/>
      <w:r>
        <w:pict>
          <v:line id="_x0000_s1193"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BEFORE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Lifestyle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INJURIES FOLLOWING THE MVA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Duncan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McGraw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OCCUPATIONAL THERAPIST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WAGE LOSS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Homemaking and Child Care Support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Homemaking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Child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Mobility Aids, Therapy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W.J. HARRIS J."/>
            <w:bookmarkEnd w:id="231"/>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Krystal-Ann Carmichael, seeks damages for injuries she sustained in two motor vehicle accidents, the first accident occurred on January 26, 2012 (the "MVA") and the second occurred on May 23, 2014 (the "second MVA"). The first MVA was the more serious of the two. The defendants admit liability for the collisions. The defendants also admit that the accidents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focus of the dispute is on how the collisions have affected the plaintiff, in terms of her enjoyment of life, her career prospects, and her ability to care for herself and her children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May 15, 1988. She is currently 27 years of age and was 23 years of age at the time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resides in Surrey with her fiancé, Josh Keller, and her 6 year old son, Jacob, from a previous relationship. They reside in a downstairs suite in a home owned by Josh's parents, Cindy and Dave Keller.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a grade 12 education. She was born and raised in Surrey. She is estranged from her family and has had no contact with her father for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Apart from the periods following the birth of her son and the MVA, the plaintiff has been continually employed. She entered the work force early in life and has worked in various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lived at her family's home after Jacob's birth on April 22, 2009. She moved away from home when her son was 5 months old to live with Jacob's father, Chris Kasper. They separated after 6 months, although they continued to share accommodation for a period after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of 2011, the plaintiff went to live at the Keller's home. Josh Keller had been a friend in high school. They developed a relationship commencing in April of 2011. They began to live together in April of 2014. They are now engaged to be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shares the parenting of Jacob with Mr. Kasper. Jacob spends approximately 3 nights a week with his father. The remainder of the time Jacob lives with the plaintiff and Mr. Keller.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before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Mr. Keller, and Mr. Keller's mother, Cindy Keller, gave evidence in relation to the plaintiff's lifestyle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the accident, the plaintiff was described as a happy, bubbly individual who was always on the go and fun to be with. She was a young mother who enjoyed motherhood and playing with Jacob. She spent time going out for walks in the park or at the beach with Mr. Keller and Jacob. The photographs of the plaintiff prior to the MVA show her to be a cheerful, active and healthy looking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she experienced some difficulties in her childhood, she maintained a positive approach to her life and did not dwell on what was negative. During her childhood and teen years, she helped her mother with the household chores and with the children her mother was fostering. While she was school aged, she was involved in competitive dance and played golf and baseball. As a young adult, she enjoyed snowboarding and hiking.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work history is important to an understanding of her claim for damages. The timeline and duties performed at her various places of employment were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above, she started to work early in life and held a variety of jobs. Most of the jobs were low paying, as is common for young people entering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in high school, she obtained a part-time job after school and on weekends at McDonalds' Restaurant. She worked as a server, cook, and cashier as well as training other staff. She was a valued worker and was asked to train other workers, despite her young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took an additional year of school at Lord Tweedsmuir Secondary School after she graduated from Holy Cross School, to improve her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following year, she worked at Ricky's Restaurant, as a server. She was again selected to assist in training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subsequently enrolled in a culinary pastry arts program at Vancouver Community College, which she arranged through a student loan, with a view to upgrading her employment skills. While she was taking the pastry course, she worked at Toys-R-Us.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did not continue with the College as she became pregnant with Jacob. She took approximately 10 months off from work after Jacob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returned to work in February of 2010. First, at White Rock Pantry Restaurant as a dishwasher, and then at Canadian Superstore as a retail clerk. She worked at Canadian Superstore for approximately one year and three months. She subsequently took another job as a retail clerk in June of 2011 at American Eagle, but quit after one month. It was at this time she ended the living arrangement with Jacob's father, and moved into a suite at the home of her new boyfriends' parents, the Kellers.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she was living at the Keller's suite, she sought the advice of Ms. Keller regarding career prospects. Ms. Keller was a long term employee of the Fraser Health Authority and held responsible administrative positions at a hospital. She encouraged the plaintiff to consider positions in health care, such as a nurse aide, unit clerk, renal technician, or a licenced practical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Acting on this advice, the plaintiff applied for a job at Bethshan Gardens, which was a retirement home. Her duties were to serve meals to the residents, help them get to the dining area, and assist with housekeeping. While she testified that she loved working with the residents, she was dismissed within her probationary period on the basis that her manager considered she had not demonstrated sufficient interest in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upset by this turn of events. She had never been dismissed from a job. However, she was undaunted in her pursuit of a career in health care. She pursued a position at another retirement home, the Renaissance, and ultimately obtained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started as a casual employee on October 31, 2011. She worked a minimum of 20 hours a week, but usually worked at least 30 hours a week. Her duties were similar to those at Bethshan Gardens and involved serving residents, helping in the kitchen, assisting residents who had difficulties walking, and providing laundry services for the dining room. She described the work as fast paced and said that it involved some heavy lifting. However, she loved the job and particularly liked working with the residents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testified that she received positive feedback about her work and passed her probationary period. Upon completion of her probationary period, she was to receive an increase in pay and benefits. It was a unionized work force, which she believed provided greater security of employment and opportunities for career advancement. She indicated that the work at the Renaissance solidified her interest in a career in health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 employment at Renaissance came to an end as a result of the MVA. Due to the physical demands of the work at Renaissance, she was informed she could not be accommodated in that employment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MVA occurred on the afternoon of January 26, 2012. The plaintiff was travelling west on 64th Avenue in Langley in a 2003 Pontiac van. She was on the way to pick up her son from daycare. She estimated that her speed was 50 kilometers per hour. The defendant, Ms. Kwon, was travelling north on 196th Street in a 2008 Honda SUV. The plaintiff was travelling on 64th and across 196th. It was her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failed to yield at a stop sign at the corner of 64th Avenue and 196th Street and the two vehicles collided in the intersection. The plaintiff testified that she slammed on the brakes when she saw the defendant's vehicle. The left front of the plaintiff's vehicle struck the passenger side of the defendant's vehicle. It was a T-bone type of accident. The plaintiff's air bag deployed. The plaintiff was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ambulance attended at the scene. The plaintiff was immobilized and taken to the emergency room of Langley Memorial Hospital. She was assessed and released a few hours later. She went home with the assistance of Mr. Keller. There was substantial damage to both vehicles. Both vehicles were subsequently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injured in the accident. She was off work for approximately 14 months following the MVA. She was able to secure new employment which started on April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MVA, the plaintiff sought medical advice and participated in various treatments including 6 chiropractor treatments; 29 physiotherapy sessions; and 20 sessions with a kinesiologist. She returned for 16 further sessions with the physiotherapist. She took various medications for her pain symptoms and her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following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Within 24 to 48 hours after the MVA, the plaintiff testified she felt ringing in her ears, headaches, neck pain, shoulder pain, and lower back pain. Her hips and right ankle were sore. She said that she experienced knee pain immediately after the collision and told the paramedics that her knees had hit the dashboard "really hard" at the time of the collision. She had bruising in the area of her lap and shoulder seat belt. She reported that her wrists were also sore from holding onto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she had limited mobility following the MVA, and was assisted by her fiancé's younger sister, as well as her fiancé and his mother, in performing daily household activities and looking after Jacob. The plaintiff testified as to nature of her pain symptoms from the MVA, which are summarized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Ringing in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said that she experienced a ringing in her ears sensation after the MVA and initially this sensation lasted for a "couple of minutes" and occurred "at least a couple of times a week". She said that it improved over time and does not occur regularly any longer. At the time of trial, she said she had ringing in her ears at least "once a week" which lasted a couple of seconds to a minute.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said she began to have frequent headaches after the MVA. She testified that she had headaches four to five times each week, although they ranged in severity. She said the more severe headaches have continued to date and she gets "bad headaches" at least once a week. They last for a "couple of minutes to a few hours". She said that she also had "low dull headaches" two to three times a week which would last a half hour to about an hour. She testified that she takes Tylenol for bad headaches and sometimes lies down. She said that she works through the dull headaches. The plaintiff said that she had headaches "once in a blue moon" prior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regard to her neck, the plaintiff testified her neck was very sore after the MVA. Her neck felt tight and she found it hard to move her head, for example, to do a shoulder check when driving. She said the pain is centered at the back on her neck where it joins the spine. She said the pain is at its worst when she reads or has to look down. She said that the pain in her neck is "constantly there", although the severity of the pain varies from "very low" to "very high". She says the pain is worse by the end of the work week. She said that after the first year after the MVA, the pain has "calmed down", although it is always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said that her shoulder was initially sore from the impact and from wearing her seatbelt, but it gradually got better within a year of the MVA and is no longer symptomatic.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the pain in her lower back started right after the accident. She said it was very sore to the touch and was painful when lying or standing and that this lasted for about a year. It plateaued after that but "spiked back up" after the second motor vehicle accident in May of 2014. She said that her lower back is now in the same state it was when the pain plateaued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said that her lower back is "constantly sore": it is a "pulsating", "sharp", "stinging" pain in her right lower back, which is worse when sitting for a long amount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her knees still get sore from time to time when she sits for prolonged periods. She said she leans forward to relieve the pain in her back, which puts pressure on her knees. She said this pain is alleviated when she gets up and walks around.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asked to describe the progression of symptoms in her hip, the plaintiff said that her hip is always painful and it was hard to do anything because of her hip pain. She said it sometimes "gives way" without warning and she has fallen a few times because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reported that the pain in her wrists lasted for about a week and is now resolved.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initial pain in her ankle resolved after the MVA and is no longer symptomatic.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described feeling anxious and depressed after the MVA and having nightmares which included accidents involving her son. She said she experienced difficulty sleeping due to pain. She testified that her relationship with her son has been affected as she can't engage in activities with him in the way she used to and sometimes gets irritable with him. The plaintiff also testified she has gained a significant amount of weight since the MVA, which concerns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Keller, the plaintiff's fiancé, described the differences he observed in her following the MVA. He describes her being a "totally different person" who is emotionally fragile, irritable and depressed. He testified she no longer picks up Jacob. She no longer takes pleasure looking after their home; and she has become more distant. They are not as physically close as they had been prior to the accident. Prior to the MVA she was energetic and outgoing and fun to be around. Since the MVA, she sometimes pushes the limits of his patience, even though he knows that her reactions are due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Keller, the plaintiff's future mother-in-law, also described the plaintiff as having been a happy, energetic and active person before the accident, who enjoyed going to the beach or for walks with Jacob and her son. She testified that the plaintiff was a very attentive mother who liked to play with Jacob. After the MVA, Ms. Keller said that she noticed a lot of mood changes, weight gain and sadness. She said that she observed the plaintiff being exhausted when she returned home from work or when she did not have a good night. She has not been able to keep up with her housework; she has not been as active with Jacob; she has been more emotional; and she has appeared to be in pain. Ms. Keller noted that on the family's most recent trip to Disneyland, the plaintiff had to use a wheelchair for five or six days, and was not able to participate for the full day in the planned activities. Ms. Keller also noted that since the MVA, the plaintiff has insisted on being the driver when they drive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Neither Mr. Keller nor Ms. Keller was cross examined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second MVA occurred on May 22, 2014 when the plaintiff was travelling from an appointment with Dr. Jaworski back to her workplace. She was looking left to merge onto the Fraser Highway, when she was rear ended by the vehicle driven by the defendant, Mr. Knihnicki. She described it as a "big jolt", which scared her. She said that she felt everything tighten up after the jolt.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immediately called her employer, Lori Marko. Ms. Marko testified that the plaintiff was "freaking out" and "barely coherent". Ms. Marko advised the plaintiff to get someone else to drive her home,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testified she was sore after the accident and that she went to a walk in clinic. She used ice packs and analgesics for the pain. She testified that the second MVA caused a flare up of her injuries from the MVA. However, she did return to work on the following workday.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was minimal damage to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most significant injuries to the plaintiff that were identified by her physicians were related to her hip and chronic pain. The defendants did not call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Duncan is an orthopedic surgeon who specializes in diseases and treatment of the hip. He conducted an independent medical evaluation of the plaintiff on January 6, 2015, at the request of counsel for the plaintiff. His medical legal report is dated January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Dr. Duncan's opinion, the plaintiff has chronic synovitis (inflammation of the lining of the hip joint), early degeneration (loss of the cartilage covering the joint surfaces) and a torn labrum, which will require her to have a complete hip replacement within 5 to 10 years and revision replacements in her middle years and in her later years, based upon a 20 to 25 year period before surgical reintervention. He stated that her underlying pain disorder was likely to slow her recovery time and require a more intensive program of analgesics. However, he expected the surgery to be successful in relieving pain and providing satisfactory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extent of the injury to her hip was not identified until early in 2015, after she underwent a second, higher resolution MRI arthrogram of the right hip on December 12, 2014. It revealed a torn labrum and confirmed the early degeneration affecting her right hip. In that regard, Dr. Duncan noted the comment of the reporting radiologist, Dr. Connell: "In retrospect, this was likely present on the prior study, however it is more prominent on today's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Duncan stated that it is very unusual for an individual of the plaintiff's age to require hip replacement surgery. In his opinion, she is not a candidate for less invasive procedures, such as a therapeutic arthroscopy to repair the labrum, due to the severity of the degeneration and the restriction of motion in the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described her disability as "substantial and increasing" such that she will require increasing analgesic pain medication. He stated that the use of local anaesthetic and cortisone injections may reduce symptoms and defer surgical intervention, but hip joint replacement will be required. However, he noted that cortisone injections are generally not used more than 3 times and their effectiveness diminishes over time. Therefore, they are to be used strategically.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recommended physiotherapy, weight loss, anti-inflammatory medication, as well as analgesics, and said they may help modify her symptoms and defer the surgical interventions. He noted that prior to the first hip replacement she will become "more and more immobile and dependent on walking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 examination, Dr. Duncan clarified the timing of the hip replacements and their impact on the plaintiff. He said that he expects that she will need surgery within 5 to 10 years and that the timing of the surgery is dependent on the overall disability of the patient, in terms of pain and the degree of degeneration based on radiographic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plaintiff's prognosis, Dr. Duncan testified that following a three month period of recovery after surgery, patients having undergone hip replacements are, in his experience, able to live relatively normal lives and to participate in a variety of activities, with the exception of jogging, tennis and contact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the cause of the injury, Dr. Duncan noted that the plaintiff was asymptomatic prior to the MVA and she was enjoying outdoor athletic activities; that she had no prior injury to the hip or joint disorder or abnormality; that she recalled that one or both knees forcefully hit the dashboard at the time of the collision; that the plaintiff reported that she had widespread musculoskeletal complaints, including right hip pain and difficulty walking immediately after the MVA; and that these symptoms did not settle despite physiotherapy, kinesiology,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Based upon these factors as well as his review of the medical findings, Dr. Duncan testified that, in his opinion, the plaintiff's hip injury was caused by force of her knees hitting the dashboard in the MVA, which force transmitted to the femur and caused the tear of the labrum, if not scoring or abrading the cartilage on the femoral head at the same time. In his opinion, the second MVA simply aggravated the plaintiff's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McGraw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McGraw is an orthopedic surgeon who provided medical legal reports dated July 22, 2014 and September 22, 2014, at the request of counsel for the plaintiff. He prepared a second report as his first examination was conducted prior to the second MVA. The defendant did not cross examine him on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McGraw did not have the benefit of reviewing the most recent high resolution MRI which was conducted in December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Dr. McGraw's opinion, the plaintiff sustained soft tissue injury to her cervical spine and thoracolumbar spine and injury to her right hip in the MVA. In respect of the hip, Dr. McGraw refers to a possible tear to the acetabular labrum as well as bursitis and/or tendinitis and recommended further diagnostic tests to affirm the cause of the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stated that these injuries were aggravated by the second MVA, although he noted the plaintiff reported that the escalation of pain in her neck and back were resolved to the point she was experiencing at the earlier assessment on May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the plaintiff's prognosis, he opined that the long range prognosis for her neck was good, and that her low back would improve, with weight reduction and an exercise program. However, he referred to the ongoing degeneration and said that the rate of progression cannot be predicted. At that point, he considered there was no treatment to reverse a progression to osteoarthritis but recommended further testing as noted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Jaworski is a physiatrist who provided treatment to the plaintiff over the period from November of 2012 to February of 2015. He saw the plaintiff approximately 15 times during that period. He provided a medical legal report dated December 29, 2014. A follow up report from Dr. Jaworski dated February 27, 2015 was also in evidence. The latter report was prepared after he reviewed the results of the December 12, 2014 MRI arthrogram which revealed the early degenerative changes and torn labrum.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opinion, the plaintiff suffers from chronic pain disorder, with fibromyalgic features. He noted she was functioning quite well before the MVA, in the sense that she was able to look after her son and maintain employment. However, as a result of the soft tissue injuries she sustained in the MVA, she developed protracted musculoskeletal aches and pains as well as emotional difficulties. He reported on the plaintiff's significant weight gain following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Jaworski described the treatment that had been provided, including anti-depressants, plain analgesics, anti-inflammatories, muscle relaxants, as well as an exercise program and passive physical modalities. He reported that these measures gave her only partial symptomatic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review of his clinical records of her visits, Dr. Jaworski noted some improvements in the plaintiff's mood and pain level in 2013, although her reports of pain, poor sleep, and emotional difficulties continued into 2014 and she reported increased aches and pains after the second MVA. In October of 2014, he noted her reporting a "popping sound" and increased pain in her right hip. In February of 2015, he described her reporting "slight generalized aches and pains with right-sided hip pain being dominant and being related to weight-bearing activities; her mobility in her right hip as being "mildly restricted by pain"; and her pain disorder with fibromyalgic features as being "under improved control with Effexor".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opinion, the plaintiff's long-term prognosis is guarded and noted that her condition can affect her competitive employability potential. He stated that: "The intensity of the symptoms in the future is likely to fluctuate, in part depending on her environmental stressors and any concomitant physical or psychological morbidities". Her work should preferably not be physically demanding or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recommended that management of her fibromyalgic pain focus on psychotherapy (e.g. cognitive behavioural therapy for six months), anti-depressant medications (e.g. Effexor), as well as plain analgesics and muscle relaxants. He noted the need to attend to her excessive weight and recommended she be as physically active as can be tolerated.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cross-examination, Dr. Jaworski clarified that, in his opinion, there was a dual pathology in the plaintiff's hip: a labral tear and early osteoarthritis, with the labral tear being amenable to surgical correction. He clarified that degenerative changes are not usually amenable to surgical intervention, although they could be controlled partially by cortisone injections. When asked if such treatments would eliminate her chronic pain, Dr. Jaworski said that this was unlikely as she presented with multiple pain in multiple anatomical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Jaworski also clarified on cross examination that a loss of weight and conditioning would likely have a positive effect on her back and neck pain and possibly on her pain disorder and fibromyalgia. However, improvement would be affected by the presence of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Lindsey Townsend is an occupational therapist who was retained to conduct an assessment of the plaintiff's functional abilities and limitations. Her report is dated February 2, 2015, with an addendum dated March 5, 2015. Her report was based on the medical reports of Dr. Duncan, Dr. Jaworski, Dr. McGraw and Dr. Arthur, the past treatments undertaken by the plaintiff, her post accident activities, and the test results from the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Townsend found the plaintiff's self-reports of function were generally consistent with clinical measures of functional abilities and limitations. She identified a number of limitations. Her overhead reaching and repetitive end range reaching is limited to brief periods (1-2 minutes). Her neck flexion (looking down) is limited to short periods (3-5 minutes) of sustained moderate to extreme neck flexion. She can keyboard for moderate periods of time after which she would need a short break. She is limited from activities requiring more than basic balance. She can stoop, kneel and bend for brief periods but not on a sustained basis. She has limited strength for carrying, lifting, pushing and pulling. She can sit for approximately 1-2 hours at a time and has a reasonable standing tolerance of 15-20 minutes statically and 45-60 minutes dynamically.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upon these functional limitations, Ms. Townsend's opinion was that the plaintiff will need work that is sedentary, predominately sitting, allows for postural change, does not require an extensive amount of sustained periods of looking down, and only incidental low level positions. Strength demands must be below 10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not disputed that, with these limitations, the plaintiff is unable to meet the physical demands of her former job as a server at the retirement residence. Ms. Townsend said that the plaintiff could also not tolerate the retail jobs she had done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Townsend made a number of recommendations based upon the physicians' reports and her assessment of the plaintiff, including a swimming routine; an exercise and weight loss program; child care and homemaking support; physiotherapy; psychological counselling, and vocational counselling. Ms. Townsend gave evidence as to the cost of these items, as well as the cost of medication, pain management, various mobility aides, transportation assistance, and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plaintiff submits the plaintiff has demonstrated she is a credible, hardworking and industrious young woman, who has succeeded despite difficult family circumstances. The accident occurred just after as the plaintiff and her young son had established a warm and loving relationship with Josh Keller and his family and had found a career she wanted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Prior to the MVA she was a happy and healthy person, who was positive in her outlook. After the MVA, the plaintiff had very limited mobility and could not care for her son as she had in the past. She experienced pain, anxiety, nightmares, and had difficulty sleeping. She was off work for approximately 14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she returned to work after the MVA, she couldn't go back to her prior occupation and was still experiencing pain, difficulty sleeping and was depressed. There was some improvement in her condition over time, but it worsened with the second MVA. She was diagnosed with chronic pain disorder with fibromyalgic features by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source of her hip pain was clarified in early 2015, when a high resolution arthrogram revealed the torn labrum and the degeneration in her hip. Plaintiff's counsel emphasized the devastating consequences to the plaintiff of this condition, which will mean that the plaintiff will have to undergo three hip replacement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these circumstances, and given the severity and duration of the pain, the emotional suffering, and the impaired enjoyment of life, the plaintiff seeks non-pecuniary damages in the amount of $225,000, based upon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She also seeks damages for past and future loss of income and earning capacity based upon the plaintiff's restricted career opportunities, at $30,750 and $503,408, respectively. She also claims future care costs associated with the period of lack of mobility preceding the hip replacement surgeries of $81,049, plus homemaking and child care costs of $249,513.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for the defendants submits that the principal issue in this case is the extent of the plaintiff's pain and its effect on her work and home life. The defendants do not dispute that the MVA caused injury to the plaintiff, but counsel emphasizes that the symptoms she had experienced since the MVA had been improving or at least were under control by the end of 2014, and that it is the right hip which is the real root of her ongoing issues. The gradual deterioration of her hip is what is responsible for the most problematic of her current issues in terms of walking, sitting and sleeping comfortably.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acknowledged that the hip replacement surgeries that will be required will make all aspects of her life more difficult as she continues to manage a household, a young son and a full time job. In these circumstances, and with the guidance of case law, the defendants submit that $120,000 would be an appropriate amount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lost future earning capacity, the defendants emphasize that the plaintiff is capable of sustaining full time work, such as her current clerical job. While the defendants do not dispute that the plaintiff will not be able to return to her former position as a server at the retirement residence, the precise path of her working life had not yet been established. In such circumstances, the defendants submit that loss of future earnings should be established on a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propose two scenarios to determine future loss of earnings. Under the first, it is assumed that over the next six years, she will only work part-time, due to her deteriorating hip and the need to focus on her health (e.g. conditioning, losing weight, therapy). This scenario also assumes that she will need periods off from work after her hip replacements. Under this scenario, by the time she has had her first hip replacement and has undergone a program of conditioning and weight loss, she will have career opportunities open to her, particularly if she considers retraining. Based upon counsel's calculations of wage differentials, periods she would be unable to work, and loss of earning capacity after the first hip surgery, the amount of damages for loss of future earning potential would be $193,752.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second scenario proposed by counsel for the defendants is based upon her pre-MVA job as a server as netting $25,000. If she takes the next 5 years off completely due to pain and mobility issues, her loss would be $125,000 plus $25,000 for lost earnings from future hip placements and $50,000 for loss of earning due to risk of ongoing neck and back issues affecting employment, for an amount totalling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say that no award for loss of housekeeping capacity is justified as the plaintiff has been managing without any housekeeping help. Even if they had more children they would be in no different position than other young families whose parents are working full time. However, with respect to homemaking during the period leading up to and following hip replacements, the defendants acknowledge that the plaintiff will require some assistance with household work and submit that $98,033 is an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other future care costs, the defendants do not significantly disagree with the recommendations of the plaintiff's physicians and occupational therapist, however, the defendants cost them at $29,033, which is lower than had been recommended by Ms. Townsend.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4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I found the plaintiff to be a credible witness. I agree with the plaintiff's counsel submission that she testified in a straightforward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That said, since a part of the plaintiff's claim is based on subjective accounts of pain, I examined her evidence carefully. I note that her evidence at trial as to the level of pain and discomfort she was feeling in the years following the MVA to be difficult to reconcile with what she was apparently reporting to Dr. Jaworski. It was also difficult to reconcile her accounts of the progress of her pain symptoms over time. For example, she testified that the ringing in her ears improved over time and does not regularly occur any longer, but then said that currently she has ringing in her ears at least once a week, which lasts a couple of seconds to a minute. Similarly, it was difficult to understand the distinction she made between "low dull headaches" and "bad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when such evidence in considered in the context of her evidence as a whole, I attribute this lack of clarity, not to an intention to exaggerate her pain symptoms, but rather to her inability to precisely recall and articulate the experience of pain as it changed over time since the MVA. I consider that this is understandable given the number of locations of her pain and differences in its intensity. In that regard, I am mindful of the evidence of Dr. Jaworski that a feature of her chronic pain is a variation in the intensity of her symptoms depending on psychosocial and environment factors. Further, I note that her account of the impact of the injuries on her life was supported by the evidence of people who live and work with her, such as Mr. Keller, Ms. Keller and Ms. Marko.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while I have considered these discrepancies, I am satisfied that they do not significantly diminish her credibility or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well established that the plaintiff must prove on the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only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primary test to be applied in determining causation is commonly articulated as the "but for" test. The plaintiff bears the burden of showing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of omission of the defendants, the plaintiff's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the plaintiff's claim includes a psychological component related to her depressed mood and feelings of anxiety, I observe that the principles to be applied in assessing claims of psychological injury were extensively reviewed by the Court of Appeal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paras. 12-13 (C.A.). Mr. Justice Lambert cited with approval the overall test which had been referred to by Mr. Justice Spencer, the trial judge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[1989] B.C.J. No. 1683</w:t>
        </w:r>
      </w:hyperlink>
      <w:r>
        <w:rPr>
          <w:rFonts w:ascii="arial" w:eastAsia="arial" w:hAnsi="arial" w:cs="arial"/>
          <w:color w:val="000000"/>
          <w:sz w:val="20"/>
          <w:lang w:val="en-US" w:eastAsia="en-US" w:bidi="ar-SA"/>
        </w:rPr>
        <w:t xml:space="preserve"> (September 18, 1989), Victoria 88/131 (B.C.S.C.),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this case, the defendants called no evidence. There is no dispute between the parties that the plaintiff's soft tissue injuries and injury to her hip were caused by the initial T-bone type of collision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basis of the medical evidence, as well as the testimony of the lay witnesses, I find that the MVA caused the plaintiff's injuries to her hip, neck, wrist, knees, lower back, shoulder, and ankle and that, as a consequence, the plaintiff has suffered pain, headaches, sleep disturbance,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also not disputed that the second MVA exacerbated her injuries for a period of time following that relatively minor rear end collision. Dr. McGraw stated that by September of 2014, the plaintiff's pain symptoms from the second MVA had returned to their prior state, which leads me to infer that, at most, the second MVA caused an increase in pain symptoms for a three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regard to the injuries caused by the MVA, while the court is not required to accept a particular diagnosis, I accept the diagnosis of Dr. Duncan that the plaintiff has chronic synovitis (inflammation of the lining of the hip joint), early degeneration (loss of the cartilage covering the joint surfaces, and a torn labrum. I find that Dr. Duncan's opinion is consistent with the plaintiff having hit her knees on the dashboard due to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also accept the diagnosis of Dr. Jaworski that the plaintiff has chronic pain, with fibromyalgic features. I find that the plaintiff's pain in her neck and lower back, as well as her headaches, sleep and mood disturbances have continued - despite the extensive interventions which were recommended and undertaken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her ankle, wrist, and shoulder pain resolved in the period immediately following the MVA and the knee pain is now only occasional. I find that the ringing in her ears is also only occasional.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her other symptoms, I find that, except for the hip, there has been some improvement. Although she still has significant pain, headaches, sleep and mood disturbances, the level of discomfort varies in intensity and is not as severe as it was in the year after the MVA. She is able to hold a full time job and care for her son, albeit not at the manner she did prior to the MVA. With respect to the hip, I accept the medical evidence that the hip will continue to deteriorate, causing her pain and functional limitations, particularly in standing, walking and lifting, until she has a hip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While the parties made no submissions regarding whether the injuries caused by the two motor vehicle accidents were divisible, I find that they are not. The plaintiff's evidence and the medical evidence support the conclusion that the second MVA caused only an exacerbation of her pain symptoms for a relatively short period of time. It was the first MVA which was the cause of her ongoing hip injury and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Non-pecuniary damages are awarded to compensate the plaintiff for pain, suffering, loss of enjoyment of life and amenities. The compensation awarded should be fair to all parties. Fairness is measured against awards made in comparable cases, although they serve only as a guide to appropriate compensation. Each case must be determined on a consideration of its own unique facts: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145;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Madam Justice Kirkpatrick outlined a non-exhaustive list of factors for consideration when assessing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factors to be considered include: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Applying those factors, the plaintiff submits that the MVA has had devastating consequences on the plaintiff's life. The plaintiff emphasizes the factors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that support a significant amount of damages under this head: her relatively young age; her intention to have two children with her fiancé; the increasing severity and duration of her pain that is associated with her hip condition; her chronic pain; her emotional suffering and its impact on her relationship with her fiancé and child; the effect of her physical limitations on her enjoyment of recreational activities and participation in child care and household duties; and the impact of her mental and physical health on her sense of self-worth and career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relies on a number of decisions of this court in support of her position that an award of $225,000 is fair and reasonable. The plaintiff makes reference to the following cases but submits that her circumstances are more life-altering and, therefore, justify a larger award: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Klingsat v. Westminster Savings Credit Union</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2001 BCSC 1701</w:t>
        </w:r>
      </w:hyperlink>
      <w:r>
        <w:rPr>
          <w:rFonts w:ascii="arial" w:eastAsia="arial" w:hAnsi="arial" w:cs="arial"/>
          <w:color w:val="000000"/>
          <w:sz w:val="20"/>
          <w:lang w:val="en-US" w:eastAsia="en-US" w:bidi="ar-SA"/>
        </w:rPr>
        <w:t>, a 30 year old plaintiff was injured in two motor vehicle accidents and was awarded $150,000 in non-pecuniary damages for a right hip injury and related pain, which would likely require two hip replacement surgeries.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notes the award would be significantly greater at its present value.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a 46 year old plaintiff sustained injuries including chronic pain and a torn labrum, which would require surgery. The Court found that while the surgery may reduce the pain, and that cognitive therapy may bring some relief to his psychological symptoms, but it was nevertheless likely that his symptoms would persist. The plaintiff was awarded $110,000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notes that no hip replacement surgery was involved in that case.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the Court awarded $100,000 to a plaintiff who was 28 years old at the time of the accident, as non-pecuniary damages for chronic pain in the lumbar spine, buttock and leg, and occasional pain in her neck and shoulder. The conditions were found to have increased the frequency of her migraines and placed her at risk of depression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notes that Ms. Fox did not lose any work as a result of the accident.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Easton v. Wolovets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2015 BCSC 210</w:t>
        </w:r>
      </w:hyperlink>
      <w:r>
        <w:rPr>
          <w:rFonts w:ascii="arial" w:eastAsia="arial" w:hAnsi="arial" w:cs="arial"/>
          <w:color w:val="000000"/>
          <w:sz w:val="20"/>
          <w:lang w:val="en-US" w:eastAsia="en-US" w:bidi="ar-SA"/>
        </w:rPr>
        <w:t>, the Court awarded a 33 year old carpenter $125,000 in non-pecuniary damages for significant myofascial and chronic pain, which affected his relationship with his spouse and infant child; his ability to provide for his family and his enjoyment of activities. The Court stated that injuries had a significant and serious psychological dimension, which was likely to continue.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notes that, in contrast to the </w:t>
      </w:r>
      <w:r>
        <w:rPr>
          <w:rFonts w:ascii="arial" w:eastAsia="arial" w:hAnsi="arial" w:cs="arial"/>
          <w:i/>
          <w:color w:val="000000"/>
          <w:sz w:val="20"/>
          <w:lang w:val="en-US" w:eastAsia="en-US" w:bidi="ar-SA"/>
        </w:rPr>
        <w:t>Easton</w:t>
      </w:r>
      <w:r>
        <w:rPr>
          <w:rFonts w:ascii="arial" w:eastAsia="arial" w:hAnsi="arial" w:cs="arial"/>
          <w:color w:val="000000"/>
          <w:sz w:val="20"/>
          <w:lang w:val="en-US" w:eastAsia="en-US" w:bidi="ar-SA"/>
        </w:rPr>
        <w:t xml:space="preserve"> case, the plaintiff's situation will get worse before it gets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plaintiff submits that the level of disruption to the course of the plaintiff's life justifies an award similar to the case of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where the Court awarded $200,000 for non-pecuniary damages for the combined effects of residual injuries, specifically to neck and back pain and headaches, loss of wrist function and pervasive emotional disorder, which were found to have had a devastating effect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do not dispute that the MVA has had a serious effect, but submit that the following decisions of the court suggest that an award to the plaintiff of $120,000 would be more appropriate.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Tarasevich v. Samsam</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2013 BCSC 1914</w:t>
        </w:r>
      </w:hyperlink>
      <w:r>
        <w:rPr>
          <w:rFonts w:ascii="arial" w:eastAsia="arial" w:hAnsi="arial" w:cs="arial"/>
          <w:color w:val="000000"/>
          <w:sz w:val="20"/>
          <w:lang w:val="en-US" w:eastAsia="en-US" w:bidi="ar-SA"/>
        </w:rPr>
        <w:t>, a 21 year old plaintiff was awarded $150,000 in non-pecuniary damages. After the motor vehicle accident the plaintiff suffered a number of injuries; underwent surgery on her right hip; was largely confined to hospital for two months; used a wheelchair for mobility; had chronic pain; and would require a hip replacement in her right and left hips later in life.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of </w:t>
      </w:r>
      <w:r>
        <w:rPr>
          <w:rFonts w:ascii="arial" w:eastAsia="arial" w:hAnsi="arial" w:cs="arial"/>
          <w:i/>
          <w:color w:val="000000"/>
          <w:sz w:val="20"/>
          <w:lang w:val="en-US" w:eastAsia="en-US" w:bidi="ar-SA"/>
        </w:rPr>
        <w:t>Combs v. Moorman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2012 BCSC 1001</w:t>
        </w:r>
      </w:hyperlink>
      <w:r>
        <w:rPr>
          <w:rFonts w:ascii="arial" w:eastAsia="arial" w:hAnsi="arial" w:cs="arial"/>
          <w:color w:val="000000"/>
          <w:sz w:val="20"/>
          <w:lang w:val="en-US" w:eastAsia="en-US" w:bidi="ar-SA"/>
        </w:rPr>
        <w:t>, involved a 38 year old massage therapist who had injuries to her back and neck and would require arthroscopic surgery for her hip. Her ability to care for her children and household and recreational activities were affected due to pain. She was awarded $90,000 in non-pecuniary damages.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White v. Gehricke</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2013 BCSC 377</w:t>
        </w:r>
      </w:hyperlink>
      <w:r>
        <w:rPr>
          <w:rFonts w:ascii="arial" w:eastAsia="arial" w:hAnsi="arial" w:cs="arial"/>
          <w:color w:val="000000"/>
          <w:sz w:val="20"/>
          <w:lang w:val="en-US" w:eastAsia="en-US" w:bidi="ar-SA"/>
        </w:rPr>
        <w:t>, a 33 year old travel agent was involved in two accidents and sustained disabling injuries to her lower back and hip. She had difficulty walking for any distance and was unable to engage in her pre-accident lifestyle. She sustained a labral tear to her hip and there was a "significant chance" of future osteoarthritis and the need for a total hip replacement later in her life. She was awarded $85,000 in non-pecuniary damages.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of </w:t>
      </w:r>
      <w:r>
        <w:rPr>
          <w:rFonts w:ascii="arial" w:eastAsia="arial" w:hAnsi="arial" w:cs="arial"/>
          <w:i/>
          <w:color w:val="000000"/>
          <w:sz w:val="20"/>
          <w:lang w:val="en-US" w:eastAsia="en-US" w:bidi="ar-SA"/>
        </w:rPr>
        <w:t>Wong v. Hemmings</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2012 BCSC 907</w:t>
        </w:r>
      </w:hyperlink>
      <w:r>
        <w:rPr>
          <w:rFonts w:ascii="arial" w:eastAsia="arial" w:hAnsi="arial" w:cs="arial"/>
          <w:color w:val="000000"/>
          <w:sz w:val="20"/>
          <w:lang w:val="en-US" w:eastAsia="en-US" w:bidi="ar-SA"/>
        </w:rPr>
        <w:t>, involved a 36 year old single mother who sustained serious injuries to her left shoulder and knee in two motor vehicle accidents. She underwent two surgeries on shoulder and there was a potential for additional surgical interventions on her shoulder and knee. She had constant pain and sleep-deprivation, which made her more socially withdrawn, less energetic and less able to enjoy her life as she had before the accident. She was awarded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With respect to the cases referred to by counsel, I note that the </w:t>
      </w:r>
      <w:r>
        <w:rPr>
          <w:rFonts w:ascii="arial" w:eastAsia="arial" w:hAnsi="arial" w:cs="arial"/>
          <w:i/>
          <w:color w:val="000000"/>
          <w:sz w:val="20"/>
          <w:lang w:val="en-US" w:eastAsia="en-US" w:bidi="ar-SA"/>
        </w:rPr>
        <w:t>Tarasevich</w:t>
      </w:r>
      <w:r>
        <w:rPr>
          <w:rFonts w:ascii="arial" w:eastAsia="arial" w:hAnsi="arial" w:cs="arial"/>
          <w:color w:val="000000"/>
          <w:sz w:val="20"/>
          <w:lang w:val="en-US" w:eastAsia="en-US" w:bidi="ar-SA"/>
        </w:rPr>
        <w:t xml:space="preserve"> case is similar to the extent that it involves a young plaintiff who will require serial hip replacement surgeries. While the plaintiff was only seeking $150,000 in non-pecuniary damages in that case, I note that in </w:t>
      </w:r>
      <w:r>
        <w:rPr>
          <w:rFonts w:ascii="arial" w:eastAsia="arial" w:hAnsi="arial" w:cs="arial"/>
          <w:i/>
          <w:color w:val="000000"/>
          <w:sz w:val="20"/>
          <w:lang w:val="en-US" w:eastAsia="en-US" w:bidi="ar-SA"/>
        </w:rPr>
        <w:t>Klingsat</w:t>
      </w:r>
      <w:r>
        <w:rPr>
          <w:rFonts w:ascii="arial" w:eastAsia="arial" w:hAnsi="arial" w:cs="arial"/>
          <w:color w:val="000000"/>
          <w:sz w:val="20"/>
          <w:lang w:val="en-US" w:eastAsia="en-US" w:bidi="ar-SA"/>
        </w:rPr>
        <w:t>, which also involved the need for hip replacement surgery, the Court also awarded $150,000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Further, I note that in the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case, the Court's award of $200,000 in non-pecuniary damages, involved a plaintiff who was not able to return to work and there was found to be only a modest hope of further improvement in her physical or emotional condition. In the instant case, without diminishing the severity of the plaintiff's condition and the disruption caused by the hip replacement surgeries and her continuing chronic pain disorder, I find that there is likely to be substantial improvement in her condition after the first hip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respect to the other cases to which I referred, I have considered them all and found them helpful in my deliberations. However, ultimately, in assessing the amount of non-pecuniary damages to which the plaintiff is entitled in this case, I must focus on the plaintiff's individual circumstances based upon the facts which are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assessing non-pecuniary damages which should be awarded to the plaintiff in this case, it is not disputed that the MVA has had serious consequences for the plaintiff and will make her life more difficult in the years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She was 23 years of age at the time of the MVA. She is now 27 years of age and in her child bearing years. I accept that it is her intention to have two additional children. I also accept that the first hip replacement will occur within five to ten years, which I find means that she will likely have further children during a time when the hip has further deteriorated, increasing her level of pain and decreasing her mobility. She will likely require a mobility aid, as well as pain medication. The seriousness of her hip condition will profoundly affect her ability to enjoy this important period of a woman's life by impinging on her physical ability to participate in activities with her children until after the first hip replacement. That is not to say that she won't be able to be a wonderful mother, but rather it will affect the level of care she can provide and type of activities she can enjoy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Once she has had the first hip replacement, I accept the evidence of Dr. Duncan that the plaintiff will not have the pain symptoms caused by the torn labrum and deterioration of her hip for a period of approximately twenty to twenty-five years and the limitations on her mobility will in the meantime be substantially alleviated. She will be able to be active again until the period leading up to and immediately following the next hip replacement. That said, I also accept the evidence of Dr. Jaworski that it is likely she will continue to have some residual pain associated with her chronic pain disorder. I find that while an exercise program, weight loss and cognitive therapy are likely to have a positive effect on her symptoms, the psychological component of chronic pain disorder militate against her feeling totally pain free after the first hip surgery. Further, as noted above, her need for two further hip surgeries and the associated recovery time will disrupt the course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assessing the effect of the MVA on the plaintiff, I have also considered the severity of her injuries, which resulted in her being off work for over a year and precluded her from participating in physical activities with her son and fiancé and which made her, at times, irritable when interacting with them. I find that she did suffer considerable pain and headaches that negatively affected her sleep and mood. While the pain in her shoulder, wrist and ankle pain have resolved and the pain in her neck and back have improved by 2013, I accept that her chronic pain continued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agree with the defendants that the most problematic of her current issues is the gradual deterioration of her right hip. I find that it restricts her ability to walk, stand, and sleep comfortably and, as noted above, will continue to do so until her first hip replacement. I observe that the pain and fatigue she has experienced on a recent trip to Disneyland caused her to use a wheelchair for periods as she was not able to keep up with family members. I accept that she cannot perform the normal household duties in the same extent she did in the past, although she does perform such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it is to the plaintiff's credit that she returned to full time employment after the MVA, she has had to be accommodated by being relieved from lifting and carrying duties. I accept that she worked even though she was experiencing pain symptoms and was in a job which was not within her chosen field. She would have returned to the job at the retirement home but was unable to do so because of the physical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Given the disruption caused to the plaintiff's life and considering all of the circumstances, I conclude that an appropriate award for the plaintiff's non-pecuniary losses is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Compensation for past loss of earning capacity is to be based on what the plaintiff would have earned but for the injuries that were sustained: </w:t>
      </w:r>
      <w:r>
        <w:rPr>
          <w:rFonts w:ascii="arial" w:eastAsia="arial" w:hAnsi="arial" w:cs="arial"/>
          <w:i/>
          <w:color w:val="000000"/>
          <w:sz w:val="20"/>
          <w:lang w:val="en-US" w:eastAsia="en-US" w:bidi="ar-SA"/>
        </w:rPr>
        <w:t>Rowe v. Bobell Expresss Ltd.,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In the ordinary course, the amount of income tax payable for gross earnings should be deducted;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parties agree that the plaintiff was unable to work for approximately 14 months following the MVA. The amount of the wage loss has been agreed to be $37,000 for past wage loss, for a net total amount of $30,750.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conclude, therefore, that the plaintiff is entitled to the net amount for past wage loss of $30,750.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legal principle that governs the assessment of loss of earning capacity is that, insofar as possible, the plaintiff should be put in the position she would have been in but from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This involves a comparison of the likely future of the plaintiff if the accident had not occurred to her likely future working life in light of this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Madam Justice Dardi in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paras. 189-190, summarized the onus on the plaintiff to prove a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[190]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69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6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this case, it is not disputed there is a real and substantial possibility that the plaintiff's future earning capacity has been impaired as a result of the injuries sustained in the MVA. The remaining issue is what compensation should be awarded for the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for the plaintiff submits that the plaintiff was on the brink of embarking on a more remunerative and rewarding career, assisted by the mentoring of her future mother-in-law, Ms. Keller. If the MVA had not occurred, the plaintiff would have left her position as a server, which paid $14.20 per hour, and would have trained to become a unit clerk, nurse aide, or licenced practical nurse or special education teacher's assistant, which positions would have generated an income of between $21.00 and $28.00 an hour. The plaintiff claims that she should be awarded approximately $503,408 for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acknowledge that the plaintiff will be limited to sedentary, light and/or part-time work and will require some accommodations, depending on the tasks to be performed, until after the three month recovery period following her first hip replacement. The defendants also acknowledge that there will be a six month period of recovery after her second hip replacement. The defendant submits that the calculation of loss of future earnings should be done on a capital asset approach, because of her young age and the uncertain path of her working life had the accident not occurred. The defendants proposed two possible scenarios which, it is submitted, demonstrate that an award of $200,000 is appropriate for the plaintiff's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agree that a capital asset approach is appropriate in this case, given her age and the fact that the accident occurred at an early point in her working life. The capital asset approach imports a consideration of such factors as: i) whether the plaintiff has been rendered less capable overall of earning income from all types of employment; ii) whether the plaintiff is less marketable or attractive as a potential employee; iii) whether the plaintiff has lost the ability to take advantage of job opportunities that would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Negative and positive contingencies are to be reflected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Having regard to such factors, it is evident the hip injury will render her substantially less capable of earning an income until after she recovers from the first hip replacement, which will be five to ten years from the time of trial. She will become progressively more restricted in her physical mobility until the surgery, such that there is a real and substantial possibility that she would only be able to work part-time in the years immediately preceding her first hip surgery. I accept the evidence of the occupational therapist, Ms. Townsend, that the plaintiff cannot currently return to her pre-MVA employment because of its physical demands and will only be able to work in a sedentary job which allow her to have postural breaks and which does not involve extensive neck flexion or higher strength demands. The recovery period after hip surgery will be approximately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While it is probable that her career prospects will improve after she recovers from the first surgery, by that time she will have lost the opportunity to build her career while she is relatively young. Further, even once she has recovered from her first hip injury, I find that there is a real and substantial possibility that her chronic pain disorder, and related low back and neck pain, will continue to affect her in the sense that it will diminish her sense of capacity to earn an income and render her less marketable as a potential employee than she would otherwise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Even after the first surgery, based upon the evidence of Dr. Duncan, it is evident that her hip condition will further interrupt her earning capacity due to her need for second hip replacement surgery in twenty to twenty-five years - which will still be within her working life. At that point she will require a longer recovery period of 6 months. I accept that the third hip surgery will probably occur in her 70s, at which time it is probable that she will have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considering the positive and negative contingencies, I note that the plaintiff's career advancement potential would likely have been disrupted by maternity leaves, had the MVA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also note that she has a strong work ethic as demonstrated by her relatively long work history for someone of her age. Given her past efforts to improve her career potential (i.e. repeating grade 12 to improve her marks, taking a college culinary course which she paid for through a student loan, changing jobs to obtain a better paid position, pursing a plan to move into health care work), I find that there is a real and substantial possibility that she would have taken some form of additional training to obtain a better position in health care, had the MVA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my view, the less physically demanding jobs in health care will still be a realistic possibility for the plaintiff, even with the residual pain associated with her soft tissue injuries. However, I accept that the plaintiff would likely not be in a position to obtain such positions until after she recovers from her first hip surgery - which may not occur for five to ten years. Prior to that time, I accept the evidence of Ms. Townsend that the plaintiff will be limited to sedentary, light and/or part time work, and will require some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assessing the amount of the plaintiff's loss of earning capacity, I consider that the scenarios posited by the defendants provide a more reasonable approach to an assessment of her loss, to the extent that it better accounts for the value of the hip surgery in addressing the primary source of the plaintiff's pain and discomfort. That said, I consider that the defendants' assumptions fail to take sufficient account for the real and substantial possibility that the plaintiff, but for the MVA, would have improved her earning capacity within five to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Bearing in mind the legal principles identified above, and taking into account positive and negative contingencies, I conclude that an award of $290,000 is the present value of a fair and reasonable measure of the plaintiff's loss of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is entitled to compensation for the cost of future care based upon what is reasonably necessary to restore her to her pre-accident condition in so far as that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aff'd </w:t>
      </w:r>
      <w:hyperlink r:id="rId6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704"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Madam Justice Dardi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...[The] assessment is not a precise accounting exercise and ... adjustments may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and the expenditures that reasonably may be expected to be required - taking into account the prospect of any improvement in the plaintiff's condition or conversely the prospect that additional care may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Mr. Justice Donald addressed claims for future care giving costs in </w:t>
      </w:r>
      <w:r>
        <w:rPr>
          <w:rFonts w:ascii="arial" w:eastAsia="arial" w:hAnsi="arial" w:cs="arial"/>
          <w:i/>
          <w:color w:val="000000"/>
          <w:sz w:val="20"/>
          <w:lang w:val="en-US" w:eastAsia="en-US" w:bidi="ar-SA"/>
        </w:rPr>
        <w:t>Milliken v. Rowe,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2012 BCCA 490</w:t>
        </w:r>
      </w:hyperlink>
      <w:r>
        <w:rPr>
          <w:rFonts w:ascii="arial" w:eastAsia="arial" w:hAnsi="arial" w:cs="arial"/>
          <w:color w:val="000000"/>
          <w:sz w:val="20"/>
          <w:lang w:val="en-US" w:eastAsia="en-US" w:bidi="ar-SA"/>
        </w:rPr>
        <w:t xml:space="preserve"> at paras. 52-57. Although in dissent, he explained at para. 56 the distinction between future caregiving services and loss of capacity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when the capacity to provide care to an ill or disabled family member is impaired by accident-related injuries, it is a loss of the plaintiff's personal capacity and is not dependent on whether replacement costs are in fact incurred prior to trial. Claims for future caregiving costs, on the other hand, are directly related to services that will reasonably be expected to be provided to compensate the plaintiff's impaired caregiving capacity in the future, based on need and opportunity. The fact that the plaintiff's future supplemented or replaced caregiving directly benefits her family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this case, the parties are in agreement that the plaintiff will require for her future care various mobility aides, physiotherapy, counselling, medication, transportation, and exercise and weight loss, although they differ on the need to purchase a scooter, the need for an occupational therapist, and the cost of certain items. The substantive issue between the parties relate to homemaking and child care support costs. I will therefore address these issues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Homemaking and Child Care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this case, the plaintiff claims, as future case costs, the homemaking and child care support that the plaintiff will require due to her increasing physical limitations which she will have to endure prior to the hip replacement surgeries, and for a period after each of the surgeries. The plaintiff claims that she will require a nanny while her children are newborns and then child care support until they are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claims that for the first twenty years, the plaintiff will require part time homemaker support for 17 years and a full time nanny who would provide homemaking and child care support for 2 years. She also seeks child care support for 7 years after her return to work; for 1 year after the first hip surgery; and for the next 20 years ongoing homemaker support and support following the second and third surgery. The plaintiff relies on the report of the occupational therapist who recommends extensive child care support for the plaintiff based on the reports of Dr. Duncan and Dr. Jaworski. The total homemaking and childcare support claimed is $249,513.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recognize that the plaintiff's ability to manage household chores will be compromised in the six to ten years leading up to the first hip replacement surgery and for four months following the surgery. The defendants also recognize that she will require increased assistance for the two years leading up to the second hip replacement surgery and for six months following the surgery. The defendants calculate this cost based upon $25/hour cost for housekeeping services, for a total of $98,033.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submit that the claim for the provision of child care services is too speculative, relying on the decision of the Court of Appeal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Homemaking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view, this is a proper case for an award for the plaintiff's future costs related to her impaired capacity to perform homemaking duties. It is not disputed that her capacity to perform such duties will become increasingly and substantially restricted until after her first surgery and then again prior to her subsequent surgeries. I accept the opinion of Dr. Duncan that she will become more and more immobile to the point that she will require walking aids prior to the hip replacement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estimate of her future homemaking costs is reasonable, although it does not account for the assistance required for her third hip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award the defendant $112,000 on account of her impaired ability to provide homemaking duties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With respect to her future caregiving capacity, I will first consider the defendants' submission that the decision of the Court of Appeal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xml:space="preserve"> has determined that nanny services for children that a plaintiff planned to have is too remote to be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that case, there was evidence as to the plaintiff's future care costs resulting from her injuries, including homemaking services and the costs of a nanny, given her plans to have children. The Court noted, at para. 51, that assessing the costs of future care, like other hypothetical future events, "has an element of prediction and prophecy" and "should reflect reasonable expectations of what the injured person will require with the aid of placing her in the position she would normally have occupied, but for the accident". The assessment is to be objective, based on the evidence and must result in an award that is fair to both parties,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xml:space="preserve"> upheld the assessment of damages for homemaking assistance on the basis that her injuries increased the amount of time she would require such services and agreed that the award of $180,359 was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respect of the $32,115 award for the cost of a nanny, the Court noted that the plaintiff had testified that she was committed to being a working mother and her pre-accident plans were to have nanny in place for child care. In these circumstances, the Court held that the trial judge failed to take into account that the plaintiff would have required these services anyway due to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 the Court said that an award for a smaller amount for nanny services, for the period the plaintiff was on maternity leave, was not justified in light of the speculative nature of the "many contingencies and uncertainties surrounding the terms and timing or a nanny's retainer"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Although the decision does not contain detailed reasons on this aspect of the decision, it appears that the Court was critical of the lack of explanation in the trial judgment in relation to the calculation of the costs for nanny services (see para. 50). It also appears that there was an acknowledgement of an overlap between homemaking services and the services a nanny would provide. I did not take the Court to say that the costs of child care could never be compensable where they meet the threshold for such damages, as set out in para. 51 of the Court's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this case, while not referred to by the parties, I have also considered the decision of the Court of Appeal in </w:t>
      </w:r>
      <w:r>
        <w:rPr>
          <w:rFonts w:ascii="arial" w:eastAsia="arial" w:hAnsi="arial" w:cs="arial"/>
          <w:i/>
          <w:color w:val="000000"/>
          <w:sz w:val="20"/>
          <w:lang w:val="en-US" w:eastAsia="en-US" w:bidi="ar-SA"/>
        </w:rPr>
        <w:t>Milliken v. Rowe, supra,</w:t>
      </w:r>
      <w:r>
        <w:rPr>
          <w:rFonts w:ascii="arial" w:eastAsia="arial" w:hAnsi="arial" w:cs="arial"/>
          <w:color w:val="000000"/>
          <w:sz w:val="20"/>
          <w:lang w:val="en-US" w:eastAsia="en-US" w:bidi="ar-SA"/>
        </w:rPr>
        <w:t xml:space="preserve"> in which the Court reviewed the principle of remoteness in the context of a claim for a loss of caregiving capacity. In that case the Court, by a majority decision, overturned the decision of the trial judge in respect of the compensation awarded to the plaintiff for costs associated with her inability to care for her disabled husband, where the husband's disability occurred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Court held that the caregiving costs were not reasonably forseeable and were too remote to be recoverable: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At para. 169 of his reasons, the trial judge found it "readily foreseeable that an injury to a person's shoulder that causes them difficulty in the carrying out of household tasks of a related nature even if those tasks come into existence after the injuries have been caused". To support this statement, he cited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Looseleaf (Aurora, Ont: Thomson Reuters, 2010), which restated the proposition that one need only "foresee in a general way the class or character of injury which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With respect, I disagree that the loss in this case reasonably could be foreseeable even under that standard. </w:t>
      </w:r>
      <w:r>
        <w:rPr>
          <w:rFonts w:ascii="arial" w:eastAsia="arial" w:hAnsi="arial" w:cs="arial"/>
          <w:color w:val="000000"/>
          <w:sz w:val="20"/>
          <w:u w:val="single"/>
          <w:lang w:val="en-US" w:eastAsia="en-US" w:bidi="ar-SA"/>
        </w:rPr>
        <w:t>At its core, the award here is based merely on the fact that, at the time of the tort, the respondent and her husband were married with a possibility that at some future date the husband might require care of some kind</w:t>
      </w:r>
      <w:r>
        <w:rPr>
          <w:rFonts w:ascii="arial" w:eastAsia="arial" w:hAnsi="arial" w:cs="arial"/>
          <w:color w:val="000000"/>
          <w:sz w:val="20"/>
          <w:lang w:val="en-US" w:eastAsia="en-US" w:bidi="ar-SA"/>
        </w:rPr>
        <w:t xml:space="preserve">. This did not make such care reasonably foreseeable at law. It might never occur: the respondent could die before care was required; the need for care might never arise; her surgery could eliminate the problem or diminish it significantly; or, her full-time employment may have eliminated or diminished her ability to provide care regardless of the accident. </w:t>
      </w:r>
      <w:r>
        <w:rPr>
          <w:rFonts w:ascii="arial" w:eastAsia="arial" w:hAnsi="arial" w:cs="arial"/>
          <w:color w:val="000000"/>
          <w:sz w:val="20"/>
          <w:u w:val="single"/>
          <w:lang w:val="en-US" w:eastAsia="en-US" w:bidi="ar-SA"/>
        </w:rPr>
        <w:t>While plainly foreseeable as a theoretical, factual outcome in hindsight, this possibility was not a "real risk" in "the mind of a reasonable man in the position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determining whether the plaintiff's claim for compensation related to a lack of caregiving capacity is too remote in light of this authority, I note the facts in the instant case are distinguishable from those in </w:t>
      </w:r>
      <w:r>
        <w:rPr>
          <w:rFonts w:ascii="arial" w:eastAsia="arial" w:hAnsi="arial" w:cs="arial"/>
          <w:i/>
          <w:color w:val="000000"/>
          <w:sz w:val="20"/>
          <w:lang w:val="en-US" w:eastAsia="en-US" w:bidi="ar-SA"/>
        </w:rPr>
        <w:t>Milliken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Milliken</w:t>
      </w:r>
      <w:r>
        <w:rPr>
          <w:rFonts w:ascii="arial" w:eastAsia="arial" w:hAnsi="arial" w:cs="arial"/>
          <w:color w:val="000000"/>
          <w:sz w:val="20"/>
          <w:lang w:val="en-US" w:eastAsia="en-US" w:bidi="ar-SA"/>
        </w:rPr>
        <w:t xml:space="preserve"> the illness of the plaintiff's husband did not arise for three years after the motor vehicle accident. However, in this case, at the time of the MVA the plaintiff was in her child bearing years and had already had a child. This is not a case based on the mere possibility that at some future date the plaintiff's ability to care for a child might be affected by the accident. As stated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xml:space="preserve"> future care costs should reflect the reasonable expectations of what the injured person will require with the aim of placing her in the position that she would have occupied but for the accident. In my view, the plaintiff's need to care for a child was not just a theoretical risk but a real risk in the mind a reasonable person in the position of the defendant. It was reasonably foreseeable that an injury to the plaintiff may affect her ability to care for a child. Further, given the probability of a plaintiff having more than one child, I find it was reasonably foreseeable that an injury to the plaintiff may affect her ability to care for the two further children she had planned to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observe that in subsequent decisions of this court, the future costs of child care have been allowed. For example,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Mr. Justice Verhoeven allowed a claim for the child care costs for the plaintiff on the basis that it replaced a care giving capacity that the plaintiff otherwise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As noted, the defendants contend that A.'s care needs are caused by her condition, not the motor vehicle accident. Of course that is literally true, but it does not address the question of whether the plaintiff should be compensated for her lost capacity to care for A.'s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The accident has not changed A.'s condition or needs. What has changed is the ability of the plaintiff to care for A., and also the plaintiff's need for assistance with A.'s care in order to advance the plaintiff's own health and rehabilitation. On the medical and other evidence at trial, the plaintiff needs help with child care for A. in order to support the plaintiff's own health and rehabilitation, and to support her continued ability to function as she could have done but for her injuries. </w:t>
      </w:r>
      <w:r>
        <w:rPr>
          <w:rFonts w:ascii="arial" w:eastAsia="arial" w:hAnsi="arial" w:cs="arial"/>
          <w:color w:val="000000"/>
          <w:sz w:val="20"/>
          <w:u w:val="single"/>
          <w:lang w:val="en-US" w:eastAsia="en-US" w:bidi="ar-SA"/>
        </w:rPr>
        <w:t xml:space="preserve">Awarding damages for the cost of A.'s care is not for A.'s benefit; it is for the benefit of the plaintiff, and also to replace a lost capacity the plaintiff would have otherwise had. This is compensable as a discrete loss of homemaking capacity, or as Donald J.A. termed it, a loss of care-giving capacity. In my view, there is doctrinal overlap, in the sense that on the facts of this case the claim is also justified as future cost of care. However compensation is called for in order to restore the plaintiff to her original position; that is the position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the defendant:</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Mr. Justice Voith also allowed a claim for child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[181] The second subcategory pertains to child care. Ms. Berry proposes that the plaintiff be provided with two hours of childcare every day for the next seven years or until her youngest child is 11 years old. These services are said to be required to get her children ready for school and to help with meals. There is no medical evidence which indicates that the plaintiff will require such ongoing assistance. </w:t>
      </w:r>
      <w:r>
        <w:rPr>
          <w:rFonts w:ascii="arial" w:eastAsia="arial" w:hAnsi="arial" w:cs="arial"/>
          <w:color w:val="000000"/>
          <w:sz w:val="20"/>
          <w:u w:val="single"/>
          <w:lang w:val="en-US" w:eastAsia="en-US" w:bidi="ar-SA"/>
        </w:rPr>
        <w:t>Dr. Russell's evidence did address the plaintiff's need for child care while she attends a carefully graduated conditioning program. I also consider that some such child care may be required thereafter until her son is in school on a full-time basis so that she can both re-enter the workforce and maintain her fitness regime</w:t>
      </w:r>
      <w:r>
        <w:rPr>
          <w:rFonts w:ascii="arial" w:eastAsia="arial" w:hAnsi="arial" w:cs="arial"/>
          <w:color w:val="000000"/>
          <w:sz w:val="20"/>
          <w:lang w:val="en-US" w:eastAsia="en-US" w:bidi="ar-SA"/>
        </w:rPr>
        <w:t>. I consider the figure of $7,500, using the unit figures developed by Ms. Berry, achieves this object. That figure is roughly based on Ms. Brewster requiring four hours of childcare three times a week for the next six months and two hours a day for the following 18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Payne v. Miles</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2013 BCSC 1545</w:t>
        </w:r>
      </w:hyperlink>
      <w:r>
        <w:rPr>
          <w:rFonts w:ascii="arial" w:eastAsia="arial" w:hAnsi="arial" w:cs="arial"/>
          <w:color w:val="000000"/>
          <w:sz w:val="20"/>
          <w:lang w:val="en-US" w:eastAsia="en-US" w:bidi="ar-SA"/>
        </w:rPr>
        <w:t>, Mr. Justice Voith allowed a claim for ongoing child care assistance the plaintiff would require if she had one or more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Recognizing the significant unknowns that arise from this care expense, I consider that the various considerations and scenarios that underlie Mr. Kerr's report and the care costs he generates for them are more reasonable than those advanced by Ms. Landry. In particular, I consider that the level of child care assistance proposed by Ms. Landry is excessive. Counsel for Ms. Payne, in his closing submissions, effectively conceded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Having said this, Mr. Kerr's calculations are premised on Ms. Payne only having one child. Mr. Kerr also accepted that his calculations were premised on Ms. Payne having a live-in nanny and that the cost of a live-out nanny would be 50% higher. Mr. Kerr did not reference the fact that, if Ms. Payne marries, she is more likely than the average person to get divorced--a factor which would tend to increase the burden of caring for a child. </w:t>
      </w:r>
      <w:r>
        <w:rPr>
          <w:rFonts w:ascii="arial" w:eastAsia="arial" w:hAnsi="arial" w:cs="arial"/>
          <w:color w:val="000000"/>
          <w:sz w:val="20"/>
          <w:u w:val="single"/>
          <w:lang w:val="en-US" w:eastAsia="en-US" w:bidi="ar-SA"/>
        </w:rPr>
        <w:t>There are, then, various further contingencies which justify fixing Ms. Payne's future child care costs at $275,000. I consider that this amount is reasonable and that it is supported by the medical evidence, in particular by the opinion of Dr. Anton.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a similar basis, I consider the plaintiff is entitled to an award which compensates her for the future costs she will incur in caring for her children. It is not seriously disputed that she will need support to care for her children in the period prior to and immediately after her first hip replacement surgery. The defendants implicitly suggest that homemaking services will be sufficient. However, in my view, while homemaking services need to be accounted for to ensure that there is no duplication of services, certain of the services that the plaintiff will require relate solely to the care of her children and are in addition to the homemaking services she will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regard to the particular child care services recommended, the occupational therapist proposed that child care be provided to facilitate the plaintiff's full participation in weight loss and exercise programs to ameliorate her chronic pain disorder. Although Jacob is in school, as the plaintiff is currently working full time, I accept that she will need child care in order to fully participate in her rehabilitation program over the next two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was also recommended that a nanny would be required to assist the plaintiff with her infant children and that additional child care support would be required while the children are young. With respect to child care for children she and her fiancé plan to have, as noted above, I find that it is probable that at least one child will be born before she has the first hip replacement surgery. I accept that the two years leading up to the surgery is likely to be a time when she has the greatest physical limitations in terms of her mobility and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During this period, she will not be in the position to provide the level of care for Jacob and any other children she would otherwise have provided. She will require a high level of support because of her deteriorating condition. I accept that, at least for this two year period she will require part-time and then full-time child care support. Additionally, in the three month period after the first hip replacement surgery, she will require full and then part-time child care support to care for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the plaintiff seeks a significantly higher level of child care support than the above, I consider that the periods where her caregiving capacity are likely to be substantially impaired are the periods preceding and following the first hip replacement surgery. As noted above, I find that the primary cause of her physical disability is her hip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therefore, consider that the plaintiff is entitled to compensation for her loss of caregiving capacity. However, as noted above, the amount of compensation must take into account that homemaking services could be combined with child care during the periods when the plaintiff is receiving child care support. With that in mind, I assess the future care costs for child care at $40,500.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Mobility Aids, Therapy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noted above, the parties are in substantial agreement on other costs required for the future care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With respect to the differences between the parties, I note that the plaintiff seeks the cost of a scooter, while the defendants suggest that it can be rented in the event that it is required. I agree with the defendants that given the limited time which the plaintiff may require a scooter to assist her, renting is a more reasonable option. I have lowered the cost of medication to take into account the likely effect of the exercise and weight loss program and the hip replacement surgery in ameliorating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award the following additional future care costs: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Mobility aids, bathroom aids, dressing aids and position aids: $1,809;</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and kinesiology: $9,340;</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program, dietician, and weight loss program: $5,807;</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$1,320;</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$6,000;</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counselling: $1,100;</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$4,000;</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$2,040.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parties agree on the amount of special damages incurred at $6,566.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summary, the damages awarded to the plaintiff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$30,750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Homemaking and Child Care Costs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Future Care Costs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$31,416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$6,566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$686,232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is entitled to her costs at scale B, unless there are circumstances the parties wish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Deol v. Sheikh, [2016] B.C.J. No. 2717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6-10 and 13-17, 2016; additional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from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October 14, 2016; additional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from defendants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A.C.W.S. (3d) 560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2717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2016 BCSC 2404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35 C.C.L.T. (4th) 128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2016 CarswellBC 3629</w:t>
        </w:r>
      </w:hyperlink>
      <w:r>
        <w:rPr>
          <w:rFonts w:ascii="arial" w:eastAsia="arial" w:hAnsi="arial" w:cs="arial"/>
          <w:color w:val="000000"/>
          <w:sz w:val="20"/>
          <w:lang w:val="en-US" w:eastAsia="en-US" w:bidi="ar-SA"/>
        </w:rPr>
        <w:t>Docket: M135754Registry: Vancouver</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Jagjiwan Kaur Deol, Plaintiff, and Naila-Sheikh Sheikh, W.M. Lawn Care Surrey Ltd.,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34"/>
      <w:bookmarkEnd w:id="232"/>
      <w:r>
        <w:rPr>
          <w:rFonts w:ascii="arial" w:eastAsia="arial" w:hAnsi="arial" w:cs="arial"/>
          <w:b/>
          <w:color w:val="000000"/>
          <w:sz w:val="20"/>
          <w:lang w:val="en-US" w:eastAsia="en-US" w:bidi="ar-SA"/>
        </w:rPr>
        <w:t>Damages — Physical and psychological injuries — Physical injuries — Fibromyalgia or chronic pain — Considerations impacting on award — Degree of impairment — Permanent total or partial disability — Pre-existing injury — Action by plaintiff for personal injury damages allowed — Plaintiff was rear-ended in 2012 accident — Plaintiff suffered permanent worsening of chronic pain condition caused by 2006 accident — Proper approach to assessment of damages was to assess degree to which condition was worsened by 2012 accident rather than making global assessment of damages with deduction of settlement proceeds from initial accident — Plaintiff awarded $90,000 for past loss of earning capacity, $100,000 for future lost earning capacity, $50,000 for costs of future care, $2,000 for lost housekeeping capacity, $20,000 for special damages, and $70,000 for non-pecuniary losses.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Employment status — Extent of incapacity — Pre-existing medical conditions — Cost of future care — Loss of earning capacity — Special damages — Non-pecuniary loss — Action by plaintiff for personal injury damages allowed — Plaintiff was rear-ended in 2012 accident — Plaintiff suffered permanent worsening of chronic pain condition caused by 2006 accident — Proper approach to assessment of damages was to assess degree to which condition was worsened by 2012 accident rather than making global assessment of damages with deduction of settlement proceeds from initial accident — Plaintiff awarded $90,000 for past loss of earning capacity, $100,000 for future lost earning capacity, $50,000 for costs of future care, $2,000 for lost housekeeping capacity, $20,000 for special damages, and $70,000 for non-pecuniary losses.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Difficulty in assessment — Action by plaintiff for personal injury damages allowed — Plaintiff was rear-ended in 2012 accident — Plaintiff suffered permanent worsening of chronic pain condition caused by 2006 accident — Proper approach to assessment of damages was to assess degree to which condition was worsened by 2012 accident rather than making global assessment of damages with deduction of settlement proceeds from initial accident — Plaintiff awarded $90,000 for past loss of earning capacity, $100,000 for future lost earning capacity, $50,000 for costs of future care, $2,000 for lost housekeeping capacity, $20,000 for special damages, and $70,000 for non-pecuniary losses.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31"/>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Deol, against the defendants, Sheikh, WM Lawn Care, and the ICBC, for personal injury damages. The plaintiff sought damages in connection with a February 2012 accident involving the defendant driver. The plaintiff's vehicle was rear-ended by the defendant's vehicle while stopped waiting to merge into traffic. The primary issue regarding assessment of damages arose from the plaintiff's pre-existing chronic pain condition caused by a 2006 motor vehicle accident. The plaintiff's condition allowed her to work if she was able to take one day off per week to manage her ongoing pain. The litigation related to the 2006 accident resulted in a 2011 settlement for $153,300. The plaintiff sought an award of global damages for both accidents, reflecting indivisible injuries, with the tortfeasors jointly and severally liable, and deduction of the 2011 settlement from the global award. The defendants sought treatment of the second accident as having caused divisible injuries from the 2006 accident with separate assessment of damages accordingly.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4" w:name="Holdings of Court_28"/>
            <w:bookmarkEnd w:id="23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proper approach to assessment of damages was to assess the degree to which the plaintiff's chronic pain condition was worsened by the 2012 accident, rather than make a global assessment of damages for her chronic pain condition and then deduct the amount of the settlement received in relation to the 2006 accident. The 2012 accident permanently worsened the plaintiff's condition. Although she was able to return to work, she required increased medication due to increased pain and sensitivity. The plaintiff was entitled to damages of $332,000 comprised of $90,000 for past loss of earning capacity, $100,000 for future lost earning capacity, $50,000 for costs of future care, $2,000 for lost housekeeping capacity, $20,000 for special damages, and $70,000 for non-pecuniary losses.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Counsel_35"/>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C. Marcoux, Richard Chang.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Vernon J. Pahl, Jordan A. Bank, N. Wood,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5"/>
      <w:bookmarkEnd w:id="236"/>
      <w:r>
        <w:pict>
          <v:line id="_x0000_s1197"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S.A. GRIFFIN J."/>
            <w:bookmarkEnd w:id="237"/>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how to measure Ms. Deol's (the "Plaintiff") damages from a motor vehicle accident that occurred on February 11, 2012 (the "2012 Accident"), given that she had a pre-existing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Nailia-Sheikh Sheikh, W.M. Lawn Care Surrey Ltd. and the Insurance Corporation of British Columbia (the "Defendants") have not admitted liability for the 2012 Accident but did not challenge liability either. The Plaintiff was in the driver's seat of her vehicle stopped waiting to merge into traffic to go on to the Pattullo Bridge from the New Westminster side when her car was hit from behind by a vehicle driven by the personal defendant. I find that liability was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pain condition impacts her life in every way. The difficulty in this case is determining what position she would have been in "but for" the accident as compared to what her position is and will be given the fact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a prior motor vehicle accident on November 3, 2006 and thereafter suffered from chronic pain (the "2006 Accident"). She also had some history of pain symptoms before the 2006 Accident. She settled her claim arising from the 2006 Accident in February 2011 for $153,300 plus some costs and disbursements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of the main issues at trial concerns the divisibility of the Plaintiff's injuries: should the Plaintiff be awarded a global amount of damages in relation to the injuries that were caused by both accidents, treating the injuries as indivisible and the tortfeasors as jointly and severally liable, and then should the prior Settlement amount be deducted from this award (the Plaintiff's position); or should the second accident be treated as causing a divisible injury, for which damages which can be isolated and assessed separately from whatever was caused by the 2006 Accident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Regarding Liability of Multiple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involved in two successive motor vehicle accidents, caused by different tortfeasors, both leaving her injured. The Court must determine whether the injuries caused by the 2012 Accident are divisible from the injuries caused by the 2006 Accident, or are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case of indivisible injury caused by multiple tortfeasors, the tortfeasors are jointly and severally liable regardless of whether the torts were concurrent or consecutive.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leave to appeal ref'd </w:t>
      </w:r>
      <w:hyperlink r:id="rId725"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Huddart J.A. wrote at para. 2, "there is no valid policy reason for treating concurrent and consecutive torts differently when both are necessary causes of an indivisible injury and its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dealt with the question of two accidents and a settlement received for the second accident. The Court noted that the appeal had to do with "whether the settlement amounts received from a subsequent tortfeasor should be deducted from a damage award made against the original tortfeasor"; see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at para. 1. The Court concluded that the settlement award should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submits that Madam Justice Huddart's comments at paras. 33 and 42-43 of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apply to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 In the case at bar, the torts can be categorized as "consecutive" because, while the appellant's injury was indivisible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the settling defendant and the respondent tortfeasor were necessary causes of that injury and the loss resulting from it,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at different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two causes of action are not separate: they are linked by the indivisible injury the trial judge found to have been caused by the separate torts. That link brings into play not only joint and several liability, but also the rule against double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It follows that I do not see the trial judge's failure to distinguish between concurrent and consecutive torts or apportion damages as material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the Court of Appeal returned to the issue of liability for damages caused by consecutive accidents. In that case the original tortfeasor who caused the plaintiff to suffer soft tissue injuries was liable for all damages when those injuries were worsened by subsequent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provided a lengthy explanation of multiple tortious causes and divisible injuries, at paras. 20-24. This passage begins with the following summary of the Supreme Court of Canada's decision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course of the discussion, Major J. (for the Court) described injuries produced by more than one cause as either "divisible" or "indivisible". </w:t>
      </w:r>
      <w:r>
        <w:rPr>
          <w:rFonts w:ascii="arial" w:eastAsia="arial" w:hAnsi="arial" w:cs="arial"/>
          <w:color w:val="000000"/>
          <w:sz w:val="20"/>
          <w:u w:val="single"/>
          <w:lang w:val="en-US" w:eastAsia="en-US" w:bidi="ar-SA"/>
        </w:rPr>
        <w:t>Divisible injuries are those capable of being separated out and having their damages assessed independently. Indivisible injuries are those that cannot be separated or have liability attributed to the constituent causes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Court also commented on the concept of aggravation of an existing injury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color w:val="000000"/>
          <w:sz w:val="20"/>
          <w:u w:val="single"/>
          <w:lang w:val="en-US" w:eastAsia="en-US" w:bidi="ar-SA"/>
        </w:rPr>
        <w:t>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Blackwater), if the injuries cannot be distinguished from one another on the facts</w:t>
      </w:r>
      <w:r>
        <w:rPr>
          <w:rFonts w:ascii="arial" w:eastAsia="arial" w:hAnsi="arial" w:cs="arial"/>
          <w:color w:val="000000"/>
          <w:sz w:val="20"/>
          <w:lang w:val="en-US" w:eastAsia="en-US" w:bidi="ar-SA"/>
        </w:rPr>
        <w:t xml:space="preserve">.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 19). It may be that in some cases, earlier injury and later injury to the same region of the body are divisible. </w:t>
      </w:r>
      <w:r>
        <w:rPr>
          <w:rFonts w:ascii="arial" w:eastAsia="arial" w:hAnsi="arial" w:cs="arial"/>
          <w:color w:val="000000"/>
          <w:sz w:val="20"/>
          <w:u w:val="single"/>
          <w:lang w:val="en-US" w:eastAsia="en-US" w:bidi="ar-SA"/>
        </w:rPr>
        <w:t>While it will lie for the trial judge to decide in the circumstances of each case, it is difficult to see how the worsening of a single injury could be divided up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cases involving successive sexual assaults have found the successive tortfeasors to have created an indivisible injury for which any one tortfeasor is jointly and severally liable. Also as held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 it is difficult to see how the worsening of a single injury could be divided up, but it is possible that in some cases injuries to the same region of the body are 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Schnurr v. Insurance Corporation of British Columbia</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the plaintiff had medical complaints prior to and from a series of accidents. The Court was addressing the plaintiff's claims from subsequent accidents, as the plaintiff had settled her claims from the first three accidents. Even though the injuries were similar they were found to be divisible because there was sufficient evidence of her medical condition prior to the subsequent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distinguished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as follows at paras. 165-172: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[165] In my view, cases such 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distinguishable from the case at bar. Both of those cases concerned plaintiffs involved in two separate motor vehicle accidents, and the effect of each accident was a live issue before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drivers of the other vehicles were both named as defendants and were represented by the same counsel at trial.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second driver was not a defendant but the plaintiff apparently testified at some length about that accident, its impacts on her and the relationship between the injuries suffered in the two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[166] In contrast, in the present case Ms. Schnurr alleges that her compensable injuries result from six separate accidents over an eleven-year period. For the first three accidents, Ms. Schnurr commenced legal proceedings and settled her claims in October 2007. Ms. Schnurr provided minimal evidence about those actions and the terms of the October 2007 settlement. Unlike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prior accidents were not a significant issue in these proceedings and it is impossible to make findings of fact surrounding those accidents. Simply put, Ms. Schnurr requests me to make a finding that six accidents resulted in an indivisible injury while only providing the necessary evidence in relation to three of those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[167] Further, </w:t>
      </w:r>
      <w:r>
        <w:rPr>
          <w:rFonts w:ascii="arial" w:eastAsia="arial" w:hAnsi="arial" w:cs="arial"/>
          <w:color w:val="000000"/>
          <w:sz w:val="20"/>
          <w:u w:val="single"/>
          <w:lang w:val="en-US" w:eastAsia="en-US" w:bidi="ar-SA"/>
        </w:rPr>
        <w:t>this case is unusual because even though certain of her complaints resulting from the subject accidents are related to her injuries sustained in the previous accidents, it is possible to determine her original position when the first of the subject accidents occurred in November 2007</w:t>
      </w:r>
      <w:r>
        <w:rPr>
          <w:rFonts w:ascii="arial" w:eastAsia="arial" w:hAnsi="arial" w:cs="arial"/>
          <w:color w:val="000000"/>
          <w:sz w:val="20"/>
          <w:lang w:val="en-US" w:eastAsia="en-US" w:bidi="ar-SA"/>
        </w:rPr>
        <w:t xml:space="preserve">. As discussed above and below, </w:t>
      </w:r>
      <w:r>
        <w:rPr>
          <w:rFonts w:ascii="arial" w:eastAsia="arial" w:hAnsi="arial" w:cs="arial"/>
          <w:color w:val="000000"/>
          <w:sz w:val="20"/>
          <w:u w:val="single"/>
          <w:lang w:val="en-US" w:eastAsia="en-US" w:bidi="ar-SA"/>
        </w:rPr>
        <w:t>several of Ms. Schnurr's injuries did not originate from the subject accidents but were likely exacerbated by them</w:t>
      </w:r>
      <w:r>
        <w:rPr>
          <w:rFonts w:ascii="arial" w:eastAsia="arial" w:hAnsi="arial" w:cs="arial"/>
          <w:color w:val="000000"/>
          <w:sz w:val="20"/>
          <w:lang w:val="en-US" w:eastAsia="en-US" w:bidi="ar-SA"/>
        </w:rPr>
        <w:t>, including her chronic pain condition, headaches and depression and cognitive difficulties. Similarly, several of her injuries are related to afflictions that predate the earliest accident in 2001, including a degenerative disc in her low back and bladder and urinary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[168] </w:t>
      </w:r>
      <w:r>
        <w:rPr>
          <w:rFonts w:ascii="arial" w:eastAsia="arial" w:hAnsi="arial" w:cs="arial"/>
          <w:color w:val="000000"/>
          <w:sz w:val="20"/>
          <w:u w:val="single"/>
          <w:lang w:val="en-US" w:eastAsia="en-US" w:bidi="ar-SA"/>
        </w:rPr>
        <w:t>These conditions were well documented in the substantial medical evidence</w:t>
      </w:r>
      <w:r>
        <w:rPr>
          <w:rFonts w:ascii="arial" w:eastAsia="arial" w:hAnsi="arial" w:cs="arial"/>
          <w:color w:val="000000"/>
          <w:sz w:val="20"/>
          <w:lang w:val="en-US" w:eastAsia="en-US" w:bidi="ar-SA"/>
        </w:rPr>
        <w:t xml:space="preserve"> prepared for Ms. Schnurr's use in the proceedings which were settled in October 2007, including opinions provided by Ms. Schnurr's treating physicians, Dr. Barron and Dr. Anton. Significantly, both physicians were of the opinion that Ms. Schnurr was disabled and unable to work prior to the November 10, 2007 accident. In his report dated October 5, 2007, Dr. Barron stated "I do not think that [Ms. Schnurr] will ever be free of chronic back pain". Dr. Anton noted that even before the earliest accident in 2001, Ms. Schnurr had a pre-existing degenerative disc disease in her low back that increased her risk of future injury, and in his report dated August 31, 2007 he opined that the "duration of Ms. Schnurr's pain makes it unlikely that she will become pain 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Considering all the evidence, I find that Ms. Schnurr's complaints resulting from the accidents that were settled in October 2007 had already become a chronic condition when the first subject accident occurred on November 10, 2007. At that point, several of her afflictions had been in effect for years, and the expert evidence indicates that her afflictions were likely to be of a long-term, ongoing nature. Significantly, the evidence does not indicate that Ms. Schnurr's condition was unstable or significantly improving, or that there was a realistic chance that she would begin a new program or treatment or experience some other change of circumstances that would affect her injuries or chance of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w:t>
      </w:r>
      <w:r>
        <w:rPr>
          <w:rFonts w:ascii="arial" w:eastAsia="arial" w:hAnsi="arial" w:cs="arial"/>
          <w:color w:val="000000"/>
          <w:sz w:val="20"/>
          <w:u w:val="single"/>
          <w:lang w:val="en-US" w:eastAsia="en-US" w:bidi="ar-SA"/>
        </w:rPr>
        <w:t>In short, by October 2007 Ms. Schnurr's condition had plateaued. The afflictions she complained of prior to that point were no longer a series of ongoing injuries, but rather chronic conditions. To use the terminology of Athey, the chain of events caused by the first three accidents had ended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[171] As reiterated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32). Due to the unique procedural history of Ms. Schnurr's various actions, the medical evidence in this case provides a clear picture of her position immediately before the first of the subject accidents in this action. It is possible to accurately determine her original position notwithstanding its relationship to the prior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w:t>
      </w:r>
      <w:r>
        <w:rPr>
          <w:rFonts w:ascii="arial" w:eastAsia="arial" w:hAnsi="arial" w:cs="arial"/>
          <w:color w:val="000000"/>
          <w:sz w:val="20"/>
          <w:u w:val="single"/>
          <w:lang w:val="en-US" w:eastAsia="en-US" w:bidi="ar-SA"/>
        </w:rPr>
        <w:t>In the circumstances of this case, Ms. Schnurr's injuries from the subject accidents should not be seen as merging with prior indivisible injuries. Rather, these injuries should be characterized as divisible injuries inflicted on someone who suffered from chronic, pre-existing conditions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[173] The circumstances of this case are similar to those in </w:t>
      </w:r>
      <w:r>
        <w:rPr>
          <w:rFonts w:ascii="arial" w:eastAsia="arial" w:hAnsi="arial" w:cs="arial"/>
          <w:i/>
          <w:color w:val="000000"/>
          <w:sz w:val="20"/>
          <w:lang w:val="en-US" w:eastAsia="en-US" w:bidi="ar-SA"/>
        </w:rPr>
        <w:t>Sediqi</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[2015] B.C.J. No. 247</w:t>
        </w:r>
      </w:hyperlink>
      <w:r>
        <w:rPr>
          <w:rFonts w:ascii="arial" w:eastAsia="arial" w:hAnsi="arial" w:cs="arial"/>
          <w:color w:val="000000"/>
          <w:sz w:val="20"/>
          <w:lang w:val="en-US" w:eastAsia="en-US" w:bidi="ar-SA"/>
        </w:rPr>
        <w:t xml:space="preserve"> where Madam Justice Fisher assessed damages flowing from seven accidents that occurred between 2010 and 2013. The plaintiff there had also been involved in two previous accidents in 2006, but had settled his claims in respect of those accidents in 2009. Madam Justice Fisher treated the plaintiff's injuries from the seven accidents before her as indivisible, but divisible from the injuries sustained in the two previous accidents. She considered the plaintiff's injuries resulting from those accidents as a pre-existing condition for the purposes of determining whether the thin skull rule or the crumbling skull rule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In my view, that is the correct approach to take in this case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the Court found that the plaintiff had not proved the injuries from all accidents were indivisible. The Court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gave weight to the fact that the plaintiff's medical condition had plateaued or stabilized into a chronic condition before the accidents that were the subject of the lawsuit, and it was therefore possible to determine the extent to which the subject accidents exacerbated her condition. However, the Court found that the combined exacerbation of injuries caused by the accidents that were the subject of the lawsuit were in fact indivisible (at para.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was recently adopted and applied in </w:t>
      </w:r>
      <w:r>
        <w:rPr>
          <w:rFonts w:ascii="arial" w:eastAsia="arial" w:hAnsi="arial" w:cs="arial"/>
          <w:i/>
          <w:color w:val="000000"/>
          <w:sz w:val="20"/>
          <w:lang w:val="en-US" w:eastAsia="en-US" w:bidi="ar-SA"/>
        </w:rPr>
        <w:t>Uppal v. Judge</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2016 BCSC 642</w:t>
        </w:r>
      </w:hyperlink>
      <w:r>
        <w:rPr>
          <w:rFonts w:ascii="arial" w:eastAsia="arial" w:hAnsi="arial" w:cs="arial"/>
          <w:color w:val="000000"/>
          <w:sz w:val="20"/>
          <w:lang w:val="en-US" w:eastAsia="en-US" w:bidi="ar-SA"/>
        </w:rPr>
        <w:t xml:space="preserve"> at paras. 84-87 [</w:t>
      </w:r>
      <w:r>
        <w:rPr>
          <w:rFonts w:ascii="arial" w:eastAsia="arial" w:hAnsi="arial" w:cs="arial"/>
          <w:i/>
          <w:color w:val="000000"/>
          <w:sz w:val="20"/>
          <w:lang w:val="en-US" w:eastAsia="en-US" w:bidi="ar-SA"/>
        </w:rPr>
        <w:t>Uppal</w:t>
      </w:r>
      <w:r>
        <w:rPr>
          <w:rFonts w:ascii="arial" w:eastAsia="arial" w:hAnsi="arial" w:cs="arial"/>
          <w:color w:val="000000"/>
          <w:sz w:val="20"/>
          <w:lang w:val="en-US" w:eastAsia="en-US" w:bidi="ar-SA"/>
        </w:rPr>
        <w:t>]. There the Court held the injuries from the accidents that were the subject of the lawsuit were divisible from prior injuries sustained in earlier accidents, but as between the subject accidents they were indivisible, finding at paras. 85-86: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Like the plaintiff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even though many of Mr. Uppal's complaints relating to the subject accidents are related to injuries sustained in the earlier accidents, it is possible to determine his original position shortly before the accident on July 20,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 find that Mr. Uppal's injuries resulting from the accidents on July 20, 2009, May 13, 2010, June 10, 2012 and December 21, 2014 are divisible from the injuries arising out of the earlier accidents, but that his injuries from the subject accidents are indivisible. It is difficult, if not impossible, to separate out which of the subject accidents caused or contributed to which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decisions and those which have applied them confirm that each case involving multiple accidents requires a finding of fact as to whether the injuries are divisible or not. While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suggests that a tortious injury that involves aggravation of an existing condition is unlikely to be divisible from the prior tortious injury,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did not suggest it would be impossible to determine such injuries are in fact divisible. The case of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and those that follow it indicate that the question of divisibility depends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facts are largely undisputed although the parties have different views on the extent of the Plaintiff's pre and post-accident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Deol was born in 1975. She finished high school in 1993. It would be fair to say she was not particularly career-driven initially. She enjoyed recreational soccer and going out with friends. She took some courses at a local college but was not serious about it and did not obtain a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young woman Ms. Deol took a job in her uncle's accounting firm as a receptionist. She started doing some accounting work, which by description would be fair to say was more of a bookkeeping nature. She worked there for about four or five years until she applied to Canada Revenue Agency ("CRA") where she began working in January 2000. Her initial position was essentially a call centre agent, otherwise described as a "client services clerk". She answered calls about personal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Deol was promoted within the first few months at CRA to a higher level. In approximately 2002 she was promoted to a position within CRA described as "Trust Examiner". To qualify for the role she took tests and had a job interview. As a Trust Examiner, she examined and resolved issues having to do with employer remittances from payroll that were to be held in trust for the Receiver-General, such as Canada Pension Plan and Employment Insurance payments. Much of her work included travelling to an employer's workplace to review the payroll books and records. She would carry with her a laptop computer, printer and paperwork related to the file, and sometimes would spend up to six or seven hours at an employer's place of business. Some files would require her to deliver paperwork to the CRA office, and some files she could deal with from her computer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a benchmark within CRA for a Trust Examiner to resolve accounts within 45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Deol enjoyed the autonomy that came with being a Trust Examiner.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job level above Trust Examiner is Employer Compliance Audit, or ECA. Ms. Deol has not successfully completed the necessary accounting courses to advance to that role. There was insufficient evidence to attribute her failure to complete the accounting courses to any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November 3, 2006, Ms. Deol was driving a car through a green light when her vehicle was struck by another car that ran a red light and collided with her vehicle. Ms. Deol's car was struck in the middle of the passenger side, causing all the curtain airbags on that side to deploy. The impact was severe enough to cause her vehicle to spin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Subsequently Ms. Deol began to suffer pain in her neck and lower and upper back. She took time off work. She received physiotherapy, massage therapy and other treatments. She was prescribed various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Deol testified that because she was in pain in the period following the 2006 Accident her memory about this time is not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Anton Diagnosis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Eventually Ms. Deol was diagnosed with fibromyalgia by Dr. H. Anton, a medical doctor who practices the specialty of physical medicine and rehabilitation (or physiatry). Dr. Anton performed an independent medical examination of Ms. Deol, and reviewed her medical records. His medical-legal report prepared in relation to the 2006 Accident, dated November 17, 2008, was entered as an exhibit at trial without the need to call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Anton diagnosed Ms. Deol as having suffered the following injuries in the 2006 Accident: injuries to the soft tissues of the cervical spine and shoulder girdle; injuries to the soft tissues of the thoracolumbar spine; and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Anton thought it probable that Ms. Deol developed clinical depression after the 2006 Accident. He noted that this is the most common psychological complication of chronic pain. He noted that she had disordered sleep and was deconditioned, and he felt she might have some improvement if these problems were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Anton diagnosed Ms. Deol with fibromyalgia, a "chronic pain syndrome that affects the soft tissues". He also found it probable that she satisfied the DSM-IV-TR criteria for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Anton noted that Ms. Deol might have had a genetic predisposition to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Indeed some of Ms. Deol's medical records prior to the 2006 Accident included reports of pain. Her family physician made a note in her medical chart in 2001 questioning whether Ms. Deol might have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the 2006 Accident, Ms. Deol was active in recreational sports and had some knee injuries requiring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early 2002, Ms. Deol was referred to Dr. J.S. Jaworski, a specialist in physical medicine and rehabilitation (a physiatrist) for pains in her neck, upper back and right shoulder. Dr. Jaworski did not find tenderness in all fibromyalgia points. Dr. Jaworski reported that Ms. Deol said the pains were intermittent but growing in intensity and duration, but at the time he saw her she was pain-free.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Deol's evidence was that the pain she felt before 2006 was not like the pain she felt since - meaning not as intense as it was after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pause here to note that Ms. Deol came across as a credible witness. She did not appear to be evasive about old medical records that recorded reports of pain nor did she seem to want to attribute all of her medical problems to the 2006 Accident or the 2012 Accident. Ms. Deol also readily admitted when she could not recall something and did not disagree with many points put to her in cross-examination that might be seen as not helping her case. If anything, she appeared to be a reluctant witness, not wanting to amplify her concerns but instead appearing uncomfortable and embarrassed speaking about her medical condition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appeared to me that Ms. Deol's chronic pain condition has also impaired her memory somewhat, perhaps because it becomes hard to distinguish one day from the next and perhaps because of the mood issues that are related to the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any event, the evidence was clear that Ms. Deol was not diagnosed with fibromyalgia prior to the 2006 Accident but was so diagnosed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Anton felt in 2008 that there was some potential for improvement in Ms. Deol's condition if she had psychological treatment focused on her pain disorder and depressed mood, pharmacological intervention for the depressed mood and sleep, and an exercise program. However, in Dr. Anton's opinion there was only a small likelihood Ms. Deol would become completely pain-free.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Anton did feel that Ms. Deol would be able to either return to her work at CRA or do alternative full-time work of a sedentary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Return to Work Post-2006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review of Ms. Deol's medication history and ability to undertake regular exercise has provided a gateway into the severity of Ms. Deol's symptoms from her chronic pain condition: when she feels better she needs less medication to cope with her pain and exercises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Deol followed medical advice in taking medication to assist her in managing her pain following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Over the course of 2009 and 2010, Ms. Deol tried to decrease her medication. She also began to exercise more, including swimming. However, she still reported significant problems. For example, in September 2009 and in September 2010 she requested a disabled permit for parking based on leg and back pain which limited her ability to walk more than a short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Deol tried to return to work, undergoing graduated return to work ("GRTW") programs. Her initial attempts were unsuccessful but eventually she returned to working full-time for CRA as a Rulings Officer in April 2009. One of the advantages of this position initially was that it was temporarily based in Surrey and so she did not have to commute a long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By the end of 2010, Ms. Deol was working full-time and was even doing over-time hours. However, the location of her position as a Rulings Officer was going to be moved from Surrey to Vancouver. She wanted to return to being a Trust Examiner.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2009 and 2010, Ms. Deol continued to report to her treating and specialist physicians ongoing pain symptoms, involving her lower back and right hip girdle and leg, neck pain, shoulder girdle pain, headaches, and right jaw pain, as well as associated mood symptoms (depression, anxiety, and sleep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Deol agreed in cross-examination that she had a kaleidoscope of symptoms and one could pick a body part and it probably hurt at one point in time in the period from the 2006 Accident to January 2011 (prior to the neck herniation discussed later in these Reasons). She would experience flare-ups of pain, including to her neck and shoulder. Some days she would have pain in the neck or back or leg, and would go to bed with one pain and wake up with another. Her pain continued to be all over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in this time period Ms. Deol was managing her pain and even took a couple of vacations to Europe and to Cuba. Ms. Deol explained that her pain did not lessen, but she was able to manage it better by putting it to the back of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of October 16, 2010, the Plaintiff's family doctor, Dr. Singh, prepared an expert report in relation to the 2006 Accident. Dr. Singh has been the Plaintiff's family doctor since approximately June 2001. Dr. Singh had earlier prepared an expert report dated December 4, 2007. Dr. Singh recited the long history of Ms. Deol's pain problems and treatments, including treatments and consultation reports by the physiatrist, Dr. Jaworski, and another physiatrist, Dr. Ansel Chu, and treatment at the Thorson Pain Clinic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Chu provided consult reports dated October 2, 2009, December 3, 2009 and January 5, 2010 to Dr.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Singh noted in her October 16, 2010 report that Ms. Deol had been off medications for several months. Dr. Singh felt optimistic that Ms. Deol would be able to return to her original job. Nevertheless, Dr. Singh did not think Ms. Deol would make a full recovery given the duration and severity of her pain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Settlement Relating to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Deol commenced a legal claim in relation to her damages caused by the 2006 Accident. She attended a judicial settlement conference in relation to her claim on January 4, 2011. At this point the diagnosis was consistent with a chronic pain disorder, but Ms. Deol had returned to full-time work. She advanced a position, amongst other things, that she had suffered a future loss of earning capacity due to the risks her injuries had not completely resolved and could require her to take time off work from time to time in the future due to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Settlement was subsequently reached on February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Deol's claim in relation to the 2006 Accident was settled for a total payment of $181,300 of which $28,000 represented costs and disbursements for a net settlement in respect of damages of $153,300. Of this, $26,000 represented special damages and $11,590 represented funds paid to Ms. Deol's extended health insurer for subrogated claims in relation to treatments and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2011 Neck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Unfortunately the Plaintiff suffered a setback at around the same time as her Settlement. She began to experience severe neck pain in early 2011. She was eventually diagnosed with an acute herniation of the C6-C7 levels on the left side of her spine, the cause of which is unknown. Her pain was extremely intense, much more so than she had previously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Deol had a long history of reporting neck pain to her physicians, sometimes describing it as a pinched nerve. There is some suggestion in the medical evidence that the neck herniation could have been a spontaneous deterioration of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From February to the date of her surgery in 2011, the Plaintiff was in intense pain and needed strong pain-killers to manage the pain. Her left arm was extremely painful and she talked about feeling like she wanted to break it with a hammer and cut off her fingers. She testified that she has never had pain as intense as this before then or since the surgery. Every four hours she took pain-killers, and she slept on a fold-out chair in front of the television. She was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Deol was referred to a neurosurgeon, Dr. Andrew Lee, who performed neck surgery, a discectomy, on her on October 20, 2011. This surgery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medical evidence is undisputed that the disc herniation was a set-back during 2011, but once the surgery was complete Ms. Deol would likely have healed from the extreme pain caused by it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Gradually Ms. Deol started to feel that the intense left-sided pain attributed to the neck herniation was gone and she began to return to her pre-neck herniation state, which although not a pain-free state, was not as severe and debilitating as it had been with the neck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Ms. Deol explained that the pains she had from the 2006 Accident all came back once the left-side pain subsided after the neck surgery. She could feel her right side starting to hurt again, including right-sided pain in her neck. Ms. Deol needed pain medications to recover from the surgery and to deal with the ongoing pain caused by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December 2011, Ms. Deol had decreased the amount of pain medications that she was taking, a sign that she was managing her pain better. She was having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of January 1, 2012, Ms. Deol had significantly decreased her pain medications and returned to exercising in the pool. Her evidence was that she was able to swim 40 lengths of the pool using a kickboard and flippers. The background pain from the 2006 Accident was present and acting up, but she was tolerating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mid-January 2012, Ms. Deol had discussed with a representative of her extended health insurer eventually undergoing a GRTW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notes of the call between Ms. Deol and the insurance representative, it appears that Ms. Deol was still only taking things one day at a time, sometimes having a good day and able to be mobile and do activities of daily living, and some days not. She showed an interest in further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Deol has always wanted to return to work. She also knew in January 2012 that she was receiving long-term disability benefits that had a two-year limit which would run out in mid-May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Deol felt that the "excruciating" and "disgusting" pain she felt pre-surgery was pretty much gone, and now she was starting to learn again how to deal with her pre-existing pain as it existed prior to the neck herniation. She was optimistic at the beginning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appears that the expectations as between the insurer and Ms. Deol in early 2012 were that with rehabilitation and treatment she might be able to begin a GRTW program in April or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One medical expert retained by the Defendants, Dr. Gittens, a neurosurgeon, gave evidence estimating that the normal time frame to recover from neck surgery would be three to four months. Another expert called by the Plaintiff, Dr. Badii, a rheumatologist, was of the opinion that with Ms. Deol's history of chronic pain, it would be reasonable to estimate that she would be ready for a return to work trial potentially within six to nine months of the operation - i.e. between April and July 2012, in the event the 2012 Accident had not taken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February 11, 2012, Ms. Deol was driving her car from New Westminster to Surrey over the Pattullo Bridge when she stopped at a stop sign waiting to yield. She was checking over her left shoulder when she felt a "little bump", which was the personal defendant's vehicle bumping into her vehicle's rear bumper. After this collision Ms. Deol began to feel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Following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 couple of days after the 2012 Accident, Ms. Deol began to experience a spike in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Deol then went through months of discomfort and various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Deol's pain symptoms from the 2006 Accident continued but she also felt new pains, many of which seem more noticeable or severe at night: a stronger pain in her right forearm, a stabbing pain; a sensation of "sausage fingers" and arm numbness and pins and needles; a feeling of her legs being numb; and a feeling of a frozen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Deol's need for pain-killers increased again, which she did not like to take because of the way the side effects affected her, clouding her mind so that she was not even able to read to distract herself. However, she felt she could not manage without the medicine. She was also prescribed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Deol talked about falling into the spiral of pain after the 2012 Accident, and feeling "dark", becoming more socially difficult and distant. During this testimony her eyes welled up and she became visibly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Deol was not able to return to work when she had hoped in April or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Deol was referred to a pain clinic and Dr. MacInnes, an anesthesiologist and pain management specialist, in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early January 2013, Dr. MacInnes tried a set of diagnostic injections in her right-sided C5-6 area to see if the cervical facet joints were contributing to some of her neck pain symptoms. These did not improve her symptoms and instead caused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February 2013, Ms. Deol was referred to an active rehabilitation program at Orion Health, participating in 14 sessions over four weeks. When she started she was not able to do much more than lie on the mat but by the last two weeks of the program she was obtaining some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May 6, 2013, Ms. Deol began a GRTW program. Unfortunately she was required to commute from Surrey to Vancouver for her starting return position at CRA, which was an office position. She found it very uncomfortable sitting on the Skytrain for the long commute.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By July 2013, it was concluded that Ms. Deol was unable to tolerate the return to work and it was ended. She was placed on leave without pay on July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that Ms. Deol continued efforts to try to get better. She attended physiotherapy and started a program called "hydroworx training" through an organisation named Fortius Sports and Health. She found this helpful but too expensive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Deol also began to work with a psychologist, Mandy York, with an organization named Back in Motion. She also found this very helpful and wanted to continue the treatment if it could be paid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2014: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Deol remained motivated to return to work and ultimately made another attempt in March 2014. By this time she had succeeded in returning to swimming and walking for exercise, and had decreased use of some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Deol explained that while her pain might not go away, her ability to manage the pain can improve and this can be seen when she is reducing her medications, returning to exercise and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Deol was placed in a position with CRA as a Trust Compliance Officer. This was an office job based in Vancouver, requiring a long commute by Skytrain. Her goal was to retrain for her former position as a Trust Examiner.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she gradually returned to work in 2014, Ms. Deol was given more flexibility in the way her hours of work increased over time as compared to her first attempt to return to work. She started out working only approximately 7.5 hours per week which increased to 8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Deol was anxious to prove herself at work as she was conscious of how many years it had been since she worked full-time and she was worried that this might be her last chance. She wanted to obtain her old job back as a Trust Examiner. She knew that in order to return to work as a Trust Examiner she would have to be able to work full-time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Over the course of several months, Ms. Deol worked hard to increase her hours at work. Between work and managing her pain she had no time for any other activity. She found that physiotherapy and massage could help her manage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she described it, she began to manage her pain rather than have her pain control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One way that Ms. Deol managed her pain was through use of significantly more pain medications than had been necessary in 2010 when she was working after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the Plaintiff provided this helpful chart in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2091"/>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Drug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2014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Hydromorphone 4mg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Supeudol 10 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Gabapentin 300mg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Cyclobenzaprine10mg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Elavil 10mg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Amitriptyline</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Diclofenac 75 mg</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pills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270 pills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Ketorolac 10mg</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 pills</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 pills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Deol broke down again in her testimony when describing her use of medications in 2014. She expressed fear that some of the medications are addictive and she will become needy for more and more of them. She also expressed shame in taking them, the side effects of which leave her in a haze. She made regular attempts to go "cold turkey" for a period of time so she could feel what it was like to be off them. Ms. Deol also described that her mood fluctuates and she gets angry from time to time. At times Ms. Deol's demeanour in the witness stand seemed to me to indicate that she was ashamed or even disgusted with herself for needing help managing her pain, as she would turn her head down and curl up into her body when giving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at January 2015, Ms. Deol returned to work full-time as a Trust Examiner and remained in this position as at the time of this trial. This position involves field work, meaning she visits the business premises of some tax-filers and sometimes completes her paperwork at home. She also has to go into the CRA office in Vancouver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no issue with Ms. Deol's motivation to work. Her evidence is that she loves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2015 and 2016 Ms. Deol's ability to maintain full-time work has depended on increasing reliance on taking sick days or vacation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at the time of trial it had been determined by Ms. Deol's supervisor that she was unable to keep up with internal productivity requirements for managing her expected workload, that is, finishing a file within 45 days. To meet the internal requirements, Ms. Deol adjusted her schedule so she now works only four days a week with the fifth day taken as a vacation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Deol testified that she believes that the full-time workload demands of her employer are reasonable, and she does not find them a challenge technically, but she just cannot meet them without having one day off per week, i.e. because of the physical demands. Her understanding is that her present arrangement is temporary. She is concerned that if her manager changes, this arrangement might not be tolerated by a new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at the time of her direct evidence at trial, Ms. Deol was bothered by pain in two main areas: her neck, and her arm. She also has headaches. She testified that the areas of her body that bothered her with pain over the last six months were her: neck, lower back, legs, hip area, and jaw. She complained of the sensation of "sausage fingers" at night, and pins and needles in her arm, which some days is so uncomfortable she feels she wants someone to rip off her arm or cut between her fingers to let the feeling go. At the time of cross-examination, Ms. Deol repeated that she was feeling pain in her neck, arm, back, legs, jaw, and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Deol agreed in cross-examination that she has had neck pain since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following issues arise in this case: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effect of the injuries caused by the 2012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injuries divisible or indivisible from the prior injuries caused by the 2006 Accident?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was the effect of the injuries caused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overwhelming weight of the evidence establishes that the Plaintiff experienced a chronic pain condition following the 2006 Accident and at the time of the 2012 Accident this condition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position is that the injuries caused by the 2012 Accident caused a permanent exacerbation of Ms. Deol's prior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While the Defendants concede that if they are liable for the 2012 Accident then they did cause the Plaintiff some damages, they very much contest the extent of the damages. They submit that they caused only a "temporary exacerbation" of the Plaintiff's pre-existing but stabilized chronic medical condition and that she returned to her pre-2012 Accident baseline or better as of March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Nature of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Since many people experience a minor injury at some point in their lives and get better from it, the idea that someone else might have lasting severe and debilitating pain from a minor injury has long been met with skepticism.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legal system the argument was typically advanced that patients complaining of this kind of disorder were exaggerating for the sake of an ongoing legal claim, given that medical science could not understand why someone would have pain in the absence of an objective ongoing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It was in this context and the then state of medical science that more than 34 years ago McEachern C.J.S.C. (as he then was) wrote the judgment of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and these oft-cited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was pointed out by Mr. Justice Kent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335, the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decision relied upon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was overturned on appeal; see </w:t>
      </w:r>
      <w:hyperlink r:id="rId732"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There is no principle by which plaintiffs suffering chronic pain ought to be subject to a higher standard of proof or a higher degree of skepticism.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Medical science and technology have advanced since the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decision. Medical science has come to accept that some people can suffer an increased and prolonged sensitivity to pain from what to others appears to be a minor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present case, the Plaintiff called Dr. Maziar Badii as an expert witness. His medical specialty is rheumatology, with a special interest in spine medicine. He provided the Court with a very thorough explanation of chronic pain disorders, also sometimes described as fibromyalgia and central sensitization syndrome. All of these diagnoses are different ways of describing a condition of lasting severe pain in a large part of the body along with other symptoms, often including mood disorders such as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Badii explained that the same brain pathways mediate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Badii gave evidence about research using MRI technology. MRI scans can map the parts of the brain that light up with pain. If a person is having pain all the time, the brain-mapping changes with more blood flow to certain areas, and less blood flow and activity in areas that supress pain. Research using MRI technology has revealed that the part of the brain associated with pain remains lit up with persons with chronic pain, after an injury that started out causing localized pain should have healed. This mechanism is now described as centralized pain or central sensitization where the main problem seems to be at the level of the brain and spinal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Badii explained that when a person starts having centralized pain the pain centres in the brain have become more sensitive and irritable and the person starts to have pain symptoms all over the body. The person's nervous system is wound up and ready to experience pain with little or no stimuli. Pain becomes the person's dominant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MacInnes is a qualified medical expert with special knowledge in anesthesiology and pain management. He regularly treats people with chronic pain. He also testified about central sensitization syndrome where a person's brain and spinal cord are changed in the way they perceive and report pain. With neuroplasticity these changes can spread over time and the reported field of pain can become much larger. Something that would not cause pain to a person without this syndrome can be experienced as very painful by a person with this syndrome, even from minor stimuli like touch, and the pain can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MacInnes explained that a person with chronic pain disorder will often suffer from mood disorders such as depression and anxiety. Often the pain will wax and wane. There will be periods of decreased and increased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Badii described the fact that because chronic pain is related to changes in the chemistry of the brain or spinal cord, patients do not respond as well to analgesics or anti-inflammatory medications. Rather, the medications that work better are seizure medications and anti-depressant medications because they work at the level of the brain. The attempt with these medications is to try to quiet down the pain hypersensitivity.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underlying concern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had to do with the question of how a defendant can defend against false complaints of chronic pain since such complaints depend so much on a plaintiff's own testimony, which is necessarily self-serving given that the plaintiff is seeking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Experience has shown that this is not so difficult a question to answer. Many disputes in the courts turn on circumstantial evidence, and that is how cases involving chronic pain are often proven and disproven.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medical experts in chronic pain cases typically put plaintiffs through a series of tests and manoeuvres designed to reveal if the person is exaggerating or making claims of pain that make no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Further, the lives of these types of plaintiffs pre-accident and post-accident are gone over with a fine tooth comb to reveal consistencies and inconsistencies with the claim. The "before" and "after" accident picture of the plaintiff is usually the best source of information as to how the accident impacted the plaintiff, and medical experts also rely on this to a great extent. Often years pass before these cases are brought to trial, reducing the possibility that a plaintiff can keep up a false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Chronic Pain Disorder Continuous Following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not necessary to review the expert evidence in great detail although I found it helpful to understand chronic pain. The vast weight of the expert evidence, which was consistent with Ms. Deol's evidence as to her experience, supports the following conclusions: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Deol suffered a chronic pain disorder after the 2006 Accident which is likely permanent. This disorder causes her to experience pain sensations in many areas of her body, some not always linked to an external force, and to have a heightened sensitivity to pain.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her condition, Ms. Deol requires considerable time, effort and therapy to work back from a pain-causing incident to be able to manage her pain and to function better and work.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early 2011, before the disc herniation, Ms. Deol worked her way back from the effects of the 2006 Accident and managed her pain with fewer medications, returned to work, and could be expected to continue to work with the possibility of occasional setbacks when her pain condition flared up.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2011 disc herniation was intensely painful. It set Ms. Deol back, requiring her to take time off work until she could have neck surgery in October 2011 and recover. By early 2012 she was recovering from the surgery and managing her chronic pain with a higher level of function, was exercising more and was able to rely on fewer medications, and had a reasonable expectation of returning to work later that spring of 2012.</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Deol suffered soft tissue injuries and an exacerbation of some of her pain symptoms as a result of the 2012 Accident. Because of her pre-existing chronic pain condition, she likely had a heightened pain response and longer recovery from the injuries following the 2012 Accident than she would have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By approximately March 2014, Ms. Deol was coping with these injuries sufficiently to be able to begin a GRTW program. By the summer of 2014 she had returned to work full-time. By January 2015 she had worked her way back to full-time work as a Trust Examiner. This position has been difficult to sustain at expected productivity levels and she is currently working only four days out of a five-day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Deol's evidence was that she has been in pain since the 2006 Accident to the present. She feels like she has not had a break from pain for 10 years. The smallest impact can cause her pain. The evidence supports the conclusion that this chronic pain condition would have existed regardless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Nevertheless, the evidence was all consistent with the conclusion that for approximately two and a half years after the 2012 Accident, Ms. Deol's pain levels were significantly increased from what they had been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mentioned, the real dispute between the parties regarding the injuries caused by the 2012 Accident appears to be whether the exacerbation of pain symptoms caused by the 2012 Accident is a permanent change to Ms. Deol's pre-accident condition; and whether the injuries are divisible or indivisible from her injuries caused by the 2006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Exacerbation of Pain Temporary Following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submit that the Plaintiff suffered only a temporary exacerbation of pain following the 2012 Accident. They submit that Ms. Deol "returned to baseline" as of March 2014, when she began her graduated return to work. They say that thereafter, she has been in the same position she was before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called medical opinion evidence from one expert, Dr. Badii, on this topic of whether the pain caused by the 2012 Accident had a permanent effect on Ms. Deol's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Badii's evidence was that a person's propensity to experience chronic pain can increase with successive injuries over time so that more and more severe pain can be experienced with less and less severe injuries. In his opinion Ms. Deol's symptoms associated with her chronic pain syndrome progressed and worsened after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Dr. Badii's opinion, in the absence of the 2012 Accident, Ms. Deol's symptoms from her chronic disorder would have been less severe and debilitating as of March 2016 and moving forward into the future, as compared to the position she will be in given the fact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Not all of the Plaintiff's experts gave evidence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MacInnes said nothing in his report about a permanent worsening of Ms. Deol's chronic pain condition. He agreed in cross-examination by defence counsel that he tried to be clear in his expert opinion, and if he thought the 2012 Accident had a permanent effect on the Plaintiff's condition or symptoms he would have said so. However, Dr. MacInnes was not specifically asked if he disagreed with Dr. Badii's opinion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defence called no medical expert to give evidence that successive injuries to someone with a chronic pain condition cause only temporary flare-ups in the condition. No medical expert gave evidence that Ms. Deol had "returned to baseline" - the same level of pain and symptoms as existed before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 example, the defence called Dr. Gittens, an eminently qualified neurosurgeon, who had prepared two opinion reports. Dr. Gittens' evidence in his first report at p. 11 was that "many" (not all presumably) of Ms. Deol's "ongoing symptoms reflect a predisposition to myofascial issues, which based on the records date back to 2006". The predisposition to chronic pain symptoms is admitted by the Plaintiff. What Dr. Gittens did not address in his first report was whether her symptoms were permanently aggravated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Gittens provided a second opinion report after receiving the report prepared by the Plaintiff's expert, Dr. Badii, amongst other reports. Dr. Gittens stated that his opinion had not changed. He added that he would have "expected Ms. Deol to improve as a result of the soft tissue injury within three to six months and return to baseline". He went on to say "[t]his, however, did not occur, and now she has ongoing complaints, which have reached a plateau based on Dr. Badii's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Thus despite having in hand Dr. Badii's opinion, Dr. Gittens did not provide an opinion that the 2012 Accident did not cause a permanent increase in Ms. Deol's pain sensitivity. He acknowledged that she had not returned to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Another expert called by the Defendants was Dr. Robin Rickards, an orthopaedic surgeon who focuses on non-surgical orthopaedic care and chronic pain management. It was clear from his cross-examination that he had not fully reviewed the relevant medical records and opinions at the time of his first report and as a result his conclusions in his first report were, with respect, rather superficially based and I can give them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Rickards then prepared an addendum report, going into more detail on records that he reviewed and expanding on his opinions. He agreed that Ms. Deol had a chronic pain condition prior to the 2012 Accident. He gave the opinion that her problems would likely remain ongoing and permanent, even in the absence of the 2012 Accident, as she had already been experiencing significant and progressive problems on a long-term basis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Rickards was not asked whether he agreed or disagreed with Dr. Badii's opinion that the 2012 Accident likely caused a permanent progression in Ms. Deol's chronic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Rickards agreed that Dr. MacInnes was in a better position to assess Ms. Deol because of the fact he had been managing her as a patient and is qualified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Considering all of the expert evidence, I prefer Dr. Badii's opinion. In my view Dr. Badii's opinion makes sense when one accepts the nature of a chronic pain condition. It only makes sense that a person who is hypersensitive to pain, and who suffers from mood problems as one aspect of this, will have increased sensitivity to pain and greater difficulty conquering mood problems the greater the frequency of pain-generating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To put it another way, it seems consistent with common experience that one can get up again and again after repeatedly being knocked down, but it can take longer and be more difficult to muster the strength and courage to get up the more times one has been knocked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was clear from Ms. Deol's evidence that it takes her a considerable amount of stamina, time, treatment and effort to regain function after a pain-causing incident occurs and sends her spiralling down into her pain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Badii agreed in cross-examination that with some cases of chronic pain, gradual change for the worse can come about without any single identifying cause. In other cases when there is an external incident and the person's function afterwards is much worse, it is possible to attribute the cause of the worsening condition to the external incident. He used the examples of the Plaintiff's neck herniation and surgery and her 2012 Accident as two examples of where it is possible to attribute the cause of the worsening condition to these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Dr. Badii's evidence about the permanent worsening of Ms. Deol's chronic pain condition as a result of the 2012 Accident consistent with the evidence of Ms. Deol's actual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this regard, it is also important to note that even though Ms. Deol returned to work in 2014 after the 2012 Accident, her ability to manage pain required her to turn to much more medication than in comparison to when she returned to work in 2010 after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To be sure, this increased use of medications to manage the chronic pain could be in part due to increased pain sensitivity following the 2011 neck herniation and surgery, but I find that is not the only explanation. By January 2012 Ms. Deol had significantly reduced the medications she had been taking post-surgery, and she had returned to swimming, which was just before the 2012 Accident. I find it likely that the increased use of medications in the 2014 return to work period can be attributed to a greater degree of chronic pain, caused at least in part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submit that in the alternative to their theory that Ms. Deol had returned to baseline by March 2014 when she returned to work, that by March 2015, when the Plaintiff was working full-time as a Trust Examiner, she was in a better position than she had been prior to the 2012 Accident. This ignores the point that prior to the 2012 Accident she was on a pathway to healing from the 2011 neck surgery, but the 2012 Accident intervened before that path completed. I find it likely she would have returned to a Trust Examiner position sooner had the 2012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accept Dr. Badii's evidence and find that Ms. Deol's 2012 Accident caused not just a temporary increase in her pain, but also a permanent increase in her sensitivity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At the same time it will have to be acknowledged that Ms. Deol was already extremely sensitive to pain before the 2012 Accident due to her pre-existing chronic pain disorder and the neck herniation and surgery had also caused an increase in her symptoms. I find that Ms. Deol was likely to always have some flare-ups and difficulties managing pain due to her chronic pain condition even if the 2012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 Injuries Divisible or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next question is whether Ms. Deol's injuries caused by the 2012 Accident are divisible from her pre-existing injuries,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Here, the Plaintiff suffered from soft tissue injuries and chronic pain as a result of the 2006 Accident; she also suffered from soft tissue injuries and an exacerbation of chronic pain symptoms after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 find that the analysis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is most applicable to Ms. Deol's position. There is an abundance of evidence establishing that the Plaintiff had developed a chronic pain condition as a result of the 2006 Accident and that six years later it was continuing but relatively stable with the possibility of flare-ups just before the 2012 Accident. We therefore know the original position she would have been in, had the 2012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important to note that the 2012 Accident did not tip the scales from one condition to another. It was not the cumulative effect of the 2012 Accident and the 2006 Accident that caused Ms. Deol to develop a chronic pain condition. Rather, she had this serious condition before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language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refers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the settling defendant and the respondent tortfeasor as being "necessary causes" of the injury. Again, the 2012 Accident did not cause the chronic pain condition. That condition pre-existed and was going to continue regardless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evidence in this case makes it possible to consider the position that Ms. Deol was in before the 2012 Accident, and to compare her post-2012 Accident to that position, and to assess damages based on a change in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Ms. Deol's injuries sustained in the 2012 Accident are divisible from the injuries sustained in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have found that the 2012 Accident caused a permanent worsening of Ms. Deol's chronic pain condition, increasing her sensitivity to pain. Initially this increased pain was more significant in the approximately two years following the 2012 Accident before she was able to return to work in March 2014. It has since become more manageable but I find she has a greater propensity to suffer symptoms of her chronic pain condition in the future, as compared to the position she would have been in absent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is entitled to damages to compensate her for the injuries sustained in the 2012 Accident, to try to put her in the place she would have been in but for the 2012 Accident, but not to put her in a better place than she would have been had the 2012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an abundance of evidence that Ms. Deol was planning to return to work after recovering from the neck surgery. Dr. Badii estimates it could have taken her between six to nine months from the operation, i.e. returning anytime between April and July 2012 but for the intervening 2012 Accident. I find there was a real and substantial possibility she would have returned to work in April 2012, but for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Deol in fact did not return to work until March 2014. She did not start at her old position, but eventually returned to her work as a Trust Examiner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very difficult to know what Ms. Deol's return to work would have been like had she been able to return to work in April 2012, taking into account the fact she was recovering from neck surgery and would have found it necessary to work her way back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find the most reasonable scenario is to presume that whatever happened when she did return to work after the 2012 Accident, i.e. as of March 2014, would have been the scenario she would have accomplished had she been able to return to work in April 2012. In other words, she suffered from an almost two-year delay in her return to work but her pattern of work and earnings would have been the same as she ultimately achieved starting in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therefore conclude that the best way to measure Ms. Deol's loss of past income earning capacity is as follows: for the period of April 2012 to when she returned to work in March 2014, some 24 months, she would have earned the same amount over the approximate 24-month time period as she actually earned from March 2014 to February 2016. She also would have had the same comparable amount of overtime income, pension contributions and vacation leave accrual during this 24 month period of loss as she otherwise did during the 24 months after she returned to work in March 2014, i.e. from March 2014 to February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above approach is sufficient to take into account positive and negative contingencies for the entire period before trial even taking into account the fact that for the period of March 2014 to trial Ms. Deol was recovering from the 2012 Accident. This is a necessarily broad assessment, and I find that whatever excess use of vacation time or loss of her sick bank she may have experienced in order to cope with her injuries is captured by this approach and it is not necessary to measure any additional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This measure of damages ought to deduct the amount of income tax payable from Ms. Deol's lost gross earnings. The parties agree on this principle and that an appropriate deduction is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Based on the figures presented to me and appreciating that an approximation is the best that can be achieved, I assess this past net loss to be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However, the above assessment has not taken into account the disability benefits received by Ms. Deol during this period and any subrogated claim in relation to any disability benefits. I will leave it to the parties to work out the subrograted claim. If they are not able to do so they have liberty to make further submissions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turn to consider whether Ms. Deol has suffered a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claims an appropriate award of damages for loss of future earning capacity caused by the 2012 Accident is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claim the Plaintiff has suffered no loss of future earning capacity as her condition was only temporarily exacerbated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the alternative, if this Court accepts that she has suffered a permanent exacerbation of her condition and the damages caused by the 2006 Accident and 2012 Accident are indivisible, the Defendants submit that a fair and reasonable award is $180,000 measured as approximately three years' salary. The Defendants would then submit that the Settlement amount received in relation to the 2006 Accident should be deducted from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legal principles regarding an award for loss of earning capacity were summarized in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2016 BCCA 422</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order to receive an award for loss of earning capacity, a plaintiff must prove a real and substantial possibility that his or her earning capacity has been impaired: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If the plaintiff has discharged the burden of proof, then the judge must turn to an assessment of damages. The assessment may be based on an earnings approach or a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An earnings approach is most appropriate where the loss is more easily quantifiable. In general, a party may be forced to default to a capital asset approach where the loss is not easily quantifiable.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Using the capital asset approach does not mean the assessment is unstructured. I agree with Garson J.A.'s observations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this case and make findings of fact as to the nature and extent of the plaintiff's loss of capacity and how that loss may impact the plaintiff's ability to earn income. </w:t>
      </w:r>
      <w:r>
        <w:rPr>
          <w:rFonts w:ascii="arial" w:eastAsia="arial" w:hAnsi="arial" w:cs="arial"/>
          <w:color w:val="000000"/>
          <w:sz w:val="20"/>
          <w:u w:val="single"/>
          <w:lang w:val="en-US" w:eastAsia="en-US" w:bidi="ar-SA"/>
        </w:rPr>
        <w:t>Adopting the capital asset approach does not mean that the assessment is entirely at large without the necessity to explain the factual basis of the award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para. 24, </w:t>
      </w:r>
      <w:hyperlink r:id="rId735"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701"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every case where the capital asset approach is adopted, the four questions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at para. 8 (S.C.), form the basis of the assessment. The questions are whether: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considerations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are not intended to be exhaustive: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9, per Mackenzie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Of course the four factors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do not have to be analyzed separately as they are different ways of looking at the same thing: an employee who is less capable of earning income is less attractive as an employee to potential employers and so has often lost the ability to take advantage of all job opportunities and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Before the 2012 Accident, Ms. Deol had a chronic pain condition that was likely to cause her to experience flare-ups. However she had returned to full-time work prior to the disc herniation with occasional time off for sick days. With the likely future flare-ups from her condition, she would have likely had some need to take time off work in the future, and therefore, would have suffered some reduction in earning capacity over time regardless. Although the 2011 disc herniation caused some additional time off work, she was starting to improve and was likely to return to work in the near future. This was the state she was in before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Had someone needed to assess Ms. Deol's loss of future earning capacity damages in early 2012 caused by her 2006 Accident, this could have been accomplished, based on the state of the medical evidence and what was known about her work history and her prior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evidence suggests that the nature of Ms. Deol's current condition continues to be a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have found that Ms. Deol's chronic pain condition has been made progressively and permanently worse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It is therefore reasonable to conclude that there is a real and substantial possibility that Ms. Deol will require more time off work to cope with her condition than the situation she was in before the 2012 Accident. As a result she is less valuable to herself as an employee and to an employer, and will have fewer opportunities than she would have otherwise. I conclude that she has suffered a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the loss is not easily measureable on the earnings approach basis as there are simply too many contingencies. I find that the most appropriate way to measure damages for loss of future earning capacity in this case is to consider Ms. Deol's loss to be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It is clear that Ms. Deol has had mixed success in finding the stamina to maintain full-time employment following the 2012 Accident. She is currently managing working full-time by a strategy of using one vacation day per week to reduce her work-week to four instead of five days per week. The sustainability of this is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Nevertheless, Ms. Deol has a strong desire to work. Ms. Deol explained that her ability to manage pain is largely psychological and impacted by feeling she is contributing through employment, having a schedule, and getting regular sleep. It was clear that her employment is very important to her as a way of distracting her from the pain which otherwise can be front and centre in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above factors, as well as the following factors come into play as contingencies in assessing damages: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2012 Accident had not occurred, given Ms. Deol's pre-existing sensitivity to pain, there is a measureable risk that ordinary experiences of life could have caused Ms. Deol to suffer aggravations of her condition and required her to take time off work for treatment or recovery. The possibility exists that Ms. Deol would have had a pain incident triggered in many non-tortious ways in her future, causing a progression in her pain condition and leaving her in no different place than she is now. For example, the surgery to repair the disc herniation was likely to require a longer recovery for her than it might be for someone without a pain condition. It has to be kept in mind that the 2012 Accident involved only a minor bump. Dr. MacInnes explained that exacerbation of symptoms can be caused by stimulus that does not otherwise cause injury, or by activities such as vacuuming or yard work. This is a significant negative contingency to factor into the assessment of damages (negative meaning a factor that reduces the assessed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progression of her condition caused by the 2012 Accident could make her more susceptible to suffering pain in the future from another incident and having to take time off work. This is a positive contingency to factor into the assessment of damages (positive meaning a factor that increases the assessed damages).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Deol's young age means that any effect on her long working future will be greater than it is for an older person. This is a positive contingency in the calculation of damages.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Deol's strong motivation to work and ability to work a sedentary job is a negative contingency in the calculation of damages, as compared to a plaintiff who is a labourer with limited ability to work a sedentary job. However, there is the positive contingency that she will be less able to sustain her position in the future, than what she is able to sustain now, as the effect of her injuries will make it more difficult for her.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over the years, but for the injuries sustained in the 2012 Accident, Ms. Deol would have earned a promotion to a position that pays a higher salary than her current position. This is a positive contingency but has to be weighed in light of the fact that she did not pass all the courses she needed to pass in order to be promoted and the evidence does not establish this was because of her injuries caused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At the time of trial Ms. Deol was earning a salary of approximately $60,000 with the possibility of an increase to $62,000 if a new collective agreement is ratified. In addition she earns net benefits including pension benefits worth approximately another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cases have established a variety of approaches to assess damages based on the loss of a capital asset when the plaintiff has not lost all ability to earn income in the future but has suffered an impairment of that future capacity, and where the future loss is based on a number of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One approach is to assess the damages by considering a rough multiplication of the Plaintiff's annual salary for a range of between a year or two, as referred to in </w:t>
      </w:r>
      <w:r>
        <w:rPr>
          <w:rFonts w:ascii="arial" w:eastAsia="arial" w:hAnsi="arial" w:cs="arial"/>
          <w:i/>
          <w:color w:val="000000"/>
          <w:sz w:val="20"/>
          <w:lang w:val="en-US" w:eastAsia="en-US" w:bidi="ar-SA"/>
        </w:rPr>
        <w:t>Raikou v. Spencer</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2014 BCSC 1</w:t>
        </w:r>
      </w:hyperlink>
      <w:r>
        <w:rPr>
          <w:rFonts w:ascii="arial" w:eastAsia="arial" w:hAnsi="arial" w:cs="arial"/>
          <w:color w:val="000000"/>
          <w:sz w:val="20"/>
          <w:lang w:val="en-US" w:eastAsia="en-US" w:bidi="ar-SA"/>
        </w:rPr>
        <w:t xml:space="preserve"> at paras. 83-86, and in which the assessment was based on roughly two years' salary; see also </w:t>
      </w:r>
      <w:r>
        <w:rPr>
          <w:rFonts w:ascii="arial" w:eastAsia="arial" w:hAnsi="arial" w:cs="arial"/>
          <w:i/>
          <w:color w:val="000000"/>
          <w:sz w:val="20"/>
          <w:lang w:val="en-US" w:eastAsia="en-US" w:bidi="ar-SA"/>
        </w:rPr>
        <w:t>Ali v. Rai</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2015 BCSC 2085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Davidge v. Fairholm</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2014 BCSC 1948</w:t>
        </w:r>
      </w:hyperlink>
      <w:r>
        <w:rPr>
          <w:rFonts w:ascii="arial" w:eastAsia="arial" w:hAnsi="arial" w:cs="arial"/>
          <w:color w:val="000000"/>
          <w:sz w:val="20"/>
          <w:lang w:val="en-US" w:eastAsia="en-US" w:bidi="ar-SA"/>
        </w:rPr>
        <w:t xml:space="preserve">, in which cases the loss was assessed as roughly two years' salary; and </w:t>
      </w:r>
      <w:r>
        <w:rPr>
          <w:rFonts w:ascii="arial" w:eastAsia="arial" w:hAnsi="arial" w:cs="arial"/>
          <w:i/>
          <w:color w:val="000000"/>
          <w:sz w:val="20"/>
          <w:lang w:val="en-US" w:eastAsia="en-US" w:bidi="ar-SA"/>
        </w:rPr>
        <w:t>O'Brien v. Cernovec</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2016 BCSC 1881</w:t>
        </w:r>
      </w:hyperlink>
      <w:r>
        <w:rPr>
          <w:rFonts w:ascii="arial" w:eastAsia="arial" w:hAnsi="arial" w:cs="arial"/>
          <w:color w:val="000000"/>
          <w:sz w:val="20"/>
          <w:lang w:val="en-US" w:eastAsia="en-US" w:bidi="ar-SA"/>
        </w:rPr>
        <w:t>, where the loss was assessed as roughly 18 months'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Another approach is to make a percentage reduction of a future estimated income stream, such as the 20% loss of pre-accident estimated future earning capacity as was awarded in </w:t>
      </w:r>
      <w:r>
        <w:rPr>
          <w:rFonts w:ascii="arial" w:eastAsia="arial" w:hAnsi="arial" w:cs="arial"/>
          <w:i/>
          <w:color w:val="000000"/>
          <w:sz w:val="20"/>
          <w:lang w:val="en-US" w:eastAsia="en-US" w:bidi="ar-SA"/>
        </w:rPr>
        <w:t>Crimeni v. Chandra</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2015 BCCA 131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Obviously no single approach fits all, as each case must turn on its own facts and contingencies. Nevertheless, there is some merit in consistency of approach so as to provide some predictability for parties and to assist in settlement of these cases. It does not go unnoticed that this Court is hearing more and more cases where the central issue appears to be the measurement of damages for loss of future earning capacity in circumstances where the plaintiff is currently employed but has a chronic pain condition creating a real and substantial possibility of loss of earning capacity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Given Ms. Deol's pre-existing condition prior to the 2012 Accident, but also her young age and the increased pain sensitivity caused by the 2012 Accident, the fact that she is currently only able to work four days per week but after the 2006 Accident had been able to return to working five days per week, and all of the positive and negative contingencies I have mentioned, I find that her damages for loss of future earning capacity caused by the 2012 Accident can most fairly be assessed as $100,000 which is roughly just over 1.5 times her current salary but rounded up to factor in any loss of other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 number of treatments for the Plaintiff's chronic pain condition have been recommended by treating physicians, particularly Dr. MacInnes, including pain clinic treatment and counselling, exercise assistance, and pharmacological management. Dr. Badii also recommends ongoing treatment of a similar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has added up the various programs and submits that an appropriate award would be in the range of $370,000.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position is that these treatments would have been needed in any event to manage the Plaintiff's pre-existing chronic pain condition and that no award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the alternative, the Defendants submit that if this Court finds that the Plaintiff's condition was permanently exacerbated by the 2012 Accident, an appropriate award would be $48,655.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Gittens, the neurosurgeon called by the defence, agreed in cross-examination that a pain clinic or treatment that provides counselling as well as other pain management treatments is a preferred treatment for patients like Ms. Deol. He agreed that Dr. MacInnes was giving Ms. Deol adequate care for her pain. He agreed that one of the key components of managing chronic pain was pharmacological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Rickards, the other defence medical expert, had no criticism of Dr. MacInnes's treatment plan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It is to be remembered that Dr. MacInnes did not offer an opinion that his treatment plan was made necessary by additional problems experienced post the 2012 Accident; rather, it was made necessary by reason of the chronic pain condition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that the increase in her chronic pain condition symptoms caused by the 2012 Accident will likely require more treatment than Ms. Deol otherwise would have needed but for the accident, but only marginally so given that her pre-existing chronic pain condition would always need ongoing treatments periodically.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accept the Defendants' alternative approach as most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a reasonable assessment of the Plaintiff's damages for her incremental cost of future care caused by the 2012 Accident to be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Deol has always lived at home with her parents. Her mother has taken care of most housekeeping requirements. Ms. Deol's younger sister also lives at the same home, as does her grandfather, i.e. a total of five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However, Ms. Deol said that prior to the 2006 Accident she helped out with housekeeping, doing some tasks such as vacuuming, dusting and cleaning of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am not satisfied on the evidence that the 2012 Accident caused a significant change in Ms. Deol's ability to do housework. Her pre-existing chronic pain condition already impaired her ability to do housework. It was likely to remain the lowest of priorities for her due to her need to conserve her energy for employment and I do not see that the 2012 Accident caused her significant additional damages in this regard. If her pre-existing housekeeping capacity has been impaired it has only been very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award $2,000 for the Plaintiff's loss of housekeeping capacity caused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is entitled to an award of damages to compensate her for the loss of enjoyment of life caused by the injuries sustained in the 2012 Accident. Since these damages are not based on a financial loss, they are described as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submits that an appropriate award of non-pecuniary damages is between $140,000 and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position in part relies on the premise that the Plaintiff is much worse off than she would have been but for the 2012 Accident. I have not accepted this premise but instead found that she has suffered some permanent worsening of symptoms but would have had symptoms from her chronic pain condition even if the 2012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Defendants submit that an appropriate award for non-pecuniary damages is $50,000. The Defendants' position at the lower end of the range is based on their theory that the Plaintiff suffered only a two-year exacerbation of symptoms from her chronic pain condition. I have not accepted this premise, finding that the 2012 Accident caused a permanent worsening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submit in the alternative that if this Court is going to treat the injuries as indivisible, and deduct the prior Settlement from damages, the total award for non-pecuniary damages arising from both accidents is between $70,000 and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found none of the authorities particularly helpful on the facts, where here, the Plaintiff is young, she suffered a serious loss of enjoyment of life for two years, and will likely suffer some loss of enjoyment of life in the future, incremental to the loss of enjoyment that would otherwise be caused by her chronic pain condition. I find an appropriate award of non-pecuniary damages to be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 has put forward approximately $34,000 in expenses she has incurred following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Defendants have pointed out that some of these expenses cannot be attributed to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Further, due to her pre-existing chronic pain condition, the Plaintiff likely would have incurred some treatments regardless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find that the bulk of the Plaintiff's expenses were due to the exacerbation of her chronic pain condition caused by the 2012 Accident, but not all. For example, I find that she likely would have engaged some massage therapy, physiotherapy and chiropractic treatments regardless of the 2012 Accident, because of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find it appropriate to award the plaintiff $22,000 as a reasonable assessment of the special expenses she incurred as a result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have found that the Plaintiff's injuries caused by the 2012 Accident are divisible from the injuries caused by the 2006 Accident, the latter of which caused a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proper approach to assessment of damages is therefore to assess the degree to which the Plaintiff's chronic pain condition has been made worse by the 2012 Accident, rather than make a global assessment of damages for her chronic pain condition and then deduct the amount of the Settlement received in relation to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have concluded that the Plaintiff is entitled to damages payable by the Defendants in the total amount of $332,000 made up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343.5pt;height:143.25pt">
            <v:imagedata r:id="rId74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would ordinarily be entitled to her costs and I would be prepared to order the same. However, if there are facts of which I am unaware that the parties submit should be relevant to costs, the parties have liberty to seek leave to address costs before me. In this regard, I direct the party seeking a different order as to costs to give notice to the other side and this Court of the same within 45 days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Before I close I would also like to comment on the excellent counsel work in this case. Counsel for the Plaintiff put together extensive notices to admit to deal with such things as the cost of treatments, the Plaintiff's earnings, the overtime and vacation policies applicable to the Plaintiff, and the Plaintiff's chronology of education and work. These must have taken considerable time and effort to prepare and should serve as model for other counsel. The reasonable responses by Defendants' counsel should also be commended. As well, counsel prepared very helpful written submissions. The provision of alternative submissions by defence counsel should be the norm as opposed to the all-or-nothing approach the courts often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Fontaine v. Canada (Attorney General), [2017] 1 C.N.L.R. 104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Native Law Reporter</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L051875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1 C.N.L.R.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 xml:space="preserve">Neutral citation: </w:t>
      </w:r>
      <w:hyperlink r:id="rId750" w:history="1">
        <w:r>
          <w:rPr>
            <w:rFonts w:ascii="arial" w:eastAsia="arial" w:hAnsi="arial" w:cs="arial"/>
            <w:i/>
            <w:color w:val="0077CC"/>
            <w:sz w:val="20"/>
            <w:u w:val="single"/>
            <w:shd w:val="clear" w:color="auto" w:fill="FFFFFF"/>
            <w:lang w:val="en-US" w:eastAsia="en-US" w:bidi="ar-SA"/>
          </w:rPr>
          <w:t>2016 BCSC 2218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Larry Philip Fontaine et al (Plaintiffs) and TheAttorney General of Canada et al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8" w:name="Case Summary_32"/>
            <w:bookmarkEnd w:id="2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address five requests for directions ("RFDs") under the Indian Residential Schools Settlement Agreement ("IRSSA" or "Settlement Agreement"). All of these RFDs seek judicial recourse from decisions made within the Independent Assessment Process ("IAP") established under the IRSSA. These RFDs were heard together.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Held: </w:t>
            </w:r>
            <w:r>
              <w:rPr>
                <w:rFonts w:ascii="arial" w:eastAsia="arial" w:hAnsi="arial" w:cs="arial"/>
                <w:i/>
                <w:color w:val="000000"/>
                <w:sz w:val="20"/>
                <w:lang w:val="en-US" w:eastAsia="en-US" w:bidi="ar-SA"/>
              </w:rPr>
              <w:t xml:space="preserve"> Judicial recourse denied; directions re timelines for judicial recourse applications issued.</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are generally agreed that the Courts, through the Supervising Judges, have the power to issue directions if satisfied that the Chief Adjudicator or his delegate has failed to properly implement the IRSSA. The source of the Courts' ongoing supervisory jurisdiction is four-fold: the inherent jurisdiction of a superior court; the Class Proceedings Act; this court's Approval Order of March 2007 and Implementation Order of March 2007; and the express terms of the IRSSA regarding the ongoing role of the courts. The relevant principles when it comes to the exercise of the Courts' supervisory jurisdiction are as follows: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of the Chief Adjudicator (or his delegates) are not reviewable by appeal. The underlying litigation is at an end, and the relationship between the parties is governed by the terms of the IRSSA and the court orders approving the IRSSA. There is clearly no right to appeal each determination made within the context of the IAP.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of the Chief Adjudicator (or his delegates) are not reviewable by judicial review, as the IAP adjudicators are creatures of contract, not statute. To the extent that the Courts permit judicial recourse in light of "very exceptional circumstances", they should avoid granting remedies normally associated with judicial review, such as quashing re-review decisions.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Looking at the contract the parties made, it is apparent that some supervisory role of the Courts is anticipated.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pursuant to the terms of the IRSSA and the Implementation Orders, IAP decisions of the Chief Adjudicator (or his delegates) are reviewable on a limited basis in cases where the final decision of the Chief Adjudicator (or his delegate) reflects a failure to comply with the terms of the IRSSA. This will be an exceptional circumstance.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this power, Supervising Judges should be mindful to not interfere with the exclusive role of IAP adjudicators to control their own processes and make findings of fact. They must also be mindful to not provide the parties with a right of appeal or judicial review not contemplated by the IRSSA itself.</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supervisory jurisdiction does not extend to varying the terms of the IRSSA as agreed upon by the parties. A Supervising Judge can only order that the terms of the IRSSA be enforced.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seek judicial recourse is limited to very exceptional circumstances. Fundamentally, the IRSSA is a contract. The IAP is a negotiated process, and a complete code. To put it plainly, when the IAP Model was negotiated, the parties called "Done!" at re-review by the Chief Adjudicator or his or her delegate. The court must honour the parties' intentions. By limiting access to the courts, finality is preserved and the expertise of the Chief Adjudicator and those under his supervision is recognized.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plainly a setting where a deferential approach is both warranted and essential. The Courts are simply not well-placed to make findings of fact. Similarly, deference is warranted when it comes to legal interpretations of the IAP Model by adjudicators. There is a parallel to be drawn to the deference that courts accord to tribunals interpreting their home statute. While the Supervising Courts' role on an RFD is not analogous to conducting a judicial review of a tribunal decision, the principle is the same: subject matter expertise and familiarity with the relevant governing instruments - and with how they are applied in context - attracts deference. Judicial recourse would only be available where a re-review decision of the Chief Adjudicator reflects a patent disregard for the IAP Model's compensation rules, such as a failure to award compensation on the basis of the rubric it provides.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none of the RFDs under consideration involve exceptional circumstances permitting judicial recourse to the Supervising Courts.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F-11079, the claimant has not pointed to any facts found by the Adjudicator that were overturned or not deferred to by the Re-Review Adjudicator. Nor has the claimant pointed to any facts relied upon by the Re-Review Adjudicator that were not facts found by the Adjudicator. Rather, the Re-Review Adjudicator applied a different interpretation of the IAP Model to the facts as found by the Adjudicator, which he was entitled to do following Canada's request for a re-review. Nor were the legal conclusions of the Re-Review Adjudicator so unreasonable as to amount to a failure to properly apply the IAP model.</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H-13055, there was no improper reliance on stare decisis. The Adjudicator's decision is quite clear that the Adjudicator recognized he was not bound by any prior decisions, but that he had read, considered and analyzed the reasoning applied in those decisions, and agreed with that reasoning. His reasoning pathway is explained, and he does not apply stare decisis. The exceptionality requirement is therefore not met on this ground. Nor was the legal conclusion of the Adjudicator exceptionally unreasonable. The legal conclusion of the IAP Adjudicators - that proof of a "plausible link" between a proven act of abuse and proven suffering requires direct subjective evidence from a claimant - is not so unreasonable as to amount to a failure to properly apply the IAP model. The Courts should decline invitations to micromanage the IAP made in the guise of RFDs seeking judicial recourse.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C-18694, the claimant and the supporting intervenors argue that the adjudicators applied the wrong test for causation, amounting to an error of law warranting the Supervising Court's intervention. Reading the decision as a whole, the Adjudicator first determined what injuries had been suffered by the claimant. This was not a case of indivisible injuries. After determining the compensable injuries, the Adjudicator assessed the damages that flowed from those injuries. He decided that the claimant was not entitled to compensation for actual loss of income because he would have suffered the income loss regardless of the compensable injuries he suffered. It is a common principle in assessing damages for personal injury that the plaintiff not be put in a better position than he would have been without the injury. This conclusion would not be so exceptionally wrong in law as to amount to a failure to apply the IAP Model. There is nothing exceptional about the circumstances of this case warranting judicial recourse.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N-10762, an allegation of reasonable apprehension of bias against the original adjudicator is not, per se, an exceptional circumstance requiring adjudication by the Supervising Court on an RFD. Bias or a reasonable apprehension of bias on the part of an adjudicator is incompatible with the proper administration of the IAP. However, an allegation of bias on the part of an adjudicator falls squarely within the ambit of the Chief Adjudicator's review mandate. A review by the Chief Adjudicator based on an allegation of bias is available to all parties, and once the Chief Adjudicator has rendered his or her review decision, there is no general right of appeal. The dismissal by the Adjudicator and the Review Adjudicator and Re-Review Adjudicator of an allegation of reasonable apprehension of bias against the Adjudicator does not by itself constitute exceptional circumstances warranting review by the Supervising Court. Rather, the Requestor must show some error in the way that the Chief Adjudicator handled the allegation on review, amounting to a fundamental breach of the rules of natural justice. There was no such error in this case. On the one hand, the claimant is correct that the Re-Review Adjudicator misstated his role. That role was not limited to determining whether there was a misapplication of the IAP by the Review Adjudicator, but extended to whether the Adjudicator applied the IAP Model. However, it is clear from the reasons of the Re-Review Adjudicator that in any event he agreed with the legal analysis of the Review Adjudicator as to whether the hearing gave rise to a reasonable apprehension of bias, and whether the doctrine of waiver applied. It is also clear that he listened to the audio recording of the hearing himself, and drew his own conclusion that the Adjudicator's account of the passage in question was supported. Moreover, he found that the Review Adjudicator had correctly determined that the Adjudicator did not misapply the IAP model to the facts he found. In applying a correctness standard to that determination, the Re-Review Adjudicator in effect conducted a de novo analysis, as required.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R-11791 involves disclosure, after the initial hearing, of an updated POI Report regarding the employment history of the alleged perpetrator. POI Reports were prepared by Canada and updated as further information became available. The Re-Review Adjudicator gave his opinion that the updated information "would have had a very significant impact on the Adjudicator's reasoning if it was available to her at the time when the hearing was heard in October of 2011". Importantly, however, he drew that conclusion without the benefit of having the updated POI Report before him. The Court had the advantage of reviewing the various versions of the POI Report in question. At first impression, the updated POI Report contained new information that should have been considered in any thorough review of the case. However, on further analysis this additional disclosure does not rise to the level required to engage judicial recourse, having regard to the full circumstances. In these circumstances, it is not reasonably probable that, if available to the original Adjudicator, the version of the POI Report indicating the "unconfirmed," "possible" presence of the POI at the school on the relevant dates would have led to a different result. Therefore there are no exceptional circumstances permitting recourse to the Supervising Court in this case.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conclusion, none of the five Requestors has made out any exceptional circumstances that would warrant intervention by a Supervising Judge. In fact, these cases illustrate the need for the "bright line" threshold established in Fontaine v. Duboff Edwards Haight &amp; Schachter, </w:t>
            </w:r>
            <w:hyperlink r:id="rId751" w:history="1">
              <w:r>
                <w:rPr>
                  <w:rFonts w:ascii="arial" w:eastAsia="arial" w:hAnsi="arial" w:cs="arial"/>
                  <w:i/>
                  <w:color w:val="0077CC"/>
                  <w:sz w:val="20"/>
                  <w:u w:val="single"/>
                  <w:shd w:val="clear" w:color="auto" w:fill="FFFFFF"/>
                  <w:lang w:val="en-US" w:eastAsia="en-US" w:bidi="ar-SA"/>
                </w:rPr>
                <w:t>2012 ONCA 471</w:t>
              </w:r>
            </w:hyperlink>
            <w:r>
              <w:rPr>
                <w:rFonts w:ascii="arial" w:eastAsia="arial" w:hAnsi="arial" w:cs="arial"/>
                <w:color w:val="000000"/>
                <w:sz w:val="20"/>
                <w:lang w:val="en-US" w:eastAsia="en-US" w:bidi="ar-SA"/>
              </w:rPr>
              <w:t>. Further, hearing these RFDs together has provided an important and useful perspective in that it demonstrated that they amounted to ordinary appeals rather than possessing the "very exceptional circumstances" warranting recourse to the Courts.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invited submissions as to whether it would be appropriate to impose timelines within which any further judicial recourse RFDs should be brought if they are to be heard by the Courts. The idea of timelines for court applications is not foreign to the IRSSA. The court has applied timelines in respect of CEP applications, applications under Article 12 of the IRSSA (regarding recognition of institutions as Indian Residential Schools for the purpose of the IRSSA), and applications regarding Personal Credits (disbursements contemplated from the surplus in the fund for CEP recipients). IAP applications call out for some finality. It is inconceivable that the administration of the IRSSA could wind down without some time limits for seeking recourse from IAP decisions. The RFD by Claimant R-11791, for example, was brought 18 months after the re-review decision. If future RFDs seeking re-hearings could be brought at any time, the administration of the IRSSA could go on indefinitely. Time limits are fair, and benefit all parties.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the following directions were made: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matters in which a Re-Review decision has not yet been released, the deadline for filing any RFD seeking judicial recourse will be 30 days from the release of the Re-Review decision.</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those matters in which a Re-Review has already been determined, but no judicial recourse RFD has been filed, the deadline for filing any such RFD shall be 90 days from the release of these reasons.</w:t>
            </w:r>
          </w:p>
          <w:p>
            <w:pPr>
              <w:spacing w:before="120"/>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bookmarkStart w:id="239" w:name="Counsel_36"/>
      <w:bookmarkEnd w:id="239"/>
      <w:r>
        <w:rPr>
          <w:rFonts w:ascii="arial" w:eastAsia="arial" w:hAnsi="arial" w:cs="arial"/>
          <w:sz w:val="20"/>
          <w:lang w:val="en-US" w:eastAsia="en-US" w:bidi="ar-SA"/>
        </w:rPr>
        <w:br/>
      </w:r>
      <w:r>
        <w:rPr>
          <w:rFonts w:ascii="arial" w:eastAsia="arial" w:hAnsi="arial" w:cs="arial"/>
          <w:i/>
          <w:color w:val="000000"/>
          <w:sz w:val="20"/>
          <w:lang w:val="en-US" w:eastAsia="en-US" w:bidi="ar-SA"/>
        </w:rPr>
        <w:t>Pierre R. Bisbicis</w:t>
      </w:r>
      <w:r>
        <w:rPr>
          <w:rFonts w:ascii="arial" w:eastAsia="arial" w:hAnsi="arial" w:cs="arial"/>
          <w:color w:val="000000"/>
          <w:sz w:val="20"/>
          <w:lang w:val="en-US" w:eastAsia="en-US" w:bidi="ar-SA"/>
        </w:rPr>
        <w:t>, for the Requestor F-10779.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 G. Vaughn Marshall</w:t>
      </w:r>
      <w:r>
        <w:rPr>
          <w:rFonts w:ascii="arial" w:eastAsia="arial" w:hAnsi="arial" w:cs="arial"/>
          <w:color w:val="000000"/>
          <w:sz w:val="20"/>
          <w:lang w:val="en-US" w:eastAsia="en-US" w:bidi="ar-SA"/>
        </w:rPr>
        <w:t>, for the Requestor H-13055.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Clint G. Docken, Q.C.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Susan Cameron</w:t>
      </w:r>
      <w:r>
        <w:rPr>
          <w:rFonts w:ascii="arial" w:eastAsia="arial" w:hAnsi="arial" w:cs="arial"/>
          <w:color w:val="000000"/>
          <w:sz w:val="20"/>
          <w:lang w:val="en-US" w:eastAsia="en-US" w:bidi="ar-SA"/>
        </w:rPr>
        <w:t>, for the Requestor C-18694.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Douglas Racine</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Benjamin Omoruyi</w:t>
      </w:r>
      <w:r>
        <w:rPr>
          <w:rFonts w:ascii="arial" w:eastAsia="arial" w:hAnsi="arial" w:cs="arial"/>
          <w:color w:val="000000"/>
          <w:sz w:val="20"/>
          <w:lang w:val="en-US" w:eastAsia="en-US" w:bidi="ar-SA"/>
        </w:rPr>
        <w:t>, for the Requestor N-10762.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Douglas Racine</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Benjamin Omoruyi</w:t>
      </w:r>
      <w:r>
        <w:rPr>
          <w:rFonts w:ascii="arial" w:eastAsia="arial" w:hAnsi="arial" w:cs="arial"/>
          <w:color w:val="000000"/>
          <w:sz w:val="20"/>
          <w:lang w:val="en-US" w:eastAsia="en-US" w:bidi="ar-SA"/>
        </w:rPr>
        <w:t>, for the Requestor R-11791.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Catherine A. Coughlan, Brent Thompson</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Eve Coppinger</w:t>
      </w:r>
      <w:r>
        <w:rPr>
          <w:rFonts w:ascii="arial" w:eastAsia="arial" w:hAnsi="arial" w:cs="arial"/>
          <w:color w:val="000000"/>
          <w:sz w:val="20"/>
          <w:lang w:val="en-US" w:eastAsia="en-US" w:bidi="ar-SA"/>
        </w:rPr>
        <w:t>, for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Stuart Wuttke</w:t>
      </w:r>
      <w:r>
        <w:rPr>
          <w:rFonts w:ascii="arial" w:eastAsia="arial" w:hAnsi="arial" w:cs="arial"/>
          <w:color w:val="000000"/>
          <w:sz w:val="20"/>
          <w:lang w:val="en-US" w:eastAsia="en-US" w:bidi="ar-SA"/>
        </w:rPr>
        <w:t>, for Assembly of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Daniel P. Carroll, Q.C</w:t>
      </w:r>
      <w:r>
        <w:rPr>
          <w:rFonts w:ascii="arial" w:eastAsia="arial" w:hAnsi="arial" w:cs="arial"/>
          <w:color w:val="000000"/>
          <w:sz w:val="20"/>
          <w:lang w:val="en-US" w:eastAsia="en-US" w:bidi="ar-SA"/>
        </w:rPr>
        <w:t>., for National Consortium.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Peter Grant</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Karenna Williams</w:t>
      </w:r>
      <w:r>
        <w:rPr>
          <w:rFonts w:ascii="arial" w:eastAsia="arial" w:hAnsi="arial" w:cs="arial"/>
          <w:color w:val="000000"/>
          <w:sz w:val="20"/>
          <w:lang w:val="en-US" w:eastAsia="en-US" w:bidi="ar-SA"/>
        </w:rPr>
        <w:t>, for Independent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Catherine Boies Parker</w:t>
      </w:r>
      <w:r>
        <w:rPr>
          <w:rFonts w:ascii="arial" w:eastAsia="arial" w:hAnsi="arial" w:cs="arial"/>
          <w:color w:val="000000"/>
          <w:sz w:val="20"/>
          <w:lang w:val="en-US" w:eastAsia="en-US" w:bidi="ar-SA"/>
        </w:rPr>
        <w:t>, for the Chief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Brian Gover,</w:t>
      </w:r>
      <w:r>
        <w:rPr>
          <w:rFonts w:ascii="arial" w:eastAsia="arial" w:hAnsi="arial" w:cs="arial"/>
          <w:color w:val="000000"/>
          <w:sz w:val="20"/>
          <w:lang w:val="en-US" w:eastAsia="en-US" w:bidi="ar-SA"/>
        </w:rPr>
        <w:t xml:space="preserve"> for the Court.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6"/>
      <w:bookmarkEnd w:id="240"/>
      <w:r>
        <w:pict>
          <v:line id="_x0000_s1201" style="position:absolute;z-index:2517473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Information replaced with [XXX]'s represents information that was removed by the Court.]</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five requests for directions ("RFDs") under the Indian Residential Schools Settlement Agreement ("IRSSA" or "Settlement Agreement"). All of these RFDs seek judicial recourse from decisions made within the Independent Assessment Process ("IAP") established under the IRSSA. These RFDs were heard together, and a number of intervenors participated, to address the issue of the court's jurisdiction on this type of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set out below, I decline to grant the relief sought in any of the present RFDs.?At the end of these reasons, I give directions as to the process and timelines for future RFDs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IRSSA is Canada's largest and most complex class action settlement. Various stakeholders negotiated the IRSSA to achieve a "fair, comprehensive and lasting resolution of the legacy of Indian Residential Schools." This court is one of nine provincial and territorial superior courts (the "Courts" or "Supervising Courts") that approved the IRSSA on identical terms.?It is important to understand that in addition to the IRSSA, the Courts' Implementation Orders and the Court Administration Protocol appended to those orders comprise what might be termed the "package" of documents that govern the IRSSA's administration The Court Administration Protocol required the Courts to designate the nine judges who heard the motions for approval of the Agreement, or their successors as "Supervising Judges" and stipulated that from among the "Supervising Judges", two "Administrative Judges" should be designated, one "Eastern Administrative Judge" and one "Western Administrative Judge".</w:t>
      </w:r>
      <w:bookmarkStart w:id="241"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4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IRSSA established two compensation streams: a common experience payment ("CEP"), payable to all attendees of Indian Residential Schools ("IRSs"), and the Independent Assessment Process ("IAP"), which is the inquisitorial process provided by the IRSSA for adjudicating individual claims made by former IRS students in relation to physical and/or sexual abuse that they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2009, I have been the Supervising Judge for British Columbia and the Western Administrative Judge. In those roles, I have heard over 30 RFDs addressing a broad range of issues</w:t>
      </w:r>
      <w:bookmarkStart w:id="242"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42"/>
      <w:r>
        <w:rPr>
          <w:rFonts w:ascii="arial" w:eastAsia="arial" w:hAnsi="arial" w:cs="arial"/>
          <w:color w:val="000000"/>
          <w:sz w:val="20"/>
          <w:lang w:val="en-US" w:eastAsia="en-US" w:bidi="ar-SA"/>
        </w:rPr>
        <w:t xml:space="preserve"> and have determined over 740 of the CEP Court Appeals.</w:t>
      </w:r>
      <w:bookmarkStart w:id="243"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43"/>
      <w:r>
        <w:rPr>
          <w:rFonts w:ascii="arial" w:eastAsia="arial" w:hAnsi="arial" w:cs="arial"/>
          <w:color w:val="000000"/>
          <w:sz w:val="20"/>
          <w:lang w:val="en-US" w:eastAsia="en-US" w:bidi="ar-SA"/>
        </w:rPr>
        <w:t xml:space="preserve"> At this point, I am the longest serving Supervising Judge and Administrative Judge. I can say from personal observation that administering the IRSSA has been a significant undertaking not just for IAP adjudicators and other appointed administrators, but also for the courts. It is striking that a class action settlement that was the subject of an agreement in principle in 2005, finalized and approved in 2006 and ordered implemented in 2007 continues to generate litigation. Administration of the Settlement Agreement is an ongoing endeavour, and, it is fair to say, continues to draw a significant amount of court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present RFDs, the Requestors are IAP claimants. For varying reasons, each is dissatisfied with the decision on Re-Review of their case. Each of them seeks access to a Supervising Judge through what has been termed either "judicial recourse" or "curial review"</w:t>
      </w:r>
      <w:bookmarkStart w:id="244"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44"/>
      <w:r>
        <w:rPr>
          <w:rFonts w:ascii="arial" w:eastAsia="arial" w:hAnsi="arial" w:cs="arial"/>
          <w:color w:val="000000"/>
          <w:sz w:val="20"/>
          <w:lang w:val="en-US" w:eastAsia="en-US" w:bidi="ar-SA"/>
        </w:rPr>
        <w:t xml:space="preserve"> after exhausting the review processes prescribed by the IAP. Their claims and the issues raised in relation to their respective RFDs are summarized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retrospect, it was distinctly advantageous to hear these five RFDs together. While each initially appeared to be distinct and exceptional (and while each has been determined on its own merits), when heard together it became difficult to distinguish them from ordinary appeals. That is the challenge in applying the test articulated by the Ontario Court of Appeal in </w:t>
      </w:r>
      <w:r>
        <w:rPr>
          <w:rFonts w:ascii="arial" w:eastAsia="arial" w:hAnsi="arial" w:cs="arial"/>
          <w:i/>
          <w:color w:val="000000"/>
          <w:sz w:val="20"/>
          <w:lang w:val="en-US" w:eastAsia="en-US" w:bidi="ar-SA"/>
        </w:rPr>
        <w:t>Fontaine v. Duboff Edwards Haight and Schachter</w:t>
      </w:r>
      <w:bookmarkStart w:id="245"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45"/>
      <w:r>
        <w:rPr>
          <w:rFonts w:ascii="arial" w:eastAsia="arial" w:hAnsi="arial" w:cs="arial"/>
          <w:color w:val="000000"/>
          <w:sz w:val="20"/>
          <w:lang w:val="en-US" w:eastAsia="en-US" w:bidi="ar-SA"/>
        </w:rPr>
        <w:t xml:space="preserve"> and determining whether the "very exceptional circumstances" warranting judicial recourse arise in these RFDs.</w:t>
      </w:r>
      <w:bookmarkStart w:id="246"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4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of the potential impact of judicial recourse RFDs on the IRSSA's administration, and through Court Counsel, the court invited the parties to make submissions as to whether it would appropriate to impose timelines within which any further judicial recourse RFDs should be brought if they are to be heard by the Courts. As noted above, in this Direction, in addition to determining the present RFDs, I provide guidance concerning the process that must be followed in the event that any further RFDs of this kind are brought, including the timelines within which such an RFD must be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IRSSA and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Terms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Fundamentally, the IRSSA is a contract. Consequently, it must be interpreted in the manner in which contracts are construed. It contains standard contractual terms, such as an "entire agreement" clause</w:t>
      </w:r>
      <w:bookmarkStart w:id="247"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47"/>
      <w:r>
        <w:rPr>
          <w:rFonts w:ascii="arial" w:eastAsia="arial" w:hAnsi="arial" w:cs="arial"/>
          <w:color w:val="000000"/>
          <w:sz w:val="20"/>
          <w:lang w:val="en-US" w:eastAsia="en-US" w:bidi="ar-SA"/>
        </w:rPr>
        <w:t xml:space="preserve"> and provides that it cannot be amended or varied, except in some circumstances with the consent of the parties.</w:t>
      </w:r>
      <w:bookmarkStart w:id="248"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48"/>
      <w:r>
        <w:rPr>
          <w:rFonts w:ascii="arial" w:eastAsia="arial" w:hAnsi="arial" w:cs="arial"/>
          <w:color w:val="000000"/>
          <w:sz w:val="20"/>
          <w:lang w:val="en-US" w:eastAsia="en-US" w:bidi="ar-SA"/>
        </w:rPr>
        <w:t xml:space="preserve"> Both this court and the British Columbia Court of Appeal have held that the Courts' supervisory jurisdiction in the implementation and administration of the IRSSA does not empower the Courts to vary or amend the IRSSA's terms.</w:t>
      </w:r>
      <w:bookmarkStart w:id="249"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4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Independent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Schedule D to the IRSSA provides for the IAP Model. Like all aspects of the Settlement Agreement, the IAP was carefully negotiated. An "IAP Working Group" was created. The IRSSA provided for the IAP Working Group's members to be compensated for their work in designing the IAP between the date of the Agreement in Principle and the Settlement Agreement's implementation.</w:t>
      </w:r>
      <w:bookmarkStart w:id="250"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5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IAP is: (a) a post-litigation claims assessment process, (b) a contractual component of the IRSSA, arising from the parties' negotiations, and (c) a closed adjudicative process, operating under the purview of independent adjudicators without any rights of appeal 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put by the Chief Adjudicator in his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IAP is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claims adjudication process, negotiated by the parties to the IRSSA as the appropriate means of providing compensation to individuals for the harms they suffered from experiencing sexual and physical abuse and other wrongful acts at Indian Residential Schools. It is a claimant-centred process, with special procedures developed to address the particular circumstances of IRS claimants, and to provide timely and effective resolution of claims involving deeply painful experiences suffered by claimants many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prove their claims, claimants alleging compensable abuse are entitled to a hearing before an adjudicator. The IAP is intended to be inquisitorial, presided over by adjudicators who are empowered to ask questions of claimants, drawing out the full story and testing the evidence where necessary. As I have previously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IAP is to provide a modified adjudicative proceeding for the resolution of claims of serious physical or sexual abuse suffered while at a residential school. The hearings are to be inquisitorial in nature and the process is designed to minimize further harm to claimants. The adjudicator presiding over the hearing is charged with asking questions to elicit the testimony of claimants. Counsel for the parties may suggest questions or areas to explore to the adjudicator but they do not question claimants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hearings are meant to be considerate of the claimant's comfort and well-being but they also serve an adjudicative purpose where evidence and credibility are tested to ensure that legitimate claims are compensated and false claims are weeded out. It is strongly recommended that claimants retain legal counsel to advance their claims within the IAP.</w:t>
      </w:r>
      <w:bookmarkStart w:id="251"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5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its compensatory aspect, the IAP also has other important purposes. As I have previously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IAP provides both compensatory and non-compensatory benefits. Pursuant to the settlement terms, claimants are entitled to compensation for proven claims of abuse. They are also entitled to the opportunity to have their claims adjudicated in a non-confrontational process that takes into account special considerations in determining credibility, which in essence, is the main issue in respect of any claim in the IAP.</w:t>
      </w:r>
      <w:bookmarkStart w:id="252"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5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IAP also includes a legal fee review and assessment process which itself has resulted in decisions of the Supervising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Role of IAP Adjudicators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Individual IAP claims are managed and decided by independent adjudicators.</w:t>
      </w:r>
      <w:bookmarkStart w:id="253"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253"/>
      <w:r>
        <w:rPr>
          <w:rFonts w:ascii="arial" w:eastAsia="arial" w:hAnsi="arial" w:cs="arial"/>
          <w:color w:val="000000"/>
          <w:sz w:val="20"/>
          <w:lang w:val="en-US" w:eastAsia="en-US" w:bidi="ar-SA"/>
        </w:rPr>
        <w:t xml:space="preserve"> Under the IAP Model, for each IAP claim, independent adjudicators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 the credibility of each allegation [. and] determine whether what has been proven constitutes a continuing claim under [the] IAP;"</w:t>
      </w:r>
      <w:bookmarkStart w:id="254"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254"/>
      <w:r>
        <w:rPr>
          <w:rFonts w:ascii="arial" w:eastAsia="arial" w:hAnsi="arial" w:cs="arial"/>
          <w:color w:val="000000"/>
          <w:sz w:val="20"/>
          <w:lang w:val="en-US" w:eastAsia="en-US" w:bidi="ar-SA"/>
        </w:rPr>
        <w:t xml:space="preserve"> and, Issue a compensation decision outlining key factual findings and any rationale relied upon,</w:t>
      </w:r>
      <w:bookmarkStart w:id="255"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55"/>
      <w:r>
        <w:rPr>
          <w:rFonts w:ascii="arial" w:eastAsia="arial" w:hAnsi="arial" w:cs="arial"/>
          <w:color w:val="000000"/>
          <w:sz w:val="20"/>
          <w:lang w:val="en-US" w:eastAsia="en-US" w:bidi="ar-SA"/>
        </w:rPr>
        <w:t xml:space="preserve"> and organized according to a set rubric.</w:t>
      </w:r>
      <w:bookmarkStart w:id="256"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5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inquisitorial nature of an IAP hearing requires adjudicators to manage the hearing, draw out and test the evidence of witnesses, caucus with the parties on proposed lines of questioning, and then make factual and legal conclusions necessary to resolve the claim. These combined roles require a unique combination of skills. Recognizing this, the parties agreed that adjudicators should be highly-qualified individuals,</w:t>
      </w:r>
      <w:bookmarkStart w:id="257"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57"/>
      <w:r>
        <w:rPr>
          <w:rFonts w:ascii="arial" w:eastAsia="arial" w:hAnsi="arial" w:cs="arial"/>
          <w:color w:val="000000"/>
          <w:sz w:val="20"/>
          <w:lang w:val="en-US" w:eastAsia="en-US" w:bidi="ar-SA"/>
        </w:rPr>
        <w:t xml:space="preserve"> selected by all-party consensus,</w:t>
      </w:r>
      <w:bookmarkStart w:id="258"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258"/>
      <w:r>
        <w:rPr>
          <w:rFonts w:ascii="arial" w:eastAsia="arial" w:hAnsi="arial" w:cs="arial"/>
          <w:color w:val="000000"/>
          <w:sz w:val="20"/>
          <w:lang w:val="en-US" w:eastAsia="en-US" w:bidi="ar-SA"/>
        </w:rPr>
        <w:t xml:space="preserve"> who receive intensive training approved by the IAP Oversight Committee and ongoing mentoring by the Chief Adjudicator and other senior adjudicators.</w:t>
      </w:r>
      <w:bookmarkStart w:id="259"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25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criteria for the selection of Adjudicators are set out in Appendix V of Schedule D on p.?24, and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knowledge of and sensitivity to Aboriginal culture and history, knowledge of and sensitivity to sexual and physical abuse issues, and the ability to work with staff and participants from diverse backgrounds, as well as knowledge of personal injury law, and damages assessment, the ability to elicit useful evidence in a concise manner, and a demonstrated ability to assess credibility and reliability. It is noteworthy that adjudicators need not be legally trained, so long as they have a combination of related training or significant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Ontario Court of Appeal has recognized that "[a]djudicators are specially trained to conduct the hearing in a way that is respectful to the claimant and conducive to obtaining a full description of his or her experience."</w:t>
      </w:r>
      <w:bookmarkStart w:id="260"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260"/>
      <w:r>
        <w:rPr>
          <w:rFonts w:ascii="arial" w:eastAsia="arial" w:hAnsi="arial" w:cs="arial"/>
          <w:color w:val="000000"/>
          <w:sz w:val="20"/>
          <w:lang w:val="en-US" w:eastAsia="en-US" w:bidi="ar-SA"/>
        </w:rPr>
        <w:t xml:space="preserve"> The Court of Appeal for Ontario further recognized that the Chief Adjudicator possesses "broad discretion"</w:t>
      </w:r>
      <w:bookmarkStart w:id="261" w:name="Backward_fnref_fnr-21"/>
      <w:hyperlink w:anchor="Forward_fnref_fnr-21" w:history="1">
        <w:r>
          <w:rPr>
            <w:rFonts w:ascii="arial" w:eastAsia="arial" w:hAnsi="arial" w:cs="arial"/>
            <w:b/>
            <w:color w:val="BE161D"/>
            <w:sz w:val="20"/>
            <w:shd w:val="clear" w:color="auto" w:fill="FFFFFF"/>
            <w:vertAlign w:val="superscript"/>
            <w:lang w:val="en-US" w:eastAsia="en-US" w:bidi="ar-SA"/>
          </w:rPr>
          <w:t>21</w:t>
        </w:r>
      </w:hyperlink>
      <w:bookmarkEnd w:id="261"/>
      <w:r>
        <w:rPr>
          <w:rFonts w:ascii="arial" w:eastAsia="arial" w:hAnsi="arial" w:cs="arial"/>
          <w:color w:val="000000"/>
          <w:sz w:val="20"/>
          <w:lang w:val="en-US" w:eastAsia="en-US" w:bidi="ar-SA"/>
        </w:rPr>
        <w:t xml:space="preserve"> and "relative expertise."</w:t>
      </w:r>
      <w:bookmarkStart w:id="262"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262"/>
      <w:r>
        <w:rPr>
          <w:rFonts w:ascii="arial" w:eastAsia="arial" w:hAnsi="arial" w:cs="arial"/>
          <w:color w:val="000000"/>
          <w:sz w:val="20"/>
          <w:lang w:val="en-US" w:eastAsia="en-US" w:bidi="ar-SA"/>
        </w:rPr>
        <w:t xml:space="preserve"> In the exercise of his duties, the Chief Adjudicator is monitored and guided by the Oversight Committee.</w:t>
      </w:r>
      <w:bookmarkStart w:id="263" w:name="Backward_fnref_fnr-23"/>
      <w:hyperlink w:anchor="Forward_fnref_fnr-23" w:history="1">
        <w:r>
          <w:rPr>
            <w:rFonts w:ascii="arial" w:eastAsia="arial" w:hAnsi="arial" w:cs="arial"/>
            <w:b/>
            <w:color w:val="BE161D"/>
            <w:sz w:val="20"/>
            <w:shd w:val="clear" w:color="auto" w:fill="FFFFFF"/>
            <w:vertAlign w:val="superscript"/>
            <w:lang w:val="en-US" w:eastAsia="en-US" w:bidi="ar-SA"/>
          </w:rPr>
          <w:t>23</w:t>
        </w:r>
      </w:hyperlink>
      <w:bookmarkEnd w:id="26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IAP creates an exclusive jurisdiction</w:t>
      </w:r>
      <w:bookmarkStart w:id="264" w:name="Backward_fnref_fnr-24"/>
      <w:hyperlink w:anchor="Forward_fnref_fnr-24" w:history="1">
        <w:r>
          <w:rPr>
            <w:rFonts w:ascii="arial" w:eastAsia="arial" w:hAnsi="arial" w:cs="arial"/>
            <w:b/>
            <w:color w:val="BE161D"/>
            <w:sz w:val="20"/>
            <w:shd w:val="clear" w:color="auto" w:fill="FFFFFF"/>
            <w:vertAlign w:val="superscript"/>
            <w:lang w:val="en-US" w:eastAsia="en-US" w:bidi="ar-SA"/>
          </w:rPr>
          <w:t>24</w:t>
        </w:r>
      </w:hyperlink>
      <w:bookmarkEnd w:id="264"/>
      <w:r>
        <w:rPr>
          <w:rFonts w:ascii="arial" w:eastAsia="arial" w:hAnsi="arial" w:cs="arial"/>
          <w:color w:val="000000"/>
          <w:sz w:val="20"/>
          <w:lang w:val="en-US" w:eastAsia="en-US" w:bidi="ar-SA"/>
        </w:rPr>
        <w:t xml:space="preserve"> for independent adjudicators to manage IAP hearings, find facts, and assess IAP claims, which in turn fosters their considerable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exclusive jurisdiction of independent adjudicators has previously been recognized by Perell J., the Eastern Administrative Judge, in what was referred to in the submissions I heard as the </w:t>
      </w:r>
      <w:r>
        <w:rPr>
          <w:rFonts w:ascii="arial" w:eastAsia="arial" w:hAnsi="arial" w:cs="arial"/>
          <w:i/>
          <w:color w:val="000000"/>
          <w:sz w:val="20"/>
          <w:lang w:val="en-US" w:eastAsia="en-US" w:bidi="ar-SA"/>
        </w:rPr>
        <w:t>Kain and Jaffe RFD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Under the IRSSA, the adjudicators are - as their name suggests - exercising a judicial function in accordance with the terms of the IRSSA. It is for them, on a case by case basis and not the Court, to make evidentiary rulings. As already ordered in the January 14, 2014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adjudicators of the IAP have the exclusive jurisdiction with respect to the admission of and use to be made of evidence for the IAP.</w:t>
      </w:r>
      <w:bookmarkStart w:id="265" w:name="Backward_fnref_fnr-25"/>
      <w:hyperlink w:anchor="Forward_fnref_fnr-25" w:history="1">
        <w:r>
          <w:rPr>
            <w:rFonts w:ascii="arial" w:eastAsia="arial" w:hAnsi="arial" w:cs="arial"/>
            <w:b/>
            <w:color w:val="BE161D"/>
            <w:sz w:val="20"/>
            <w:shd w:val="clear" w:color="auto" w:fill="FFFFFF"/>
            <w:vertAlign w:val="superscript"/>
            <w:lang w:val="en-US" w:eastAsia="en-US" w:bidi="ar-SA"/>
          </w:rPr>
          <w:t>25</w:t>
        </w:r>
      </w:hyperlink>
      <w:bookmarkEnd w:id="26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Process for Review of an IAP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If an IAP claimant or Canada is dissatisfied with an adjudicator's decision, they have rights of review. These are set out in Appendix III of Schedule D, and provide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cases within the standard or complex track, any party may ask the Chief Adjudicator or designate to determine whether an adjudicator's, or reviewing adjudicator's, decision properly applied the IAP Model to the facts as found by the adjudicator, and if not, to correct the decision, and the Chief Adjudicator or designate may do so.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both the standard and the complex issues tracks, Claimants may require that a second adjudicator review a decision to determine whether it contains a palpable and overriding error.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complex issues track, the defendants may require that a second adjudicator review a decision to determine whether it contains a palpable and overriding error.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palpable and overriding error is found, the reviewing adjudicator may substitute their own decision or order a new hearing.</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reviews are on the record (no new evidence permitted) and without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other words, the IAP provides a closed process for the determination of individual claims, with one in-person hearing and two levels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considering whether an adjudicator properly applied the IAP Model to the facts, the standard of review is correctness. If an adjudicator is incorrect in his or her application of the IAP Model to the facts, then the review adjudicator is meant to correct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discussing the particular RFDs in these reasons, I will refer to the original adjudicator as the "Adjudicator" and to the two levels of reviewers as the "Review Adjudicator" and the "Re-Review Adjudicator"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Current Status of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IAP has now nearly completely run its course. According to statistics made available by the Indian Residential Schools Adjudication Secretariat, 99.7% of all anticipated IAP hearings have already been held, 26,452 in total.</w:t>
      </w:r>
      <w:bookmarkStart w:id="266" w:name="Backward_fnref_fnr-26"/>
      <w:hyperlink w:anchor="Forward_fnref_fnr-26" w:history="1">
        <w:r>
          <w:rPr>
            <w:rFonts w:ascii="arial" w:eastAsia="arial" w:hAnsi="arial" w:cs="arial"/>
            <w:b/>
            <w:color w:val="BE161D"/>
            <w:sz w:val="20"/>
            <w:shd w:val="clear" w:color="auto" w:fill="FFFFFF"/>
            <w:vertAlign w:val="superscript"/>
            <w:lang w:val="en-US" w:eastAsia="en-US" w:bidi="ar-SA"/>
          </w:rPr>
          <w:t>26</w:t>
        </w:r>
      </w:hyperlink>
      <w:bookmarkEnd w:id="266"/>
      <w:r>
        <w:rPr>
          <w:rFonts w:ascii="arial" w:eastAsia="arial" w:hAnsi="arial" w:cs="arial"/>
          <w:color w:val="000000"/>
          <w:sz w:val="20"/>
          <w:lang w:val="en-US" w:eastAsia="en-US" w:bidi="ar-SA"/>
        </w:rPr>
        <w:t xml:space="preserve"> Of the 38,094 total claims filed in the IAP, 35,730 (93.7%) have been resolved. Of the 2,364 unresolved claims, only 87 hearings were scheduled for a later date or awaiting scheduling; 1,111 cases were awaiting decisions, and 1,166 cases were expected to be resolved through non-hearing means.</w:t>
      </w:r>
      <w:bookmarkStart w:id="267" w:name="Backward_fnref_fnr-27"/>
      <w:hyperlink w:anchor="Forward_fnref_fnr-27" w:history="1">
        <w:r>
          <w:rPr>
            <w:rFonts w:ascii="arial" w:eastAsia="arial" w:hAnsi="arial" w:cs="arial"/>
            <w:b/>
            <w:color w:val="BE161D"/>
            <w:sz w:val="20"/>
            <w:shd w:val="clear" w:color="auto" w:fill="FFFFFF"/>
            <w:vertAlign w:val="superscript"/>
            <w:lang w:val="en-US" w:eastAsia="en-US" w:bidi="ar-SA"/>
          </w:rPr>
          <w:t>27</w:t>
        </w:r>
      </w:hyperlink>
      <w:bookmarkEnd w:id="26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Over three billion dollars has been paid to successful IAP claimants, and almost 90% of claims admitted to the IAP have resulted in an award in favour of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now to the facts of the individual RFDs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RFD F-10779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Claimant F-10779 attended [XXX] IRS from 1969 to 1970, during which time she claimed to have suffered four sexual assaults that caused her lasting harm.</w:t>
      </w:r>
      <w:bookmarkStart w:id="268" w:name="Backward_fnref_fnr-28"/>
      <w:hyperlink w:anchor="Forward_fnref_fnr-28" w:history="1">
        <w:r>
          <w:rPr>
            <w:rFonts w:ascii="arial" w:eastAsia="arial" w:hAnsi="arial" w:cs="arial"/>
            <w:b/>
            <w:color w:val="BE161D"/>
            <w:sz w:val="20"/>
            <w:shd w:val="clear" w:color="auto" w:fill="FFFFFF"/>
            <w:vertAlign w:val="superscript"/>
            <w:lang w:val="en-US" w:eastAsia="en-US" w:bidi="ar-SA"/>
          </w:rPr>
          <w:t>28</w:t>
        </w:r>
      </w:hyperlink>
      <w:bookmarkEnd w:id="26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Claimant F-10779 claimed that the alleged incidents, and particularly the [XXX] caused her lost opportunity: she claimed that, as a result of the alleged incidents, she did not complete Grade 12 until later in her adult life. This delay occasioned a delay in her qualifying as a [XXX]. She outlined proposed future care comprising sessions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Adjudicator found that Claimant F-10779 had established the [XXX] is compensable under the IAP Model as an SL3 assault. The Adjudicator found that paragraph (a) of the test on page 31 of the IAP Model was satisfied because, at the time of the assault, the perpetrator was [XXX] </w:t>
      </w:r>
      <w:r>
        <w:rPr>
          <w:rFonts w:ascii="arial" w:eastAsia="arial" w:hAnsi="arial" w:cs="arial"/>
          <w:i/>
          <w:color w:val="000000"/>
          <w:sz w:val="20"/>
          <w:lang w:val="en-US" w:eastAsia="en-US" w:bidi="ar-SA"/>
        </w:rPr>
        <w:t xml:space="preserve"> employed by the Canadian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Adjudicator determined that paragraph (c) of the test on page 31 of the IAP Model was also satisfied. In coming to this conclusion, he relied extensively on the reasoning in N-10174. Specifically, the Adjudicator noted that N-10174 held that, although the test in paragraph (c) is satisfied if a relevant relationship created in the IRS is proved, this is not necessary: the test is satisfied in the absence of such a relationship if the claimant can establish that the assault arose from, or its commission was connected with, the operation of the IRS. The Adjudicator went onto note that N-10174 held that 'operation of the school' should be interpreted broadly to include activities or business that relates to the IRS, whether or not specifically related to the activities of students at the IRS, but inclusive of the activities and actions of students at the IRS. Finally, the Adjudicator noted that N-10174 held that the flow of students into and out of the IRS fell within the operation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Adjudicator found that N-10174 is broad enough to cover this claim: [XXX] access to Claimant F-10779 was connected to the operation of the school, as per N-10174, since the perpetrator [XXX]. The Adjudicator noted also C-14693, which held that the IRS had no liability for an assault suffered by one of its students when that student was under the care and control of his family. The Adjudicator noted that Claimant F-10779 [XXX], but found that she was nevertheless under the care and control of the IRS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[XXX]. Finally, the Adjudicator found that the relevant compensability test is in any event not satisfied, since the IRS did not have actual knowledge of the assault [XXX] nor that it ought to have known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Adjudicator found that Claimant F-10779 had established that [XXX]. However, the Adjudicator found that the touch did exceed touching of a recognised parental nature, and that it thus is compensable under the IAP Model as an SL1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Adjudicator accepted Claimant F-10779's account of the harms suffered and that those harms were plausibly linked to [XXX], such that the harms were compensable under the IAP Model. The Adjudicator found that the harms fell under H3 and awarded 15 compensation points. The Adjudicator found that the assault was aggravated to the extent that (i) [XXX] and (ii) [XXX]. [XXX]. The Adjudicator accepted her account of the lost opportunity and found that it was compensable in that it was plausibly linked [XXX]. The Adjudicator found that her need for future care [XXX]. The Adjudicator awarded total compensation of $82,233, inclusive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Review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Canada sought review of the initial Adjudicator's decision in respect to the SL3 assault by the [XXX] on three grounds. First, Canada did not bear an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relationship to the claimant at the time [XXX]. Second, the Adjudicator misapplied the test in paragraph (a) on page 31 of the IAP Model, since that test is not satisfied in respect of [XXX]. Third, the initial Adjudicator misapplied part (c) of the three-part test on page 31 of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Review Adjudicator rejected Canada's first ground. He found that, since Claimant F-10779 [XXX], her father was not at that point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to her. Rather, at the point when she was [XXX], the IRS was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to her. The Review Adjudicator acknowledged that the claimant had her father's approval to [XXX], but found that mere approval, in the absence of a letter or other express permission [XXX], was not sufficient establish that the [XXX], rather than the IRS, was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to the claimant at the relevant time. The Review Adjudicator then drew upon B-14284 as support for the proposition that, in any event, the IAP Model constitutes a complete code that does not include any obligation to consider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Accordingly, the Review Adjudicator found that the first instance Adjudicator did not err in not expressly considering </w:t>
      </w:r>
      <w:r>
        <w:rPr>
          <w:rFonts w:ascii="arial" w:eastAsia="arial" w:hAnsi="arial" w:cs="arial"/>
          <w:i/>
          <w:color w:val="000000"/>
          <w:sz w:val="20"/>
          <w:lang w:val="en-US" w:eastAsia="en-US" w:bidi="ar-SA"/>
        </w:rPr>
        <w:t>in loco parentis</w:t>
      </w:r>
      <w:r>
        <w:rPr>
          <w:rFonts w:ascii="arial" w:eastAsia="arial" w:hAnsi="arial" w:cs="arial"/>
          <w:color w:val="000000"/>
          <w:sz w:val="20"/>
          <w:lang w:val="en-US" w:eastAsia="en-US" w:bidi="ar-SA"/>
        </w:rPr>
        <w:t xml:space="preser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Review Adjudicator rejected Canada's second ground. The Review Adjudicator found that paragraph (a) of the test on page 31 of the IAP Model unambiguously provides that it is satisfied when the perpetrator is an employee of the government, even if the perpetrator's contract of employment is not with the IRS in question. The Review Adjudicator found that the test had been properly applied by the initial Adjudicator: since the [XXX] was an employee of the government, the test was satisfied notwithstanding that his contract of employment was not with the IRS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Review Adjudicator rejected Canada's third ground. The Review Adjudicator found that the initial Adjudicator had correctly applied paragraph (c) of the test on page 31 of the IAP Model: he endorsed the Adjudicator's reliance upon and application of the reasoning in N-10174, noting that N-10174 had been approved by the Chief Adjudicator in S-21665.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Review Adjudicator thus upheld the decision of the initial Adjudicator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Re-Review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Canada sought re-review of the decision of the initial Adjudicator with respect to the SL3 assault by the [XXX]. The Re-Review Adjudicator found that the initial Adjudicator and the Review Adjudicator misapplied the IAP Model and that, properly applied, the Model provided that the assault by the [XXX] was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Relying upon E-10179, the Re-Review Adjudicator found that satisfaction of part (a) of the test on page 31 of the IAP Model requires that, where the perpetrator is an employee of the government that operated the IRS, the perpetrator's contract of employment need not be with that particular IRS, but must be with an IRS. Following B-20530, the Re-Review Adjudicator then found that it would be 'illogical' were the test to provide that the contract of employment need not be with an IRS at all, since that would then extend potential liability to all government employees. The [XXX] did not have a contract of employment with an IRS. Accordingly, the Re-Review Adjudicator found that both the initial Adjudicator and the Review Adjudicator had misapplied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Re-Review Adjudicator also rejected the manner in which the Review Adjudicator and the Adjudicator applied part (c) of the test. Relying upon M-16568, the Re-Review Adjudicator agreed with Canada's position that the primary basis for liability under the IAP Model is the IRS standing in loco parentis to the resident child. In M-16568, IRS staff transported a student to a dentist who then [XXX]. M-16568 held that the IRS in question was not liable because its liability ceased at the point at which the student was delivered out of its control and into the control of the dentist. Following, M-16568, the Re-Review Adjudicator found that the liability in relation to St. Mary's IRS ceased when the claimant was collected by the [XXX], since, from that point on, she was under his care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the Re-Review Adjudicator found that, since the [XXX] was not an employee of the IRS, the initial Adjudicator and the Review Adjudicator failed properly to apply part (b) of the test on page 31 of the IAP Model. The Re-Review Adjudicator found that part (b) provides that where the perpetrator is not an employee of the IRS, it is necessary that the assault happen on school premises in order to be compensable. Accordingly, the Re-Review Adjudicator found that in relation to [XXX], part (b) was not satisfied. The Re-Review Adjudicator thus found that the assault was not compensable; therefore the harms and opportunity loss allegedly owing to the assault were also not compensable. The Re-Review Adjudicator therefore altered the compensation owing to Claimant F-10779 to $13,000 and an additional $2,000 in respect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 on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RFD, Claimant F-10779 seeks the following relief: first, that the re-review decision be quashed, and the original decision be upheld, because the Re-Review Adjudicator lacked jurisdiction to conduct the re-review; and in the alternative for any relief deemed appropriate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Claimant F-10779's position is as follows. The original Adjudicator found that [XXX] was an adult employee of the government. This finding, Claimant F-10779 submits, was a factual finding or a mixed finding of fact and law. As such, Canada did not have the right, under the IRSSA, to request a review of this decision and the Re-Review Adjudicator did not have the right to overturn it. Claimant F-10779 submits that the IRSSA is clear that Canada is not able to make requests for review on issues of fact, but only on issues of the proper application of the IAP Model, that is, Claimant F-10779 submits, issues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Claimant F-10779 notes that, first, part (a) of the test at page 31 of the IAP Model is satisfied when the perpetrator is an employee of the government and not an employee of an IRS. It is thus satisfied in the case of [XXX]. Second, the initial Adjudicator's application of part (c) of the test was correct: the [XXX] arose from, or its commission was connected to, the operation of the school. Since the test is met, the assault is compensable even though it did not take place on IRS premises, the implication being that the Re-Review Adjudicator's application of part (b) of the test is a misapplication of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First, Canada submits that Claimant F-10779 has failed to establish that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criteria are met. Canada submits that the Requestor has not articulated the jurisdiction under which a Supervising Court can hear her claim; the grounds upon which she can access that jurisdiction; any factual issues arising from the IAP decision; any IAP case law supportive of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Second, Canada submits that procedural fairness dictates that Claimant F-10779's request must fail: it contends that no submissions have been filed on the RFD, such that it would be procedurally unfair to find against Canada on the basis of arguments not yet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Third, Canada submits that Claimant F-10779 has failed to articulate: (i) what standard of review was applied at the re-review hearing; (ii) why that standard was erroneous; and (iii) how application of that standard amounted to a misapplication of the IAP Model. Nor, Canada contends, has Claimant F-10779 detailed why the review decision should replace the re-review decision. Canada submits that Claimant F-10779 is improperly asking the court to adjudicate between its conception of the standard of review and the conception provided in the IAP Model. Canada contends that Claimant F-10779 is simply complaining about the results of the IAP process. The court does not have jurisdiction to re-determine issues "properly within the ambit of the adjudicator's decision making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Fourth, Canada's position is that Claimant F-10779 is asking the court to act beyond its jurisdiction in that: (i) she is asking the court to overturn decisions made under the exclusive jurisdiction of adjudicators under the IAP; (ii) the court does not have jurisdiction to quash a re-review decision, since to do so would be in effect to exercise a jurisdiction of judicial review or appeal not available under the IAP; (iii) reinstating a review decision or making a monetary award to Claimant F-10779 would constitute and ultra vires interference with the exclusive responsibilities of the adjudicators under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AFN contends that Re-Review Adjudicator misapplied Schedule D of the IAP Model: he erroneously took it to require that perpetrators who are employees of the government must have a contract of employment with a specific IRS. AFN contends that Schedule D requires that the perpetrator be an employee of the government or a church entity that operated the IRS in question, or another adult lawfully on the premises of the IRS. AFN contends that here "or" does not mean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RFD H-13055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Claimant H-13055 died on January 12, 2010, three days before she was due to give evidence at the initial adjudication of her claim. Her claim was pursued by her estate. She attended [XXX] IRS from the age of 6, until she left after completing Grade 8.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Claimant H-13055's estate sought to prove the alleged assault by reference to the evidence of an eyewitness ("[XXX]"). The Adjudicator relied upon D-15417 and E-12325 for the proposition that the IAP Model disallows claims by deceased claimants in all but three circumstances: (i) where the deceased has previously provided its testimony at an IAP hearing; (ii) where the deceased has previously given reliable sworn testimony; or (iii) where there is some eyewitness testimony of the alleged assaults. The Adjudicator held that he had jurisdiction to hear Claimant H-13055's claim on the basis that her estate had an eyewitness to the alleged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[XXX]. The Adjudicator accepted [XXX]'s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Relying upon B-11431 for the proposition that [XXX] the Adjudicator found that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[XXX]. The estate sought to prove that [XXX] arose from [XXX] by way of hearsay evidence from Claimant H-13055's husband.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Adjudicator relied upon D-15417 and E-12325 for the proposition that harm, aggravating factors and loss of opportunity cannot be proved by hearsay evidence. He found that harm, aggravating factors and loss of opportunity require proof on a highly subjective basis: a plausible link between the harm, aggravating factors and loss of opportunity and the proven assault must be established, and establishing such a link necessarily requires hearing the subjective evidence of the claimant. Accordingly, the Adjudicator found that Claimant H-13055's estate was unable to establish any harm, aggravating factors or loss of opportunity. The Adjudicator awarded compensation of $10,000 in relation to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claimant's estate requested a review hearing. It alleged that the initial Adjudicator had misapplied the IAP Model by refusing to award compensation for harm, aggravating factors and loss of opportunity on the basis of the hearsay evidence submitted. In doing so, the claimant's estate submitted that the initial Adjudicator's sole reliance upon D-15417 and E-12325 constituted a too narrow interpretation of the IAP Model; under the IAP Model, it was submitted, the subjective evidence of the claimant is important but not essential evidence of harm, aggravating factors and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Review Adjudicator upheld the decision of the initial Adjudicator in its entirety. The Review Adjudicator agreed that D-15417 and E-12325 support the proposition that the initial Adjudicator has the jurisdiction to hear and compensate claims of assault brought by deceased claimants if there is eyewitness evidence. He agreed also that D-15417 and E-12325 support the proposition that harm, aggravating factors and loss of opportunity cannot be proved by way of hearsay evidence. He thus found that the initial Adjudicator had correctly applied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estate requested a re-review hearing on the same grounds as those upon which it requested the review hearing. The Re-Review Adjudicator upheld the decision of the initial Adjudicator in its entirety. The Re-Review Adjudicator relied upon J-14246 for the proposition that the claimant need not testify in person to claims of assault; he thus found that the initial Adjudicator does have jurisdiction to hear and compensate claims of assault brought by deceased claimants. In addressing harm, aggravating factors and loss of opportunity, the Re-Review Adjudicator held that page 7 of the IAP Model provides that the initial Adjudicator must assess the subjective impact of the alleged harm. The Re-Review Adjudicator held that it is not possible for the initial Adjudicator to perform this assessment without interviewing the claimant; he relied upon D-15417 and E-12325 for the proposition that harm, aggravating factors and loss of opportunity cannot be established in the absence of direct evidence from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 on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estate asks that the claim be sent back to the initial Adjudicator for reassessment, and that that reassessment take into account Claimant H-13055's medical records and the testimony of her husband in assessing the claim for harm, aggravating factors and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Claimant H-13055's estate submits that the IAP Model was misapplied by the initial Adjudicator, the Review Adjudicator and the Re-Review Adjudicator. The estate contends that the Adjudicators improperly considered themselves bound by D-15417, E-12325 and J-14246. Specifically, it submits that the Adjudicators cannot be bound by D-15417 because that would leave them unable to establish harm, aggravating factors and loss of opportunity on the basis of evidence other than subjective evidence from the claimant; this restrictive approach, the estate submits, is not provided by the IAP Model and therefore constitutes a misapplication of Schedule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Further, the estate submits that the Adjudicators' decisions regarding H-10355 demonstrate that their application of D-15417, E-12325 and J-14246 is unjust. The estate highlights that it provided evidence of harm, aggravating factors and loss of opportunity that is admissible under the IAP Model, that the initial Adjudicator found both credible and reliable, but which was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the estate argues that the Adjudicators' application of D-15417, E-12325 and J-14246 would lead to claimants in effect becoming their own expert witness as regards the subjective link between proven assaults and harm, aggravating factors and loss of opportunity. This, the estate contends, invites the claimant to give evidence that ought properly to be given by an expert, and risks the evidence that is given being unreliable, the implication being that claimants are not best placed to testify about the relevant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First, Canada contends that, under the IAP Model, adjudicators have no jurisdiction to hear claims from and grant compensation to claimants who are deceased before giving evidence. Rather, the IAP Model requires adjudicators to hear evidence from claimants in order to assess their credibility and reliability. As such, Canada submits that granting compensation to Claimant H-13055's estate in respect of the proven assault runs counter to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Second, Canada contends that allowing adjudicators to compensate harm, aggravating factors and loss of opportunity would constitute an impermissible amendment to the IRSSA. As such, it contends that all three Adjudicators in the case of H-10355 properly followed and applied D-15417, E-12325 and J-14246.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Canada's position is thus that the Adjudicators did not misapply the IAP Model, and that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test is therefore not met. Accordingly, Canada's position is that the RFD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AFN's position is that that all three Adjudicators simply relied upon D-15417, and that that reliance resulted in a palpable and overriding error, since the decision of one adjudicator cannot bind other adjudicators. The IRSSA expressly provides in Schedule "D"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Stare decisis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reasons will be issued in each case, the IAP will not operate on the basis of binding precedent. All adjudicators are of equal authority, and should not consider themselves bound by each other's previous decisions. Through conferencing, adjudicators may come to a common interpretation of certain procedural issues, but each case must be determined on its own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National Consortium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National Consortium argues that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threshold is met by the failure of any level of adjudicator to take into account the relevant and admissible evidence of the husband to establish a plausible link between the wrongful acts and the harm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RFD C-18694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C-18694 attended [XXX] IRS between 1955 and 1964. [XXX]. Further, C-18694 contends that this treatment caused him to leave the IRS after finishing Grade 9, and take a hiatus from education altogether, before completing his studies in later life. This, C-18694 claims, caused him to have a delayed entry into the workforce, which, in turn, caused him actual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Specifically, C-18694's claim has five parts: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[XXX];</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[XXX];</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[XXX];</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[XXX];</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[XXX]. The claimant alleges also that his delayed entry into his profession translates into actual income loss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Adjudicator accepted the first part of C-18694's claim, save that [XXX].The Adjudicator accepted the second part of C-18694's claim, but deemed it to be non-compensable because C-18694 had not had a medical assessment of the injury caused. The Adjudicator accepted the third part of C-18694's claim. The Adjudicator accepted the fourth part of C-18694's claim, and deemed the assault suffered to be compensable at level SL4. The Adjudicator accepted the fifth part of C-18694's claim, but deemed it to be non-compensable because C-18694 was not a student of the IRS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question of actual income loss, the Adjudicator found that C-18694 did not prove on the balance of probabilities that [XXX] caused him to have a delayed entry into the workforce. That delay, the Adjudicator found, was caused in any event by the following four factors: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cultural shock of moving from the IRS [XXX];</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cultural shock of experiencing racial discrimination in [XXX];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(iii)his treatment at the IRS;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"Aboriginal Students were generally streamed toward less academic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Accordingly, the Adjudicator concluded that Claimant C-18694 had not proven on the balance of probabilities that, but for the sexual abuse, he would not have had a delayed 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C-18694 sought a review of the Adjudicator's decision on four grounds. First, that the Adjudicator had misapplied the IAP Model in finding that the [XXX] is non-compensable. Second, that the Adjudicator made a palpable and overriding error in finding that [XXX]; C-18694 contended that the Adjudicator did not accept C-18694's initial responses to questions on this point, and asked leading questions of C-18694 until C-18694 gave responses that the Adjudicator deemed acceptable. Third, that by concluding that [XXX], the Adjudicator removed an important factor from the analysis of what caused C-18694's delayed entry into the workforce. Fourth, that in any event, the Adjudicator made a palpable and overriding error by misapplying the "but for" test on causation when assessing whether the sexual abuse suffered caused C-18694's actual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Canada contended that the Adjudicator's finding that C-18694 was not a student at an IRS when [XXX] was a reasonable finding on the evidence. In the alternative, Canada claimed that, if that assault were compensable, compensation for it would be subsumed within the SL4 compensation already awarded. Finally, Canada claimed that Adjudicator understood and correctly applied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Review Adjudicator upheld the Adjudicator's decision. First, the Review Adjudicator affirmed that the [XXX] is not compensable. The Review Adjudicator noted that proof of attendance at an IRS is established by Canada's production of the relevant documents, unless such documents are missing or incomplete. The Review Adjudicator found that, in the present case, Canada had produced complete documents demonstrating that C-18694 ceased to be a student of the IRS when he completed Grade 9, and was for that reason not a student of an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Second, the Review Adjudicator found that the Adjudicator had not asked leading questions of C-18694 in order to elicit more acceptable responses to questions. The Review Adjudicator found that the Adjudicator had given C-18694 ample opportunity to give his version of events. The Review Adjudicator found that the transcript of the initial hearing showed that the Adjudicator had asked open questions and had resorted to leading questions only in order to clarify C-18694's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Third, the Review Adjudicator found that the Adjudicator had understood the "but for" test and properly applied it to the evidence. The Review Adjudicator found that the Adjudicator's decision that [XXX] had not caused C-18694's delayed entry into the workforce was within the range of reasonable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C-18694 sought a re-review, but only of the decision that the sexual abuse suffered did not cause his delayed 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Re-Review Adjudicator found that the Adjudicator had correctly understood the "but for" test and had properly applied it to the facts. The Re-Review Adjudicator noted that C-18694 appeared to be asking him to reapply the "but for" test to the evidence and find different facts. The Re-Review Adjudicator stated that the Re-Review Adjudicator's role is to determine whether the Adjudicator properly applied the IAP Model, and not to r eassess evidence already assessed by the Adjudicator. Accordingly, the Re-Review Adjudicator affirmed the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 on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Claimant C-18694 seeks a declaration that, subject to the maximum $250,000 award, he is entitled to compensation for actual income loss that was proved on the balance of probabilities to have been caused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Claimant C-18694's principal submission that the Adjudicator failed properly to apply the test for causation as used by the civil courts. Claimant C-18694 notes that under Schedule D at Appendix IX (Instructions for Adjudicators), II. (Application of the Compensation Rules), Rule 5, actual income loss is to be determined using the same standards that a civil court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Claimant C-18694 contends that the relevant test in this case is: 'but for the sexual assault the claimant would not have suffered the psychological injury that caused him delayed entry into the workforce'. Claimant C-18694's position is that this test has been satisfied on the balance of probabilities, the other causes of the delay notwithstanding. The Requestor relies upon the discussion of causation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bookmarkStart w:id="269" w:name="Backward_fnref_fnr-29"/>
      <w:hyperlink w:anchor="Forward_fnref_fnr-29" w:history="1">
        <w:r>
          <w:rPr>
            <w:rFonts w:ascii="arial" w:eastAsia="arial" w:hAnsi="arial" w:cs="arial"/>
            <w:b/>
            <w:color w:val="BE161D"/>
            <w:sz w:val="20"/>
            <w:shd w:val="clear" w:color="auto" w:fill="FFFFFF"/>
            <w:vertAlign w:val="superscript"/>
            <w:lang w:val="en-US" w:eastAsia="en-US" w:bidi="ar-SA"/>
          </w:rPr>
          <w:t>29</w:t>
        </w:r>
      </w:hyperlink>
      <w:bookmarkEnd w:id="269"/>
      <w:r>
        <w:rPr>
          <w:rFonts w:ascii="arial" w:eastAsia="arial" w:hAnsi="arial" w:cs="arial"/>
          <w:color w:val="000000"/>
          <w:sz w:val="20"/>
          <w:lang w:val="en-US" w:eastAsia="en-US" w:bidi="ar-SA"/>
        </w:rPr>
        <w:t xml:space="preserve"> highlighting the following principles: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any injuries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claimant to show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injury;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will not be excused from liability because factors not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helped cause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Further, the Requestor relies upon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CanLII (at pages 329-333) for the proposition that factors that caused the claimant's harm in addition to the sexual abuse suffered are irrelevant to the liability of the perpetrator of that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Third, and in the alternative, Claimant C-18694 submits that the Adjudicator's decision was unreasonable on three grounds. First, denying compensation for actual loss of earnings on the basis of factors (i) - (iv) would result in compensation for actual loss of earnings never being paid, the implication being that any case involving a former IRS students claiming actual income loss [XXX] will be such that the cause of the delay can in part be attributed to factors (i) - (iv). Second, the Adjudicator's finding that the claimant would have suffered psychological harm and a delayed entry into the workforce in any event is supported by neither the facts nor the relevant test for causation [XXX]. Third, the Adjudicator misapplied the IAP Model in using his personal knowledge to support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Canada submits that Claimant C-18694 has failed to demonstrate that the Adjudicator failed properly to apply the IRSSA by supporting his conclusions on the question of causation with extra-curial knowledge. The Adjudicator's reliance on factors (i) - (iv) was based upon the facts as he found them, including the claimant's own testimony. Canada also highlights that the claimant agrees that factors (i) - (iv) did delay his 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Further, Canada's position is that the fact that a psychological report was not obtained by the Adjudicator is not an error under the IAP Model. Canada highlights that the claimant's counsel was aware that a psychological report would not be obtained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Canada contends also that Claimant C-18694 has failed to demonstrate that the Adjudicator improperly applied the applicable law on causation. Canada submits that the relevant "but for" test was applied and that the claimant failed to demonstrate to the satisfaction of that test that the actual income loss suffered was caused by the sexual abuse suffered at the 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Accordingly, Canada's position is that the claimant has failed to demonstrate that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threshold has been met. Canada contends that, in any event, the relief sought is not available, since the Supervising Courts have no jurisdiction to grant compensation under the IAP; the jurisdiction to grant compensation awards under the IAP is exclusive to adjudicators under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AFN'S position is that the Adjudicator failed properly to apply the IRSSA by using his personal understanding to support his conclusions. The AFN submits also that the Adjudicator failed properly to apply the applicable law on causation, insofar as he judged the question whether the sexual abuse suffered by the claimant caused his delayed entry into the workforce against factors (i) - (iv), above, and not against the applicable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National Consortium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National Consortium argues that this RFD meets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test because it raises the possibility that the Adjudicators failed to apply the proper test for causation and relied on extra-curial knowledge to make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RFD N-10762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Claimant N-10762 claimed that while resident at [XXX] IRS between 1952 and 1955,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history of the proceeding was summarized as follows in the re-review decision in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Claimant's hearing in November 2012 was expedited [XXX]. As school records did not confirm the Claimant's attendance at the school nor the employment there of the [XXX], the Adjudicator allowed an adjournment of the Claimant's hearing to permit him to produce other evidence to help him prove his residency and identify the alleged perpetrator. Subsequently, arrangements were made to receive testimony [XXX] in September 2013, by which time, sadly, the Claimant had passed away. When the Claimant's brother failed to attend to testify at the witness hearing the Adjudicator and the parties' travelled to the brother's reserve to take his testimony. However, ultimately the brother did not testify, as it appeared that he had no evidence to give that would advance the Claimant's claim. At that stage the matter was again adjourned to allow Claimant Counsel to search for yearbooks or other evidence to establish the Claimant's residency at the school. A teleconference was subsequently scheduled for final submissions on May 6, 2014. On May 2, 2014, Claimant Counsel gave notice that he would ask the Adjudicator to recuse himself because of bias. By agreement, submissions on the recusal application were heard at the time set for final submissions. In the course of his submissions Claimant Counsel contended that the Adjudicator had improperly resorted to leading questions and inappropriate language during his questioning of the Claimant, which raised at the very least a reasonable apprehension of bias on his part. Following those submissions the Adjudicator declined to recuse himself. Final submissions were heard in September 2014. In November 2014 the Adjudicator issued his decision setting out his reasons for rejecting the recusal application and also for denying the claim for compensation due to his concerns about the Claimant's credibility and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Adjudicator dismissed the claimant's claim and awarded no compensation. The Adjudicator found that the claimant had failed to prove, on a balance of probabilities, that he was sexually abused by an adult employee or a fellow resident at the residential school [XXX]. In particular, the Adjudicator found that the claimant's evidence was not credible 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reasons, the Adjudicator also addressed the request made by counsel for the claimant that the Adjudicator recuse himself, on the ground that he had unfairly subjected the claimant to excessive and improper cross-examination, leading questions, and offensive language during the course of the hearing, which was indicative of pre-judgment on the part of the Adjudicator. The Adjudicator declined to recuse himself. He considered the test for reasonable apprehension of bias and found that it had not been met. In particular, he underlined the inquisitorial nature of the IAP process gave the Adjudicator a responsibility to probe the evidence of the claimant, and did not accept that his questions were badgering. He also found that counsel had misconstrued one of his questions as offensive, because the transcript of the relevant exchange was inaccurate. Specifically, counsel suggested that when the Adjudicator said to the claimant, "Did you say you found God?", he was mocking the claimant. However, upon listening to the recording of the audio of the hearing, the Adjudicator confirmed that in asking the question, he was simply seeking to clarify the claimant's answer to the previous question. Finally, the Adjudicator found that the allegation of bias had been waived because it was raised late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claimant</w:t>
      </w:r>
      <w:bookmarkStart w:id="270" w:name="Backward_fnref_fnr-30"/>
      <w:hyperlink w:anchor="Forward_fnref_fnr-30" w:history="1">
        <w:r>
          <w:rPr>
            <w:rFonts w:ascii="arial" w:eastAsia="arial" w:hAnsi="arial" w:cs="arial"/>
            <w:b/>
            <w:color w:val="BE161D"/>
            <w:sz w:val="20"/>
            <w:shd w:val="clear" w:color="auto" w:fill="FFFFFF"/>
            <w:vertAlign w:val="superscript"/>
            <w:lang w:val="en-US" w:eastAsia="en-US" w:bidi="ar-SA"/>
          </w:rPr>
          <w:t>30</w:t>
        </w:r>
      </w:hyperlink>
      <w:bookmarkEnd w:id="270"/>
      <w:r>
        <w:rPr>
          <w:rFonts w:ascii="arial" w:eastAsia="arial" w:hAnsi="arial" w:cs="arial"/>
          <w:color w:val="000000"/>
          <w:sz w:val="20"/>
          <w:lang w:val="en-US" w:eastAsia="en-US" w:bidi="ar-SA"/>
        </w:rPr>
        <w:t xml:space="preserve"> requested a review on the basis that the Adjudicator committed a palpable and overriding error, and that the Adjudicator misapplied the IAP Model. The claimant also asked that the decision be set aside in light of the "bias conduct" of the Adjudicator. The claimant's position was that the questioning of the claimant by the Adjudicator was improper, and that the Adjudicator failed to adequately question the claimant in the area of opportunity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Review Adjudicator affirmed the Adjudicator's decision. The Review Adjudicator concluded that there was no bias, "actual or reasonably perceived"; the conduct of the hearing and the questioning of the claimant did not amount to a misapplication of the IAP model; and no palpable and overriding error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Review Adjudicator noted that the claimant did not in his submissions suggest what the palpable and overriding error of the Adjudicator was. The Review Adjudicator discerned that the claimant was challenging the Adjudicator's findings on credibility. The Review Adjudicator found no palpable and overriding error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On the question of bias, the Review Adjudicator held that the objective test for impartiality on the part of decision-makers, as set out in </w:t>
      </w:r>
      <w:r>
        <w:rPr>
          <w:rFonts w:ascii="arial" w:eastAsia="arial" w:hAnsi="arial" w:cs="arial"/>
          <w:i/>
          <w:color w:val="000000"/>
          <w:sz w:val="20"/>
          <w:lang w:val="en-US" w:eastAsia="en-US" w:bidi="ar-SA"/>
        </w:rPr>
        <w:t>Committee for Justice and Liberty et al. v. National Energy Board et al.</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should apply to adjudicators in the context of the IAP. The Review Adjudicator concluded that an informed person looking realistically and practically at the transcript of the proceeding and the history of the Adjudicator's conduct of the case, would conclude that the Adjudicator acted impartially and without bias. She noted that the Adjudicator had made every effort to give an ailing claimant the best possible opportunity to prove his claim. The Review Adjudicator also noted that no suspicion of bias arose at the hearing itself, and it was only many months later, when counsel read the transcript of the hearing, that the issue of bias occurred to him. The Review Adjudicator concluded that the claimant's counsel, having been satisfied with the conduct of the hearing at the time, formed an impression of the Adjudicator's conduct from the transcript many months later, that was not based in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Regarding the Adjudicator's questioning of the claimant, the Review Adjudicator concluded that the questions impugned by the claimant as indicative of an inclination to disbelieve the claimant were no more that the testing of a claimant's evidence that is required of an adjudicator. Although the Adjudicator asked many leading questions, this is not only permitted, but is often necessary when a claimant is having difficulty testifying, or, as in this case, where the claimant's health requires a shortened hearing. The Review Adjudicator found that there was no evidence the Adjudicator was trying to manipulate the claimant's testimony to his detriment; to the contrary, the Adjudicator often used his questions to assist the claimant, giving him the benefit of the doubt and an opportunity to clarify his answers. The Review Adjudicator agreed that claimant counsel's concern about the Adjudicator's "God" question (which was not raised until a year and a half after the exchange) was a misunderstanding rooted in an error in transcription.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the Review Adjudicator felt that some of the "common street language" the Adjudicator used was not appropriate unless it were being used to match the language used by the claimant, the Review Adjudicator concluded that since the question was not raised until a year and a half later, neither the claimant nor his counsel took offence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Regarding the Adjudicator's alleged failure to fully canvass the issue of opportunity loss with the claimant, the Review Adjudicator concluded that the Adjudicator asked questions that were appropriate to the claim being advanced, having regard to the conditions of the hearing, and in particular the claimant's fragile health. The Review Adjudicator also noted that if there was particular evidence that the claimant could have offered with respect to opportunity loss, claimant's counsel was in a position to raise it at the time. In any event, as there was no finding of compensable loss, any dearth of evidence as to opportunity loss made no difference to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claimant requested a re-review, on the grounds that the Review Adjudicator failed to fully address the issues raised on review. The claimant argued that: (1) the Review Adjudicator improper relied on a "waiver" defence to dismiss the allegations of bias; (2) where it is alleged that a claimant did not receive a fair hearing, it is incumbent on the reviewing adjudicator to obtain and listen to the audio recording of the hearing, rather than rely on a transcript, whereas here the Review Adjudicator accepted the Adjudicator's own account of his actions and accepted that there must have been a transcription error; and (3) the Review Adjudicator improperly accepted Canada's position about the claimant's non-verbal responses to questions and pauses in testimony, and Canada's position that the Adjudicator was respectful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dismissing the application for re-review, the Re-Review Adjudicator noted that a second review is only available on a misapplication of the IAP Model by the Review Adjudicator, and that the Re-Review Adjudicator's responsibility was restricted to determining whether that had occurred, and if so, to correct the Review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Regarding waiver, the Re-Review Adjudicator concluded that the analysis of the Review Adjudicator was in accordance with settled law. The Re-Review Adjudicator rejected the claimant's submission that this was a case where the issue of bias was comingled with more generalized problems of procedural fairness. He found that the Review Adjudicator had correctly determined that the Adjudicator had provided the claimant with a hearing that was procedurally fair and afforded him the best possible opportunity to prove his claim. He found that the Review Adjudicator did not misapply the IAP Model to the facts found by the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Re-Review Adjudicator addressed the argument that the Review Adjudicator ought to have obtained and listened to the audio recording, in assessing the Adjudicator's reasoning on the "God" question. While the Re-Review Adjudicator was of the view that it would have been preferable for the Review Adjudicator to have also listened to the audio, he held that nothing significant turned on the fact that she had not. The Re-Review Adjudicator listened to the audio, and found it supported the Adjudicator's rather than claimant counsel's account of what occurred. Specifically, the Review Adjudicator had been correct to conclude that the Adjudicator, believing he may have heard the claimant say he "found God", had simply checked with the claimant to establish whether he had properly understood, at which point the claimant corrected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Regarding the allegation that the Review Adjudicator improperly accepted Canada's submissions, the Re-Review Adjudicator noted that the claimant's concern went to the manner in which the Review Adjudicator assessed the evidence, and failed to identify how the Review Adjudicator may have misapplied the IAP Model. In any event, the Re-Review Adjudicator held that the record did not support the suggestion that the Review Adjudicator simply accepted Canada's submission that the Adjudicator was respectful to the claimant, without considering the issue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 on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his RFD, the claimant seeks the following relief:</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claimant is entitled to compensation [XXX] at the SL5 level, for consequential harm at the H3 level, and for loss of opportunity at level OL2;</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directing a different adjudicator to assess the claimant's claim based on the transcripts and record in according with the above-mentioned declaration in order to assess the remaining issues, including loss of opportunity and aggravating factors;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full indemnity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Claimant's position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Jurisdiction</w:t>
      </w:r>
      <w:r>
        <w:rPr>
          <w:rFonts w:ascii="arial" w:eastAsia="arial" w:hAnsi="arial" w:cs="arial"/>
          <w:color w:val="000000"/>
          <w:sz w:val="20"/>
          <w:lang w:val="en-US" w:eastAsia="en-US" w:bidi="ar-SA"/>
        </w:rPr>
        <w:t>: The court can exercise supervisory jurisdiction on an RFD to ensure that claimants obtain the intended benefits of the IRSSA and to ensure that the integrity of the implementation and administration of the agreement and related processes are maintained, and to remedy any deficiencies in the administration of the IAP. The court may also exercise jurisdiction to examine the Chief Adjudicator's decision for compliance with the rules of natural justice, and under this rubric can address questions regarding reasonable apprehension of bias on the part of the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Here, the court should exercise its jurisdiction because: the claimant was vulnerable due to his age and health, and the fact that his application was filled and submitted by a form-filler working for Blott; and given the number of IAP claims still pending, there is a strong likelihood that the issues raised in this RFD will reoccur, and it is in the public interest for the RFD to be determined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Standard of review</w:t>
      </w:r>
      <w:r>
        <w:rPr>
          <w:rFonts w:ascii="arial" w:eastAsia="arial" w:hAnsi="arial" w:cs="arial"/>
          <w:color w:val="000000"/>
          <w:sz w:val="20"/>
          <w:lang w:val="en-US" w:eastAsia="en-US" w:bidi="ar-SA"/>
        </w:rPr>
        <w:t>: The appropriate standard of review for the issue of whether there is a reasonable apprehension of bias on the part of the adjudicator and matters of procedural fairness is that of correctness. For all other issues, it is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Reasonable apprehension of bias</w:t>
      </w:r>
      <w:r>
        <w:rPr>
          <w:rFonts w:ascii="arial" w:eastAsia="arial" w:hAnsi="arial" w:cs="arial"/>
          <w:color w:val="000000"/>
          <w:sz w:val="20"/>
          <w:lang w:val="en-US" w:eastAsia="en-US" w:bidi="ar-SA"/>
        </w:rPr>
        <w:t xml:space="preserve">: Impartial adjudication is crucial to the IAP. The appropriate test for finding a reasonable apprehension of bias is that set out by de Grandpré J. in </w:t>
      </w:r>
      <w:r>
        <w:rPr>
          <w:rFonts w:ascii="arial" w:eastAsia="arial" w:hAnsi="arial" w:cs="arial"/>
          <w:i/>
          <w:color w:val="000000"/>
          <w:sz w:val="20"/>
          <w:lang w:val="en-US" w:eastAsia="en-US" w:bidi="ar-SA"/>
        </w:rPr>
        <w:t>Committee for Justice and Liberty</w:t>
      </w:r>
      <w:r>
        <w:rPr>
          <w:rFonts w:ascii="arial" w:eastAsia="arial" w:hAnsi="arial" w:cs="arial"/>
          <w:color w:val="000000"/>
          <w:sz w:val="20"/>
          <w:lang w:val="en-US" w:eastAsia="en-US" w:bidi="ar-SA"/>
        </w:rPr>
        <w:t>. It is an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this case, the Adjudicator's conduct raised a reasonable apprehension of bias. He engaged in a prosecution-style cross-examination of the claimant in a manner that suggested he believed the claimant's claim was fabricated, and was intent on confirming his pre-determined perception of the case. This cross-examination started very early in the hearing and amounts to "badgering" of the claimant. In effect, the Adjudicator's questions suggest that he was simply never satisfied no matter how much or how well the claimant tried to respond to questions on his recollection of the sexual assaults. Other questions indicate the Adjudicator was attempting to get the claimant to change his story to match with the Adjudicator's pre-determined view. Others were filled with inappropriate innuendo, insensitive, disrespectful, sarcastic and without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Adjudicator's approach was inconsistent with the IAP Model, which makes it clear that leading questions are only permitted to "draw out the full story from the witness", and the "test the evidence that is given". Here, the claimant was given little or no chance to explain what happened to him. The unwarranted prosecution-style question of the claimant was not justified by the IAP provisions on leading questions 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his ruling on the recusal motion, the Adjudicator improperly invoked the principle of waiver, and the Review Adjudicator and Re-Review Adjudicator also erred in this regard. The application for recusal was made before final submission and decision, and there was therefore no issue of delay in bringing the application in order to obtain a "tactical" advantage. The objective test for reasonable apprehension of bias, which requires that the observer have though the matter through, contemplates that some time will be necessary to "think the matter through." Finally, a plea of waiver can have no application in cases, like this one, where the bias allegation is tied to what is said or done during the decision-making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Review Adjudicator failed to enforce the IAP Model</w:t>
      </w:r>
      <w:r>
        <w:rPr>
          <w:rFonts w:ascii="arial" w:eastAsia="arial" w:hAnsi="arial" w:cs="arial"/>
          <w:color w:val="000000"/>
          <w:sz w:val="20"/>
          <w:lang w:val="en-US" w:eastAsia="en-US" w:bidi="ar-SA"/>
        </w:rPr>
        <w:t>: The Review Adjudicator abdicated her role under the IAP in failing to consider the cumulative effect of all the questions and comments that gave rise to the reasonable apprehension of bias, and instead, only focussed on the "God"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Re-Review Adjudicator failed to decide whether the Adjudicator misapplied the IAP Model</w:t>
      </w:r>
      <w:r>
        <w:rPr>
          <w:rFonts w:ascii="arial" w:eastAsia="arial" w:hAnsi="arial" w:cs="arial"/>
          <w:color w:val="000000"/>
          <w:sz w:val="20"/>
          <w:lang w:val="en-US" w:eastAsia="en-US" w:bidi="ar-SA"/>
        </w:rPr>
        <w:t xml:space="preserve">: The Re-Review Adjudicator held that his responsibility was restricted to deciding whether the Review Adjudicator misapplied the IAP Model to the facts found by the Adjudicator. This was an error, and contrary to the direction of Justice Perell in </w:t>
      </w:r>
      <w:r>
        <w:rPr>
          <w:rFonts w:ascii="arial" w:eastAsia="arial" w:hAnsi="arial" w:cs="arial"/>
          <w:i/>
          <w:color w:val="000000"/>
          <w:sz w:val="20"/>
          <w:lang w:val="en-US" w:eastAsia="en-US" w:bidi="ar-SA"/>
        </w:rPr>
        <w:t>Fontaine v Canada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2016 ONSC 4326</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[2016] 4 CNLR 40</w:t>
      </w:r>
      <w:r>
        <w:rPr>
          <w:rFonts w:ascii="arial" w:eastAsia="arial" w:hAnsi="arial" w:cs="arial"/>
          <w:color w:val="000000"/>
          <w:sz w:val="20"/>
          <w:lang w:val="en-US" w:eastAsia="en-US" w:bidi="ar-SA"/>
        </w:rPr>
        <w:t xml:space="preserve">] at paras. 63-66, which held that the re-review adjudicator must ask whether </w:t>
      </w:r>
      <w:r>
        <w:rPr>
          <w:rFonts w:ascii="arial" w:eastAsia="arial" w:hAnsi="arial" w:cs="arial"/>
          <w:b/>
          <w:i/>
          <w:color w:val="000000"/>
          <w:sz w:val="20"/>
          <w:lang w:val="en-US" w:eastAsia="en-US" w:bidi="ar-SA"/>
        </w:rPr>
        <w:t>either or both</w:t>
      </w:r>
      <w:r>
        <w:rPr>
          <w:rFonts w:ascii="arial" w:eastAsia="arial" w:hAnsi="arial" w:cs="arial"/>
          <w:color w:val="000000"/>
          <w:sz w:val="20"/>
          <w:lang w:val="en-US" w:eastAsia="en-US" w:bidi="ar-SA"/>
        </w:rPr>
        <w:t xml:space="preserve"> of the adjudicator and reviewer failed to apply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Like the Review Adjudicator, the Re-Review Adjudicator abdicated his role under the IAP in failing to consider the cumulative effect of all the questions and comments that gave rise to the reasonable apprehension of bias, and instead, only focussed on the "God"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Jurisdiction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applies, and the claimant must show extraordinary circumstances before one of the Supervising Courts can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Reasonable apprehension of bias not extraordinary circumstance</w:t>
      </w:r>
      <w:r>
        <w:rPr>
          <w:rFonts w:ascii="arial" w:eastAsia="arial" w:hAnsi="arial" w:cs="arial"/>
          <w:color w:val="000000"/>
          <w:sz w:val="20"/>
          <w:lang w:val="en-US" w:eastAsia="en-US" w:bidi="ar-SA"/>
        </w:rPr>
        <w:t xml:space="preserve">: The allegations of bias as framed by the claimant do not meet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threshold. In any event, other supervisory judges have confirmed that judicial recourse is not available for allegations of bias in the IAP: see Winkler CJO in </w:t>
      </w:r>
      <w:r>
        <w:rPr>
          <w:rFonts w:ascii="arial" w:eastAsia="arial" w:hAnsi="arial" w:cs="arial"/>
          <w:i/>
          <w:color w:val="000000"/>
          <w:sz w:val="20"/>
          <w:lang w:val="en-US" w:eastAsia="en-US" w:bidi="ar-SA"/>
        </w:rPr>
        <w:t>Fontaine v Canada (AG)</w:t>
      </w:r>
      <w:r>
        <w:rPr>
          <w:rFonts w:ascii="arial" w:eastAsia="arial" w:hAnsi="arial" w:cs="arial"/>
          <w:color w:val="000000"/>
          <w:sz w:val="20"/>
          <w:lang w:val="en-US" w:eastAsia="en-US" w:bidi="ar-SA"/>
        </w:rPr>
        <w:t xml:space="preserve"> (September 26, 2011) (ONSC) 00-CV-192059CP (Direction), in which he held that once the Chief Adjudicator has rendered his or her review decision, the provisions for review within the Settlement Agreement are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There are no other extraordinary circumstances</w:t>
      </w:r>
      <w:r>
        <w:rPr>
          <w:rFonts w:ascii="arial" w:eastAsia="arial" w:hAnsi="arial" w:cs="arial"/>
          <w:color w:val="000000"/>
          <w:sz w:val="20"/>
          <w:lang w:val="en-US" w:eastAsia="en-US" w:bidi="ar-SA"/>
        </w:rPr>
        <w:t>: The review and re-review decisions thoroughly address the same allegations that the claimant now makes in the RFD. The claimant has failed to discharge the onus of proving a patent failure by the Chief Adjudicator to apply the terms of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Reasonable apprehension of bias</w:t>
      </w:r>
      <w:r>
        <w:rPr>
          <w:rFonts w:ascii="arial" w:eastAsia="arial" w:hAnsi="arial" w:cs="arial"/>
          <w:color w:val="000000"/>
          <w:sz w:val="20"/>
          <w:lang w:val="en-US" w:eastAsia="en-US" w:bidi="ar-SA"/>
        </w:rPr>
        <w:t>: A claim of reasonable apprehension of bias must be assessed under an objective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Independent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Jurisdiction</w:t>
      </w:r>
      <w:r>
        <w:rPr>
          <w:rFonts w:ascii="arial" w:eastAsia="arial" w:hAnsi="arial" w:cs="arial"/>
          <w:color w:val="000000"/>
          <w:sz w:val="20"/>
          <w:lang w:val="en-US" w:eastAsia="en-US" w:bidi="ar-SA"/>
        </w:rPr>
        <w:t>: Independent Counsel echoes the submission of the claimant as to the Courts' supervisory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Reasonable apprehension of bias</w:t>
      </w:r>
      <w:r>
        <w:rPr>
          <w:rFonts w:ascii="arial" w:eastAsia="arial" w:hAnsi="arial" w:cs="arial"/>
          <w:color w:val="000000"/>
          <w:sz w:val="20"/>
          <w:lang w:val="en-US" w:eastAsia="en-US" w:bidi="ar-SA"/>
        </w:rPr>
        <w:t>: Reasonable apprehension of bias must be assessed on an objective standard. A claim of apprehension of bias must be addressed on its merits when it is raised prior to final submission based on the Adjudicator's conduct prior to final submissions. In considering such a claim, it is incumbent on adjudicators and reviewers to consider the long-term objectives of the IRSSA as set out in the Preamble, and in particular, whether the adjudicator's rejection of such a submission contributes to a "listing resolution of the legacy of the Indian Residential Schools" or "promot[es] healing. truth and reconciliation". In the Independent Counsel's submission, rejection of the submission does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Independent Counsel supports the claimant's position that he has established a reasonable apprehension of bias on an objective standard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RFD R-11791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Claimant R-11791 [XXX] was resident at [XXX] IRS between 1978 and 1988. [XXX]. She claimed compensation for abuse at the SL2 level, harm at Level 3, and loss of opportunity at Level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[XXX] was the subject of what is termed a "POI Report". POI Reports were prepared by Canada and updated as further information became available.</w:t>
      </w:r>
      <w:bookmarkStart w:id="271" w:name="Backward_fnref_fnr-31"/>
      <w:hyperlink w:anchor="Forward_fnref_fnr-31" w:history="1">
        <w:r>
          <w:rPr>
            <w:rFonts w:ascii="arial" w:eastAsia="arial" w:hAnsi="arial" w:cs="arial"/>
            <w:b/>
            <w:color w:val="BE161D"/>
            <w:sz w:val="20"/>
            <w:shd w:val="clear" w:color="auto" w:fill="FFFFFF"/>
            <w:vertAlign w:val="superscript"/>
            <w:lang w:val="en-US" w:eastAsia="en-US" w:bidi="ar-SA"/>
          </w:rPr>
          <w:t>31</w:t>
        </w:r>
      </w:hyperlink>
      <w:bookmarkEnd w:id="271"/>
      <w:r>
        <w:rPr>
          <w:rFonts w:ascii="arial" w:eastAsia="arial" w:hAnsi="arial" w:cs="arial"/>
          <w:color w:val="000000"/>
          <w:sz w:val="20"/>
          <w:lang w:val="en-US" w:eastAsia="en-US" w:bidi="ar-SA"/>
        </w:rPr>
        <w:t xml:space="preserve"> An updated POI Report was prepared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original Adjudicator dismissed the claim and awarded no compensation. The Adjudicator found that the claimant had failed to prove, on a balance of probabilities, that [XXX]. In particular, the Adjudicator found that the claimant's evidence was not credible or reliable. The Adjudicator noted that there were inconsistencies between the application and the oral evidence, the claimant did not correctly identify her alleged perpetrator, and if the claimant's version of events were true, it would have meant that she put herself in harm's way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identity of [XXX] and the overlap of [XXX] employment with the claimant's attendance at the school was one of the issues at the hearing. The Adjudicator concluded that the [XXX] described by the claimant, while a known person, was not working at the school during the period by the claimant. The Adjudicator first noted that despite the claimant's recollection that she was six years old when she went to residential school (which was in 1978), available records showed she was admitted there on August 31, 1980. The Adjudicator's evaluation of the evidence regarding the perpetrator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claimant] did not name [XXX] during her initial testimony, it was known that there was a [XXX] whose name was "X" who used to work at the Residence, [XXX] who has been named as a sexual predator by others. At one point in the hearing [the claimant] was provided with the name of two employees who worked as [XXX]. She said she recognized the name of "X" and also testified that she can recall hearing some of the teachers using his first name when they spoke about him. She said he was the man [XXX].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employment report for "X" shows that he worked there on dates from 1975 to 1977 so he had ceased working there at least three years before the claimant arrived in August, 1980.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also addressed the outcome of the research carried out by Canada with respect to the [XXX]. He cautioned that although [the claimant] confirmed that she recognized the name of "X" and confirmed that he was her abuser, that she did not say that she was absolutely certain that it was this man [XXX]. I do note, however, that after hearing the name, "X" from me, she testified that she has a specific memory of teachers referring to [XXX] using the first name of the employee named "X." This was spontaneous information that came without any prompting from me and without any hesitation on her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despite her testimony and as already documented, the staffing records make it clear that "X" was not [XXX] when [the claimant] was a student there. I have given careful consideration to Mr. Racine's submission that there is not enough evidence before me to find that she was positive that the name of her abuser was "X" as [XXX].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and weighing this submission, I have listened to the audiotape of her testimony several times and reviewed the transcript. I do not accept his characterization of her testimony on identity, especially since she is certain that there was [XXX] and her estimate of the age of the man who abused her accords with the age range of "X.'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she eventually acknowledged a memory of the name of the [XXX] "X," [XXX] it was established that he only worked at [XXX] from April 1975 to March 1976 and from September 1976 to March 31, 1977. Since the claimant was not admitted there as a student and resident until August 31, 1980 there was no overlap between their tenure so it is virtually certain that she was not abused by "X."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could theorize, as submitted by Mr. Racine, that the name she confirmed for the POI was not correct and so the POI research should not be considered a factor in assessing the credibility and reliability of her allegations. It would be more than passing strange that a man who is known to be of the age range and description given by the claimant [XXX], would replace "X" and work as [XXX] after her arrival in the August 1980 and to at least her departure date in the fall of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claimant requested a review on the basis that in assessing the claimant's credibility and reliability, the Adjudicator committed a palpable and overriding error by overstating the inconsistencies, in relying excessively on Canada's research (which was not established at complete and accurate), and in her treatment of the claimant's evidence as to what the Initial Adjudicator characterized as the claimant putting herself in harm's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Review Adjudicator noted that her task was not to review the Adjudicator's decision on a standard of correctness and recognized that deference was owed to the Adjudicator's findings, unless the Review Adjudicator found that Adjudicator misapplied the Model or that her decision contained a palpable and overriding error. The Review Adjudicator did not consider that the Adjudicator's decision contained an error that was clear and plain, or an error that was sufficient to vitiate the challenged findings of fact. In particular, the Review Adjudicator noted that: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Adjudicator's decision identified at least two examples of inconsistent evidence;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Adjudicator was faced with conflicting evidence as to the overlap between the claimant's attendance and the perpetrator's employment [XXX]. Moreover, the Adjudicator's decision to place greater weight on Canada's research than on the claimant's testimony was entitled to deference;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Adjudicator's reasoning path as to why there was no overlap between the person of interest's employment at the school and the claimant's residence was less than clear, her finding fell within a reasonable range of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Review Adjudicator observed that the Adjudicator's comments about the claimant putting herself in harm's way did not form part of the Adjudicator's conclusion on credibility and reliability. The Review Adjudicator agreed that it was not clear what the Adjudicator's concern was with the claimant's evidence as to why she continued to go the washroom alone. If the Adjudicator had intended to suggest that the claimant was a willing participant, the Review Adjudicator disagreed with that conclusion. However, the Review Adjudicator held that while the Adjudicator's comments were not entirely clear, they did not establish a basis to interfere with the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Claimant R-11791 requested a re-review, asserting misapplication of the IAP Model. In particular, the claimant argued that the Review Adjudicator was wrong to hold that the Adjudicator's conclusion on credibility and reliability was reasonable, given that the Review Adjudicator found the reasoning path to be less than clear on two occasions; was wrong in concluding that the comments about the claimant putting herself in "harm's way" did not form part of the Adjudicator's conclusion to dismiss; and did not properly address the Adjudicator's conclusions on the inconsistencies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After filing the request, the claimant asked that updated POI research on [XXX], obtained in another file, be considered by the Re-Review Adjudicator. The claimant submitted that the updated research contained information that the janitor was employed [XXX] until 1985, and not 1977 as stated in the original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Re-Review Adjudicator dismissed the request for re-review. He noted that complete deference was owed to the Adjudicator's findings of fact, and that his role was to determine whether the rules and principles found in the IAP Model had been correctly applied to those findings of fact. The Re-Review Adjudicator noted that as long as there was some evidence on which the Adjudicator reasonably based her findings as to credibility and reliability, a deferential approach must be taken. The Re-Review Adjudicator found that the Review Adjudicator provided a clear and reasoned analysis to explain why she deferred to the Initial Adjudicator's findings. On the question of inconsistencies in the claimant's testimony, the Re-Review Adjudicator found that the Review Adjudicator had correctly deferred to the Adjudicator's findings, and noted that there is no place on a second review for a re-examination of the facts or a further analysis of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the handling of the claimant's explanation of why she put herself in "harm's way", the Re-Review Adjudicator disagreed with the Review Adjudicator's view that this evidence was not relevant to the claimant's credibility. The Re-Review Adjudicator found that it "did not make logical sense for the claimant to allege unwanted touching yet return to the bathroom only to be assaulted again". For this reason, the Re-Review Adjudicator agreed with the Review Adjudicator, for different reasons, that the application of the "harm's way" evidence did not form the basis of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Finally, the Re-Review Adjudicator addressed the updated evidence as to when the POI worked at the school. This evidence was not before the Re-Review Adjudicator, but he held that, in any event, the IAP Model did not permit him to consider it. Although he acknowledged that the evidence "would have had a very significant impact on the Adjudicator's reasoning if it was available to her at the time when the hearing was heard in October of 2011", there was no procedural misstep or denial of natural justice during the hearing process. The Re-Review Adjudicator was troubled by the possibility that historical records now revealed the opposite of what the Adjudicator was provided, but held that the correct avenue for the claimant was to make an application for direction to the Supervising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 on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her RFD, the claimant seeks the following relief:</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claimant is entitled to compensation [XXX] at the SL2 level, for consequential harm at the H3 level, for aggravating factors at 8% and for loss of opportunity at level OL4;</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directing a different adjudicator to assess the claimant's claim in accordance with the court's directions;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full indemnity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claimant's position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Jurisdiction</w:t>
      </w:r>
      <w:r>
        <w:rPr>
          <w:rFonts w:ascii="arial" w:eastAsia="arial" w:hAnsi="arial" w:cs="arial"/>
          <w:color w:val="000000"/>
          <w:sz w:val="20"/>
          <w:lang w:val="en-US" w:eastAsia="en-US" w:bidi="ar-SA"/>
        </w:rPr>
        <w:t xml:space="preserve">: The court has four sources of jurisdiction over the performance of the IRSSA including the IAP, as see out in </w:t>
      </w:r>
      <w:r>
        <w:rPr>
          <w:rFonts w:ascii="arial" w:eastAsia="arial" w:hAnsi="arial" w:cs="arial"/>
          <w:i/>
          <w:color w:val="000000"/>
          <w:sz w:val="20"/>
          <w:lang w:val="en-US" w:eastAsia="en-US" w:bidi="ar-SA"/>
        </w:rPr>
        <w:t>Fontaine v Canada (AG)</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2016 ONSC 4326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[2016] 4 CNLR 40</w:t>
      </w:r>
      <w:r>
        <w:rPr>
          <w:rFonts w:ascii="arial" w:eastAsia="arial" w:hAnsi="arial" w:cs="arial"/>
          <w:color w:val="000000"/>
          <w:sz w:val="20"/>
          <w:lang w:val="en-US" w:eastAsia="en-US" w:bidi="ar-SA"/>
        </w:rPr>
        <w:t>] at para?34. The Courts can exercise supervisory jurisdiction on an RFD to ensure that claimants obtain the intended benefits of the IRSSA and to ensure that the integrity of the implementation and administration of the agreement and related processes are maintained, and to remedy any deficiencies in the administration of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Here, the court should exercise its jurisdiction because: the case involves Canada's failure to fulfill its obligations to provide accurate POI reports, leading to a gross miscarriage of justice; the claimant was vulnerable because she had no control over how and when Canada fulfills its obligation to release documents; and given the number of IAP claims still pending, there is a strong likelihood that the issues raised in this RFD will reoccur, and it is in the public interest for the RFD to be determined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Standard of review</w:t>
      </w:r>
      <w:r>
        <w:rPr>
          <w:rFonts w:ascii="arial" w:eastAsia="arial" w:hAnsi="arial" w:cs="arial"/>
          <w:color w:val="000000"/>
          <w:sz w:val="20"/>
          <w:lang w:val="en-US" w:eastAsia="en-US" w:bidi="ar-SA"/>
        </w:rPr>
        <w:t>: The appropriate standard of review is reasonableness. The Re-Review Adjudicator's conclusion that the updated POI report may very well have resulted in a decision in favour of the claimant, and that he had no jurisdiction to make use of the updated information, are findings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Adjudicator's findings on an inaccurate POI report constitute a palpable and overriding error</w:t>
      </w:r>
      <w:r>
        <w:rPr>
          <w:rFonts w:ascii="arial" w:eastAsia="arial" w:hAnsi="arial" w:cs="arial"/>
          <w:color w:val="000000"/>
          <w:sz w:val="20"/>
          <w:lang w:val="en-US" w:eastAsia="en-US" w:bidi="ar-SA"/>
        </w:rPr>
        <w:t>: Although the Adjudicator made reference to some other inconsistencies, it was her reliance on Canada's research as to the time of the POI's employment that was the main reason for her decision to disbelieve the claimant. As the Re-Review Adjudicator observed, the updated information would have had a significant impact on the Adjudicator's decision. The decision therefore contains a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Review Adjudicator erred by applying judicial review criteria instead of the IAP test</w:t>
      </w:r>
      <w:r>
        <w:rPr>
          <w:rFonts w:ascii="arial" w:eastAsia="arial" w:hAnsi="arial" w:cs="arial"/>
          <w:color w:val="000000"/>
          <w:sz w:val="20"/>
          <w:lang w:val="en-US" w:eastAsia="en-US" w:bidi="ar-SA"/>
        </w:rPr>
        <w:t xml:space="preserve">: The Review Adjudicator applied a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standard of review by speaking in terms of a "reasonable range of outcomes", which is not the appropriate approach under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Re-Review Adjudicator failed to decide whether the Adjudicator misapplied the IAP Model</w:t>
      </w:r>
      <w:r>
        <w:rPr>
          <w:rFonts w:ascii="arial" w:eastAsia="arial" w:hAnsi="arial" w:cs="arial"/>
          <w:color w:val="000000"/>
          <w:sz w:val="20"/>
          <w:lang w:val="en-US" w:eastAsia="en-US" w:bidi="ar-SA"/>
        </w:rPr>
        <w:t xml:space="preserve">: The Re-Review Adjudicator's decision focused only on the Review Adjudicator's decision, and not on whether the Adjudicator properly applied the IAP Model. This was an error, and contrary to the direction of Justice Perell in </w:t>
      </w:r>
      <w:r>
        <w:rPr>
          <w:rFonts w:ascii="arial" w:eastAsia="arial" w:hAnsi="arial" w:cs="arial"/>
          <w:i/>
          <w:color w:val="000000"/>
          <w:sz w:val="20"/>
          <w:lang w:val="en-US" w:eastAsia="en-US" w:bidi="ar-SA"/>
        </w:rPr>
        <w:t>Fontaine v Canada (AG)</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2016 ONSC 4326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[2016] 4 CNLR 40</w:t>
      </w:r>
      <w:r>
        <w:rPr>
          <w:rFonts w:ascii="arial" w:eastAsia="arial" w:hAnsi="arial" w:cs="arial"/>
          <w:color w:val="000000"/>
          <w:sz w:val="20"/>
          <w:lang w:val="en-US" w:eastAsia="en-US" w:bidi="ar-SA"/>
        </w:rPr>
        <w:t xml:space="preserve">] at paras.?63-66, which held that the re-review adjudicator must ask whether </w:t>
      </w:r>
      <w:r>
        <w:rPr>
          <w:rFonts w:ascii="arial" w:eastAsia="arial" w:hAnsi="arial" w:cs="arial"/>
          <w:b/>
          <w:i/>
          <w:color w:val="000000"/>
          <w:sz w:val="20"/>
          <w:lang w:val="en-US" w:eastAsia="en-US" w:bidi="ar-SA"/>
        </w:rPr>
        <w:t>either or both</w:t>
      </w:r>
      <w:r>
        <w:rPr>
          <w:rFonts w:ascii="arial" w:eastAsia="arial" w:hAnsi="arial" w:cs="arial"/>
          <w:color w:val="000000"/>
          <w:sz w:val="20"/>
          <w:lang w:val="en-US" w:eastAsia="en-US" w:bidi="ar-SA"/>
        </w:rPr>
        <w:t xml:space="preserve"> of the adjudicator and reviewer failed to apply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Re-Review Adjudicator failed to apply the IAP Model by declining to act on the updated POI report</w:t>
      </w:r>
      <w:r>
        <w:rPr>
          <w:rFonts w:ascii="arial" w:eastAsia="arial" w:hAnsi="arial" w:cs="arial"/>
          <w:color w:val="000000"/>
          <w:sz w:val="20"/>
          <w:lang w:val="en-US" w:eastAsia="en-US" w:bidi="ar-SA"/>
        </w:rPr>
        <w:t>: The Re-Review Adjudicator's failure to correct what he rightly viewed as a flawed decision brings the administration of justice into disrepute and occasioned a grave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Jurisdiction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applies, and the claimant must show a patent failure by the Chief Adjudicator to apply the terms of the IRSSA before one of the Supervising Courts can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updated POI report does not constitute extraordinary circumstances</w:t>
      </w:r>
      <w:r>
        <w:rPr>
          <w:rFonts w:ascii="arial" w:eastAsia="arial" w:hAnsi="arial" w:cs="arial"/>
          <w:color w:val="000000"/>
          <w:sz w:val="20"/>
          <w:lang w:val="en-US" w:eastAsia="en-US" w:bidi="ar-SA"/>
        </w:rPr>
        <w:t>: The claimant was afforded the full benefits of the IAP process: the right to have a fair and impartial hearing on the merits of her claim, with the benefit of all of the evidence available at the time to Canada, and any evidence gathered by her own counsel. The IAP claim proceeded according to the IAP Model, and that this court has no jurisdiction to consider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this matter, Canada provided the most current POI Report available prior to hearing. A newer POI Report was not created until after the Hearing Decision and Review Decision were rendered. The IRSSA and IAP, by agreement of the parties, necessarily require that as new evidence is received (via claims assessment and through other means), certain disclosure materials may evolve over time. This feature of the IAP was negotiated to ensure that IAP claimants would be afforded the best support for their claims on a continual basis, not as a reason to call into question the finality or fairness of earlier IAP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any event, the POI Report was merely one part of the interconnected factual matrix analysed by the Hearing Adjudicator. Any after-the-fact change to the evidence may affect the entire factual matrix, including the Hearing Adjudicator's assessment of the compensability of an IAP claim. To request such relief from this Honourable Court undermines the expertise, independence, and exclusive roles of IAP adjudicators.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As noted by Perell J in his decision concerning the </w:t>
      </w:r>
      <w:r>
        <w:rPr>
          <w:rFonts w:ascii="arial" w:eastAsia="arial" w:hAnsi="arial" w:cs="arial"/>
          <w:i/>
          <w:color w:val="000000"/>
          <w:sz w:val="20"/>
          <w:lang w:val="en-US" w:eastAsia="en-US" w:bidi="ar-SA"/>
        </w:rPr>
        <w:t>St. Anne's</w:t>
      </w:r>
      <w:r>
        <w:rPr>
          <w:rFonts w:ascii="arial" w:eastAsia="arial" w:hAnsi="arial" w:cs="arial"/>
          <w:color w:val="000000"/>
          <w:sz w:val="20"/>
          <w:lang w:val="en-US" w:eastAsia="en-US" w:bidi="ar-SA"/>
        </w:rPr>
        <w:t xml:space="preserve"> RFD, even if Canada had breached a disclosure obligation (which is not the case here), there remains a very high threshold for judicial recourse. The prejudice from non-disclosure has to be more than a theoretical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Independent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Independent Counsel supports the claimant's position. Independent Counsel submits that while it is true that the IRSSA provides that all reviews are on the record with no new evidence allowed, in this case the new evidence was not disclosed by the defendant until before the Re-Review took place and it showed clearly that the alleged perpetrator had indeed been employed at the school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Courts' Jurisdiction to Entertain a "Judicial Recourse"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All parties are generally agreed that the Courts, through the Supervising Judges, have the power to issue directions if satisfied that the Chief Adjudicator or his delegate has failed to properly implement the IRSSA.</w:t>
      </w:r>
      <w:bookmarkStart w:id="272" w:name="Backward_fnref_fnr-32"/>
      <w:hyperlink w:anchor="Forward_fnref_fnr-32" w:history="1">
        <w:r>
          <w:rPr>
            <w:rFonts w:ascii="arial" w:eastAsia="arial" w:hAnsi="arial" w:cs="arial"/>
            <w:b/>
            <w:color w:val="BE161D"/>
            <w:sz w:val="20"/>
            <w:shd w:val="clear" w:color="auto" w:fill="FFFFFF"/>
            <w:vertAlign w:val="superscript"/>
            <w:lang w:val="en-US" w:eastAsia="en-US" w:bidi="ar-SA"/>
          </w:rPr>
          <w:t>32</w:t>
        </w:r>
      </w:hyperlink>
      <w:bookmarkEnd w:id="272"/>
      <w:r>
        <w:rPr>
          <w:rFonts w:ascii="arial" w:eastAsia="arial" w:hAnsi="arial" w:cs="arial"/>
          <w:color w:val="000000"/>
          <w:sz w:val="20"/>
          <w:lang w:val="en-US" w:eastAsia="en-US" w:bidi="ar-SA"/>
        </w:rPr>
        <w:t xml:space="preserve"> The source of the Courts' ongoing supervisory jurisdiction is four-fold: the inherent jurisdiction of a superior court;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this court's Approval Order of March 2007 and Implementation Order of March 2007; and the express terms of the IRSSA regarding the ongoing role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my view, the relevant principles when it comes to the exercise of the Courts' supervisory jurisdiction are as follows:</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of the Chief Adjudicator (or his delegates) are not reviewable by appeal. The underlying litigation is at an end, and the relationship between the parties is governed by the terms of the IRSSA and the court orders approving the IRSSA. There is clearly no right to appeal each determination made within the context of the IAP.</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of the Chief Adjudicator (or his delegates) are not reviewable by judicial review, as the IAP adjudicators are creatures of contract, not statute. To the extent that the Courts permit judicial recourse in light of "very exceptional circumstances", they should avoid granting remedies normally associated with judicial review, such as quashing re-review decisions (as was sought, for example, by F-10779).</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Looking at the contract the parties made, it is apparent that some supervisory role of the Courts is anticipated. The Implementation Order contains an express provision that, "the Courts shall supervise the implementation of the Agreement and this order and, without, limiting the generality of the foregoing, may issue such further and ancillary orders, from time to time, as are necessary to implement the Agreement."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pursuant to the terms of the IRSSA and the Implementation Orders, IAP decisions of the Chief Adjudicator (or his delegates) are reviewable on a limited basis in cases where the final decision of the Chief Adjudicator (or his delegate) reflects a failure to comply with the terms of the IRSSA. This will be an exceptional circumstance.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this power, Supervising Judges should be mindful to not interfere with the exclusive role of IAP adjudicators to control their own processes and make findings of fact. They must also be mindful to not provide the parties with a right of appeal or judicial review not contemplated by the IRSSA itself.</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supervisory jurisdiction does not extend to varying the terms of the IRSSA as agreed upon by the parties. A Supervising Judge can only order that the terms of the IRSSA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court heard submissions on the threshold issue of jurisdiction to entertain judicial recourse RFDs, not only from the claimants in the various RFDs and Canada, but also from the intervenors. The fundamental question that divides the parties and the intervenors on this threshold issue is whether and to what extent the Courts can review the substantive decisions of IAP adjudicators.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claimants and some of the intervenors, to varying degrees, argue for a broader right of intervention. They say that error correction in the name of justice is justified and even required by the IRSSA's objectives of achieving fair compensation and reconciliation. While they agree that the IRSSA aims for closure, they say meaningful closure cannot take place if claimants are unfairly denied compensation. The AFN in particular argues that in exchange for the extinguishment of their individual claims, IAP claimants are entitled to the "complete and accurate assessment of their claims by adjudicators" and "a reasonable interpretation of compensation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Canada and the Chief Adjudicator both argue that the Courts' jurisdiction to remedy "failures to comply with the terms of the IRSSA" must be interpreted very narrowly. Otherwise, the bargained-for benefits of the IRSSA will be lost. These include the benefit of having claims determined quickly, fairly, and with an element of finality and predictability by carefully-chosen adjudicators who were selected for their expertise and unique qualifications. To give claimants a broad right of review that is akin to a right of appeal or judicial review undoes the bargain struck by the IRSSA, and jeopardizes the foundations of an agreement that has seen the successful, prompt and final resolution of thousands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Canada notes that whereas the IRSSA expressly provides for access to the Courts in certain limited circumstances,</w:t>
      </w:r>
      <w:bookmarkStart w:id="273" w:name="Backward_fnref_fnr-33"/>
      <w:hyperlink w:anchor="Forward_fnref_fnr-33" w:history="1">
        <w:r>
          <w:rPr>
            <w:rFonts w:ascii="arial" w:eastAsia="arial" w:hAnsi="arial" w:cs="arial"/>
            <w:b/>
            <w:color w:val="BE161D"/>
            <w:sz w:val="20"/>
            <w:shd w:val="clear" w:color="auto" w:fill="FFFFFF"/>
            <w:vertAlign w:val="superscript"/>
            <w:lang w:val="en-US" w:eastAsia="en-US" w:bidi="ar-SA"/>
          </w:rPr>
          <w:t>33</w:t>
        </w:r>
      </w:hyperlink>
      <w:bookmarkEnd w:id="273"/>
      <w:r>
        <w:rPr>
          <w:rFonts w:ascii="arial" w:eastAsia="arial" w:hAnsi="arial" w:cs="arial"/>
          <w:color w:val="000000"/>
          <w:sz w:val="20"/>
          <w:lang w:val="en-US" w:eastAsia="en-US" w:bidi="ar-SA"/>
        </w:rPr>
        <w:t xml:space="preserve"> the parties did not provide for judicial recourse in relation to the substantive decisions of IAP adjudicators.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Jurisprudence on Judicial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2011, in his capacity as Eastern Administrative Judge of the IRSSA, Winkler CJO released the seminal decision on judicial recourse from the IAP,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at first instance.</w:t>
      </w:r>
      <w:bookmarkStart w:id="274" w:name="Backward_fnref_fnr-34"/>
      <w:hyperlink w:anchor="Forward_fnref_fnr-34" w:history="1">
        <w:r>
          <w:rPr>
            <w:rFonts w:ascii="arial" w:eastAsia="arial" w:hAnsi="arial" w:cs="arial"/>
            <w:b/>
            <w:color w:val="BE161D"/>
            <w:sz w:val="20"/>
            <w:shd w:val="clear" w:color="auto" w:fill="FFFFFF"/>
            <w:vertAlign w:val="superscript"/>
            <w:lang w:val="en-US" w:eastAsia="en-US" w:bidi="ar-SA"/>
          </w:rPr>
          <w:t>34</w:t>
        </w:r>
      </w:hyperlink>
      <w:bookmarkEnd w:id="274"/>
      <w:r>
        <w:rPr>
          <w:rFonts w:ascii="arial" w:eastAsia="arial" w:hAnsi="arial" w:cs="arial"/>
          <w:color w:val="000000"/>
          <w:sz w:val="20"/>
          <w:lang w:val="en-US" w:eastAsia="en-US" w:bidi="ar-SA"/>
        </w:rPr>
        <w:t xml:space="preserve"> The decision analyses a Request for Direction following a review of the fairness and reasonableness of the legal fees that the Requestor had contracted to charge its client in the IAP.</w:t>
      </w:r>
      <w:bookmarkStart w:id="275" w:name="Backward_fnref_fnr-35"/>
      <w:hyperlink w:anchor="Forward_fnref_fnr-35" w:history="1">
        <w:r>
          <w:rPr>
            <w:rFonts w:ascii="arial" w:eastAsia="arial" w:hAnsi="arial" w:cs="arial"/>
            <w:b/>
            <w:color w:val="BE161D"/>
            <w:sz w:val="20"/>
            <w:shd w:val="clear" w:color="auto" w:fill="FFFFFF"/>
            <w:vertAlign w:val="superscript"/>
            <w:lang w:val="en-US" w:eastAsia="en-US" w:bidi="ar-SA"/>
          </w:rPr>
          <w:t>35</w:t>
        </w:r>
      </w:hyperlink>
      <w:bookmarkEnd w:id="275"/>
      <w:r>
        <w:rPr>
          <w:rFonts w:ascii="arial" w:eastAsia="arial" w:hAnsi="arial" w:cs="arial"/>
          <w:color w:val="000000"/>
          <w:sz w:val="20"/>
          <w:lang w:val="en-US" w:eastAsia="en-US" w:bidi="ar-SA"/>
        </w:rPr>
        <w:t xml:space="preserve"> Winkler CJO determined that there is no right to appeal or judicially review decisions of the Chief Adjudicator.</w:t>
      </w:r>
      <w:bookmarkStart w:id="276" w:name="Backward_fnref_fnr-36"/>
      <w:hyperlink w:anchor="Forward_fnref_fnr-36" w:history="1">
        <w:r>
          <w:rPr>
            <w:rFonts w:ascii="arial" w:eastAsia="arial" w:hAnsi="arial" w:cs="arial"/>
            <w:b/>
            <w:color w:val="BE161D"/>
            <w:sz w:val="20"/>
            <w:shd w:val="clear" w:color="auto" w:fill="FFFFFF"/>
            <w:vertAlign w:val="superscript"/>
            <w:lang w:val="en-US" w:eastAsia="en-US" w:bidi="ar-SA"/>
          </w:rPr>
          <w:t>36</w:t>
        </w:r>
      </w:hyperlink>
      <w:bookmarkEnd w:id="27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Again in 2011, Winkler CJO released a further decision involving judicial recourse from the IAP in the </w:t>
      </w:r>
      <w:r>
        <w:rPr>
          <w:rFonts w:ascii="arial" w:eastAsia="arial" w:hAnsi="arial" w:cs="arial"/>
          <w:i/>
          <w:color w:val="000000"/>
          <w:sz w:val="20"/>
          <w:lang w:val="en-US" w:eastAsia="en-US" w:bidi="ar-SA"/>
        </w:rPr>
        <w:t>SSJSSM RFD</w:t>
      </w:r>
      <w:r>
        <w:rPr>
          <w:rFonts w:ascii="arial" w:eastAsia="arial" w:hAnsi="arial" w:cs="arial"/>
          <w:color w:val="000000"/>
          <w:sz w:val="20"/>
          <w:lang w:val="en-US" w:eastAsia="en-US" w:bidi="ar-SA"/>
        </w:rPr>
        <w:t>. The decision addresses a Request for Direction regarding "the proper procedure for dealing with allegations of bias on the part of an adjudicator during an [IAP] hearing."</w:t>
      </w:r>
      <w:bookmarkStart w:id="277" w:name="Backward_fnref_fnr-37"/>
      <w:hyperlink w:anchor="Forward_fnref_fnr-37" w:history="1">
        <w:r>
          <w:rPr>
            <w:rFonts w:ascii="arial" w:eastAsia="arial" w:hAnsi="arial" w:cs="arial"/>
            <w:b/>
            <w:color w:val="BE161D"/>
            <w:sz w:val="20"/>
            <w:shd w:val="clear" w:color="auto" w:fill="FFFFFF"/>
            <w:vertAlign w:val="superscript"/>
            <w:lang w:val="en-US" w:eastAsia="en-US" w:bidi="ar-SA"/>
          </w:rPr>
          <w:t>37</w:t>
        </w:r>
      </w:hyperlink>
      <w:bookmarkEnd w:id="277"/>
      <w:r>
        <w:rPr>
          <w:rFonts w:ascii="arial" w:eastAsia="arial" w:hAnsi="arial" w:cs="arial"/>
          <w:color w:val="000000"/>
          <w:sz w:val="20"/>
          <w:lang w:val="en-US" w:eastAsia="en-US" w:bidi="ar-SA"/>
        </w:rPr>
        <w:t xml:space="preserve"> Winkler CJO found that allegations of bias "fall squarely within the ambit of the Chief Adjudicator's review mandate."</w:t>
      </w:r>
      <w:bookmarkStart w:id="278" w:name="Backward_fnref_fnr-38"/>
      <w:hyperlink w:anchor="Forward_fnref_fnr-38" w:history="1">
        <w:r>
          <w:rPr>
            <w:rFonts w:ascii="arial" w:eastAsia="arial" w:hAnsi="arial" w:cs="arial"/>
            <w:b/>
            <w:color w:val="BE161D"/>
            <w:sz w:val="20"/>
            <w:shd w:val="clear" w:color="auto" w:fill="FFFFFF"/>
            <w:vertAlign w:val="superscript"/>
            <w:lang w:val="en-US" w:eastAsia="en-US" w:bidi="ar-SA"/>
          </w:rPr>
          <w:t>38</w:t>
        </w:r>
      </w:hyperlink>
      <w:bookmarkEnd w:id="278"/>
      <w:r>
        <w:rPr>
          <w:rFonts w:ascii="arial" w:eastAsia="arial" w:hAnsi="arial" w:cs="arial"/>
          <w:color w:val="000000"/>
          <w:sz w:val="20"/>
          <w:lang w:val="en-US" w:eastAsia="en-US" w:bidi="ar-SA"/>
        </w:rPr>
        <w:t xml:space="preserve"> Winkler CJO went on to hold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Chief Adjudicator has rendered his or her review decision, the provisions for review within the [IRSSA] are exhausted. There is no further right of appeal. While the supervising courts maintain jurisdiction over the settlement and its implementation, a supervisory jurisdiction does not give a party of the settlement a general right of appeal, in the absence of specific language in the [IRSSA]. The [IRSSA] contains no such right.</w:t>
      </w:r>
      <w:bookmarkStart w:id="279" w:name="Backward_fnref_fnr-39"/>
      <w:hyperlink w:anchor="Forward_fnref_fnr-39" w:history="1">
        <w:r>
          <w:rPr>
            <w:rFonts w:ascii="arial" w:eastAsia="arial" w:hAnsi="arial" w:cs="arial"/>
            <w:b/>
            <w:color w:val="BE161D"/>
            <w:sz w:val="20"/>
            <w:shd w:val="clear" w:color="auto" w:fill="FFFFFF"/>
            <w:vertAlign w:val="superscript"/>
            <w:lang w:val="en-US" w:eastAsia="en-US" w:bidi="ar-SA"/>
          </w:rPr>
          <w:t>39</w:t>
        </w:r>
      </w:hyperlink>
      <w:bookmarkEnd w:id="27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2013, the Supervising Judge for Quebec addressed an application for an annulment of a decision by the Hearing adjudicator in an IAP hearing in the </w:t>
      </w:r>
      <w:r>
        <w:rPr>
          <w:rFonts w:ascii="arial" w:eastAsia="arial" w:hAnsi="arial" w:cs="arial"/>
          <w:i/>
          <w:color w:val="000000"/>
          <w:sz w:val="20"/>
          <w:lang w:val="en-US" w:eastAsia="en-US" w:bidi="ar-SA"/>
        </w:rPr>
        <w:t>J.C. RFD</w:t>
      </w:r>
      <w:r>
        <w:rPr>
          <w:rFonts w:ascii="arial" w:eastAsia="arial" w:hAnsi="arial" w:cs="arial"/>
          <w:color w:val="000000"/>
          <w:sz w:val="20"/>
          <w:lang w:val="en-US" w:eastAsia="en-US" w:bidi="ar-SA"/>
        </w:rPr>
        <w:t>.</w:t>
      </w:r>
      <w:bookmarkStart w:id="280" w:name="Backward_fnref_fnr-40"/>
      <w:hyperlink w:anchor="Forward_fnref_fnr-40" w:history="1">
        <w:r>
          <w:rPr>
            <w:rFonts w:ascii="arial" w:eastAsia="arial" w:hAnsi="arial" w:cs="arial"/>
            <w:b/>
            <w:color w:val="BE161D"/>
            <w:sz w:val="20"/>
            <w:shd w:val="clear" w:color="auto" w:fill="FFFFFF"/>
            <w:vertAlign w:val="superscript"/>
            <w:lang w:val="en-US" w:eastAsia="en-US" w:bidi="ar-SA"/>
          </w:rPr>
          <w:t>40</w:t>
        </w:r>
      </w:hyperlink>
      <w:bookmarkEnd w:id="280"/>
      <w:r>
        <w:rPr>
          <w:rFonts w:ascii="arial" w:eastAsia="arial" w:hAnsi="arial" w:cs="arial"/>
          <w:color w:val="000000"/>
          <w:sz w:val="20"/>
          <w:lang w:val="en-US" w:eastAsia="en-US" w:bidi="ar-SA"/>
        </w:rPr>
        <w:t xml:space="preserve"> The hearing adjudicator had granted compensation for sexual abuse at an IRS. The applicant, who was the alleged perpetrator, sought to challenge the finding that abuse had taken place, claiming a breach of his rights under IAP procedure.</w:t>
      </w:r>
      <w:bookmarkStart w:id="281" w:name="Backward_fnref_fnr-41"/>
      <w:hyperlink w:anchor="Forward_fnref_fnr-41" w:history="1">
        <w:r>
          <w:rPr>
            <w:rFonts w:ascii="arial" w:eastAsia="arial" w:hAnsi="arial" w:cs="arial"/>
            <w:b/>
            <w:color w:val="BE161D"/>
            <w:sz w:val="20"/>
            <w:shd w:val="clear" w:color="auto" w:fill="FFFFFF"/>
            <w:vertAlign w:val="superscript"/>
            <w:lang w:val="en-US" w:eastAsia="en-US" w:bidi="ar-SA"/>
          </w:rPr>
          <w:t>41</w:t>
        </w:r>
      </w:hyperlink>
      <w:bookmarkEnd w:id="281"/>
      <w:r>
        <w:rPr>
          <w:rFonts w:ascii="arial" w:eastAsia="arial" w:hAnsi="arial" w:cs="arial"/>
          <w:color w:val="000000"/>
          <w:sz w:val="20"/>
          <w:lang w:val="en-US" w:eastAsia="en-US" w:bidi="ar-SA"/>
        </w:rPr>
        <w:t xml:space="preserve"> Chief Justice Rolland cited the </w:t>
      </w:r>
      <w:r>
        <w:rPr>
          <w:rFonts w:ascii="arial" w:eastAsia="arial" w:hAnsi="arial" w:cs="arial"/>
          <w:i/>
          <w:color w:val="000000"/>
          <w:sz w:val="20"/>
          <w:lang w:val="en-US" w:eastAsia="en-US" w:bidi="ar-SA"/>
        </w:rPr>
        <w:t>SSJSSM RFD</w:t>
      </w:r>
      <w:r>
        <w:rPr>
          <w:rFonts w:ascii="arial" w:eastAsia="arial" w:hAnsi="arial" w:cs="arial"/>
          <w:color w:val="000000"/>
          <w:sz w:val="20"/>
          <w:lang w:val="en-US" w:eastAsia="en-US" w:bidi="ar-SA"/>
        </w:rPr>
        <w:t>,</w:t>
      </w:r>
      <w:bookmarkStart w:id="282" w:name="Backward_fnref_fnr-42"/>
      <w:hyperlink w:anchor="Forward_fnref_fnr-42" w:history="1">
        <w:r>
          <w:rPr>
            <w:rFonts w:ascii="arial" w:eastAsia="arial" w:hAnsi="arial" w:cs="arial"/>
            <w:b/>
            <w:color w:val="BE161D"/>
            <w:sz w:val="20"/>
            <w:shd w:val="clear" w:color="auto" w:fill="FFFFFF"/>
            <w:vertAlign w:val="superscript"/>
            <w:lang w:val="en-US" w:eastAsia="en-US" w:bidi="ar-SA"/>
          </w:rPr>
          <w:t>42</w:t>
        </w:r>
      </w:hyperlink>
      <w:bookmarkEnd w:id="282"/>
      <w:r>
        <w:rPr>
          <w:rFonts w:ascii="arial" w:eastAsia="arial" w:hAnsi="arial" w:cs="arial"/>
          <w:color w:val="000000"/>
          <w:sz w:val="20"/>
          <w:lang w:val="en-US" w:eastAsia="en-US" w:bidi="ar-SA"/>
        </w:rPr>
        <w:t xml:space="preserve"> and declined to interfere with the adjudicative decision because "the Adjudicator made his decision in accordance with the provisions of the IRSSA."</w:t>
      </w:r>
      <w:bookmarkStart w:id="283" w:name="Backward_fnref_fnr-43"/>
      <w:hyperlink w:anchor="Forward_fnref_fnr-43" w:history="1">
        <w:r>
          <w:rPr>
            <w:rFonts w:ascii="arial" w:eastAsia="arial" w:hAnsi="arial" w:cs="arial"/>
            <w:b/>
            <w:color w:val="BE161D"/>
            <w:sz w:val="20"/>
            <w:shd w:val="clear" w:color="auto" w:fill="FFFFFF"/>
            <w:vertAlign w:val="superscript"/>
            <w:lang w:val="en-US" w:eastAsia="en-US" w:bidi="ar-SA"/>
          </w:rPr>
          <w:t>43</w:t>
        </w:r>
      </w:hyperlink>
      <w:bookmarkEnd w:id="28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Meanwhile, in 2012, the Court of Appeal for Ontario upheld Winkler CJO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confirming that no appeal or judicial review lies from an IAP decision.</w:t>
      </w:r>
      <w:bookmarkStart w:id="284" w:name="Backward_fnref_fnr-44"/>
      <w:hyperlink w:anchor="Forward_fnref_fnr-44" w:history="1">
        <w:r>
          <w:rPr>
            <w:rFonts w:ascii="arial" w:eastAsia="arial" w:hAnsi="arial" w:cs="arial"/>
            <w:b/>
            <w:color w:val="BE161D"/>
            <w:sz w:val="20"/>
            <w:shd w:val="clear" w:color="auto" w:fill="FFFFFF"/>
            <w:vertAlign w:val="superscript"/>
            <w:lang w:val="en-US" w:eastAsia="en-US" w:bidi="ar-SA"/>
          </w:rPr>
          <w:t>44</w:t>
        </w:r>
      </w:hyperlink>
      <w:bookmarkEnd w:id="284"/>
      <w:r>
        <w:rPr>
          <w:rFonts w:ascii="arial" w:eastAsia="arial" w:hAnsi="arial" w:cs="arial"/>
          <w:color w:val="000000"/>
          <w:sz w:val="20"/>
          <w:lang w:val="en-US" w:eastAsia="en-US" w:bidi="ar-SA"/>
        </w:rPr>
        <w:t xml:space="preserve"> On the availability of some other "process, other than an appeal or judicial review, [.] to review a decision by the Chief Adjudicator,"</w:t>
      </w:r>
      <w:bookmarkStart w:id="285" w:name="Backward_fnref_fnr-45"/>
      <w:hyperlink w:anchor="Forward_fnref_fnr-45" w:history="1">
        <w:r>
          <w:rPr>
            <w:rFonts w:ascii="arial" w:eastAsia="arial" w:hAnsi="arial" w:cs="arial"/>
            <w:b/>
            <w:color w:val="BE161D"/>
            <w:sz w:val="20"/>
            <w:shd w:val="clear" w:color="auto" w:fill="FFFFFF"/>
            <w:vertAlign w:val="superscript"/>
            <w:lang w:val="en-US" w:eastAsia="en-US" w:bidi="ar-SA"/>
          </w:rPr>
          <w:t>45</w:t>
        </w:r>
      </w:hyperlink>
      <w:bookmarkEnd w:id="285"/>
      <w:r>
        <w:rPr>
          <w:rFonts w:ascii="arial" w:eastAsia="arial" w:hAnsi="arial" w:cs="arial"/>
          <w:color w:val="000000"/>
          <w:sz w:val="20"/>
          <w:lang w:val="en-US" w:eastAsia="en-US" w:bidi="ar-SA"/>
        </w:rPr>
        <w:t xml:space="preserve"> the Court of Appeal for Ontario has imposed a high jurisdictional threshold, permitting judicial recourse from the IAP only in "very exceptional circumstances."</w:t>
      </w:r>
      <w:bookmarkStart w:id="286" w:name="Backward_fnref_fnr-46"/>
      <w:hyperlink w:anchor="Forward_fnref_fnr-46" w:history="1">
        <w:r>
          <w:rPr>
            <w:rFonts w:ascii="arial" w:eastAsia="arial" w:hAnsi="arial" w:cs="arial"/>
            <w:b/>
            <w:color w:val="BE161D"/>
            <w:sz w:val="20"/>
            <w:shd w:val="clear" w:color="auto" w:fill="FFFFFF"/>
            <w:vertAlign w:val="superscript"/>
            <w:lang w:val="en-US" w:eastAsia="en-US" w:bidi="ar-SA"/>
          </w:rPr>
          <w:t>46</w:t>
        </w:r>
      </w:hyperlink>
      <w:bookmarkEnd w:id="286"/>
      <w:r>
        <w:rPr>
          <w:rFonts w:ascii="arial" w:eastAsia="arial" w:hAnsi="arial" w:cs="arial"/>
          <w:color w:val="000000"/>
          <w:sz w:val="20"/>
          <w:lang w:val="en-US" w:eastAsia="en-US" w:bidi="ar-SA"/>
        </w:rPr>
        <w:t xml:space="preserve"> Such a threshold recognizes that the IAP is a negotiated contract and a complete code. It reflects the parties' intention that "implementation of the [IRSSA] be expeditious and not mired in delay and procedural disputes."</w:t>
      </w:r>
      <w:bookmarkStart w:id="287" w:name="Backward_fnref_fnr-47"/>
      <w:hyperlink w:anchor="Forward_fnref_fnr-47" w:history="1">
        <w:r>
          <w:rPr>
            <w:rFonts w:ascii="arial" w:eastAsia="arial" w:hAnsi="arial" w:cs="arial"/>
            <w:b/>
            <w:color w:val="BE161D"/>
            <w:sz w:val="20"/>
            <w:shd w:val="clear" w:color="auto" w:fill="FFFFFF"/>
            <w:vertAlign w:val="superscript"/>
            <w:lang w:val="en-US" w:eastAsia="en-US" w:bidi="ar-SA"/>
          </w:rPr>
          <w:t>47</w:t>
        </w:r>
      </w:hyperlink>
      <w:bookmarkEnd w:id="287"/>
      <w:r>
        <w:rPr>
          <w:rFonts w:ascii="arial" w:eastAsia="arial" w:hAnsi="arial" w:cs="arial"/>
          <w:color w:val="000000"/>
          <w:sz w:val="20"/>
          <w:lang w:val="en-US" w:eastAsia="en-US" w:bidi="ar-SA"/>
        </w:rPr>
        <w:t xml:space="preserve"> It also respects "both the importance of the finality of decisions under the [IRSSA] and the relative expertise of the Chief Adjudicator [.]."</w:t>
      </w:r>
      <w:bookmarkStart w:id="288" w:name="Backward_fnref_fnr-48"/>
      <w:hyperlink w:anchor="Forward_fnref_fnr-48" w:history="1">
        <w:r>
          <w:rPr>
            <w:rFonts w:ascii="arial" w:eastAsia="arial" w:hAnsi="arial" w:cs="arial"/>
            <w:b/>
            <w:color w:val="BE161D"/>
            <w:sz w:val="20"/>
            <w:shd w:val="clear" w:color="auto" w:fill="FFFFFF"/>
            <w:vertAlign w:val="superscript"/>
            <w:lang w:val="en-US" w:eastAsia="en-US" w:bidi="ar-SA"/>
          </w:rPr>
          <w:t>48</w:t>
        </w:r>
      </w:hyperlink>
      <w:bookmarkEnd w:id="28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Court of Appeal's decision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is cited frequently for its general principles about the source of, and limits on, the Court's review powers. It has been consistently followed. As noted above,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arose in the context of a legal fee dispute, a matter governed not by Schedule "D" to the IRSSA and the IAP Model. There are, however, four post-</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cases that have specifically considered the role of the Courts in RFDs arising out of the decisions of IAP adjudicators.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Fontaine et al v. Canada (Attorney General) et al</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2014 MBQB 200</w:t>
        </w:r>
      </w:hyperlink>
      <w:r>
        <w:rPr>
          <w:rFonts w:ascii="arial" w:eastAsia="arial" w:hAnsi="arial" w:cs="arial"/>
          <w:color w:val="000000"/>
          <w:sz w:val="20"/>
          <w:lang w:val="en-US" w:eastAsia="en-US" w:bidi="ar-SA"/>
        </w:rPr>
        <w:t xml:space="preserve"> [ </w:t>
      </w:r>
      <w:hyperlink r:id="rId755" w:history="1">
        <w:r>
          <w:rPr>
            <w:rFonts w:ascii="arial" w:eastAsia="arial" w:hAnsi="arial" w:cs="arial"/>
            <w:i/>
            <w:color w:val="0077CC"/>
            <w:sz w:val="20"/>
            <w:u w:val="single"/>
            <w:shd w:val="clear" w:color="auto" w:fill="FFFFFF"/>
            <w:lang w:val="en-US" w:eastAsia="en-US" w:bidi="ar-SA"/>
          </w:rPr>
          <w:t>[2015] 1 CNLR 146</w:t>
        </w:r>
      </w:hyperlink>
      <w:r>
        <w:rPr>
          <w:rFonts w:ascii="arial" w:eastAsia="arial" w:hAnsi="arial" w:cs="arial"/>
          <w:color w:val="000000"/>
          <w:sz w:val="20"/>
          <w:lang w:val="en-US" w:eastAsia="en-US" w:bidi="ar-SA"/>
        </w:rPr>
        <w:t xml:space="preserve">](the "Claimant as Employee case"), Justice Schulman considered the proper interpretation of the IRSSA where the former student of a residential school was subsequently employed at the school while still a minor, and sexually assaulted by another employee. The Review Adjudicator determined that the claimant was entitled to be compensated. The Re-Review Adjudicator determined she was not. Justice Schulman noted that there were conflicting decisions on the issue, and the matter was of the utmost importance. He therefore found it fell within the exceptional circumstances outlined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Fontaine et al v. Canada (Attorney General) et al,</w:t>
      </w:r>
      <w:hyperlink r:id="rId756" w:history="1">
        <w:r>
          <w:rPr>
            <w:rFonts w:ascii="arial" w:eastAsia="arial" w:hAnsi="arial" w:cs="arial"/>
            <w:i/>
            <w:color w:val="0077CC"/>
            <w:sz w:val="20"/>
            <w:u w:val="single"/>
            <w:shd w:val="clear" w:color="auto" w:fill="FFFFFF"/>
            <w:lang w:val="en-US" w:eastAsia="en-US" w:bidi="ar-SA"/>
          </w:rPr>
          <w:t>2015 ABQB 225</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[2015] A.J. No. 376</w:t>
        </w:r>
      </w:hyperlink>
      <w:r>
        <w:rPr>
          <w:rFonts w:ascii="arial" w:eastAsia="arial" w:hAnsi="arial" w:cs="arial"/>
          <w:color w:val="000000"/>
          <w:sz w:val="20"/>
          <w:lang w:val="en-US" w:eastAsia="en-US" w:bidi="ar-SA"/>
        </w:rPr>
        <w:t xml:space="preserve"> (QL) [</w:t>
      </w:r>
      <w:hyperlink r:id="rId757" w:history="1">
        <w:r>
          <w:rPr>
            <w:rFonts w:ascii="arial" w:eastAsia="arial" w:hAnsi="arial" w:cs="arial"/>
            <w:i/>
            <w:color w:val="0077CC"/>
            <w:sz w:val="20"/>
            <w:u w:val="single"/>
            <w:shd w:val="clear" w:color="auto" w:fill="FFFFFF"/>
            <w:lang w:val="en-US" w:eastAsia="en-US" w:bidi="ar-SA"/>
          </w:rPr>
          <w:t>[2015] 4 CNLR 69</w:t>
        </w:r>
      </w:hyperlink>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Grouard</w:t>
      </w:r>
      <w:r>
        <w:rPr>
          <w:rFonts w:ascii="arial" w:eastAsia="arial" w:hAnsi="arial" w:cs="arial"/>
          <w:color w:val="000000"/>
          <w:sz w:val="20"/>
          <w:lang w:val="en-US" w:eastAsia="en-US" w:bidi="ar-SA"/>
        </w:rPr>
        <w:t xml:space="preserve"> case"), Justice Nation was asked for directions on whether IAP adjudicators had the jurisdiction to determine whether a particular school was an IRS. The claimant in that case specifically took the position that IAP adjudicators were not meant to have the power to determine that a particular school had ceased operating as an IRS. Canada took the position that IAP adjudicators did have this jurisdiction. Interestingly, it does not appear that Canada took the position at this RFD that Justice Nation should not even determine whether the IAP adjudicators had this jurisdiction or not. Canada seems to have accepted that on an RFD, a Supervising Court can give directions about the extent and limits of an IAP adjudicator's jurisdiction.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Justice Nation applied principles of contractual interpretation to determine the question before her: whether IAP adjudicators did or did not have the jurisdiction to determine which institutions were operating as an IRS. Having determined that they did have that jurisdiction, Nation, J. indicated it was not necessary for her to determine further whether the adjudicator's factual determination in the case before her - that the Grouard School was not an IRS at the relevant time - was or was not erroneously made. However, notwithstanding this finding, Justice Nation did express her views on that issue, in order to give guidance for similar cases that might arise in the future.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Fontaine et al v. Canada (Attorney General) et al</w:t>
      </w:r>
      <w:hyperlink r:id="rId758" w:history="1">
        <w:r>
          <w:rPr>
            <w:rFonts w:ascii="arial" w:eastAsia="arial" w:hAnsi="arial" w:cs="arial"/>
            <w:i/>
            <w:color w:val="0077CC"/>
            <w:sz w:val="20"/>
            <w:u w:val="single"/>
            <w:shd w:val="clear" w:color="auto" w:fill="FFFFFF"/>
            <w:lang w:val="en-US" w:eastAsia="en-US" w:bidi="ar-SA"/>
          </w:rPr>
          <w:t>2016 MBQB 159</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[2016] 4 CNLR 23</w:t>
      </w:r>
      <w:r>
        <w:rPr>
          <w:rFonts w:ascii="arial" w:eastAsia="arial" w:hAnsi="arial" w:cs="arial"/>
          <w:color w:val="000000"/>
          <w:sz w:val="20"/>
          <w:lang w:val="en-US" w:eastAsia="en-US" w:bidi="ar-SA"/>
        </w:rPr>
        <w:t>] ("J.W."), Justice Edmond held that the Court's power to ensure the implementation and enforcement of the provisions of the IRSSA included a power to ensure that IAP adjudicators do not overstep their jurisdiction. He further concluded that IAP adjudicators do not have jurisdiction to apply a highly unreasonable legal interpretation to the terms of the IRSSA in determining whether a compensable claim has been made out. He found that his power of review was confined to cases where an unreasonable interpretation of the IAP Model in fact was so significant as to amount to a failure to comply with the terms of the IRSSA, in that the unreasonable interpretation resulted directly in claimants being denied the compensation that the IRSSA - reasonably interpreted - intended them to receive. Accordingly, Justice Edmond found that his jurisdiction in reviewing the substantive decisions of IAP adjudicators was confined to ensuring that the re-review adjudicator did not endorse a legal interpretation that is so unreasonable that it amounts to a failure to properly apply the IAP to the facts of a particular case.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Fontaine et al v. Canada (Attorney General) et al</w:t>
      </w:r>
      <w:hyperlink r:id="rId753" w:history="1">
        <w:r>
          <w:rPr>
            <w:rFonts w:ascii="arial" w:eastAsia="arial" w:hAnsi="arial" w:cs="arial"/>
            <w:i/>
            <w:color w:val="0077CC"/>
            <w:sz w:val="20"/>
            <w:u w:val="single"/>
            <w:shd w:val="clear" w:color="auto" w:fill="FFFFFF"/>
            <w:lang w:val="en-US" w:eastAsia="en-US" w:bidi="ar-SA"/>
          </w:rPr>
          <w:t>2016 ONSC 4326</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[2016] 4 CNLR 40</w:t>
      </w:r>
      <w:r>
        <w:rPr>
          <w:rFonts w:ascii="arial" w:eastAsia="arial" w:hAnsi="arial" w:cs="arial"/>
          <w:color w:val="000000"/>
          <w:sz w:val="20"/>
          <w:lang w:val="en-US" w:eastAsia="en-US" w:bidi="ar-SA"/>
        </w:rPr>
        <w:t xml:space="preserve"> (the "Spanish IRS Case"), Justice Perell considered a case where an adjudicator had accepted that a claimant had been sexually abused by an IRS employee. However, she used her own extra-curial knowledge to deduce that the abuse must have occurred once the claimant reached a certain age, at which point the IRS in question had closed and ceased to operate as an IRS. She denied compensation on this basis. Subsequently, it was discovered that the adjudicator's conclusion was incorrect: the employee had in fact departed the IRS prior to its closure, and so the abuse must have happened while the institution operated as an IRS. Justice Perell considered that the adjudicator's use of extra-curial knowledge (expressly prohibited by the IAP Model) resulted in a palpable and overriding error and in a failure to apply the IAP Model to the facts. The failure of these errors to be corrected on review and re-review were significant enough to amount to a failure to apply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 have concluded that recourse to the Supervising Courts in respect of decisions of IAP adjudicators is governed by the principles set out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and must be limited to exceptional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Firstly, I cannot accept the submission that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is "just a fees review case". Clearly the Court of Appeal for Ontario turned its mind to the broader issue of judicial recourse following exhaustion of all levels of review made available within the IAP. As in the cases before me, the Court of Appeal was concerned with judicial recourse following a final decision of the Chief Adjudicator or his delegate.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Similarly, I cannot accept that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grounds a general "curial review" jurisdiction. In my view, the Court of Appeal for Ontario accepted that the parties to the IRSSA intended that access to the supervising judges be extraordinarily limited insofar as the IAP is concerned. I note that the phrase "curial review" does not even appear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Moreover, the phrase "curial review" suggests a right to seek review before the Courts and a standard of review, both of which are untenable given the guidance provided by the Court of Appeal for Ontario in </w:t>
      </w:r>
      <w:r>
        <w:rPr>
          <w:rFonts w:ascii="arial" w:eastAsia="arial" w:hAnsi="arial" w:cs="arial"/>
          <w:i/>
          <w:color w:val="000000"/>
          <w:sz w:val="20"/>
          <w:lang w:val="en-US" w:eastAsia="en-US" w:bidi="ar-SA"/>
        </w:rPr>
        <w:t>Shachter</w:t>
      </w:r>
      <w:r>
        <w:rPr>
          <w:rFonts w:ascii="arial" w:eastAsia="arial" w:hAnsi="arial" w:cs="arial"/>
          <w:color w:val="000000"/>
          <w:sz w:val="20"/>
          <w:lang w:val="en-US" w:eastAsia="en-US" w:bidi="ar-SA"/>
        </w:rPr>
        <w:t>. The preferable phrase - and concept - is judicial recourse. The Court of Appeal has explained that "the right to seek judicial recourse is limited to very exceptional circumstances".</w:t>
      </w:r>
      <w:bookmarkStart w:id="289" w:name="Backward_fnref_fnr-49"/>
      <w:hyperlink w:anchor="Forward_fnref_fnr-49" w:history="1">
        <w:r>
          <w:rPr>
            <w:rFonts w:ascii="arial" w:eastAsia="arial" w:hAnsi="arial" w:cs="arial"/>
            <w:b/>
            <w:color w:val="BE161D"/>
            <w:sz w:val="20"/>
            <w:shd w:val="clear" w:color="auto" w:fill="FFFFFF"/>
            <w:vertAlign w:val="superscript"/>
            <w:lang w:val="en-US" w:eastAsia="en-US" w:bidi="ar-SA"/>
          </w:rPr>
          <w:t>49</w:t>
        </w:r>
      </w:hyperlink>
      <w:bookmarkEnd w:id="28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 is good reason for this. Fundamentally, the IRSSA is a contract. The IAP is a negotiated process, and a complete code. To put it plainly, when the IAP Model was negotiated, the parties called "Done!" at re-review by the Chief Adjudicator or his or her delegate. The court must honour the parties' intentions. By limiting access to the courts, finality is preserved and the expertise of the Chief Adjudicator and those under his supervision is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my view, Wagner J. explained the "why of it" well, particularly in respect of adjudicators' factual findings, in </w:t>
      </w:r>
      <w:r>
        <w:rPr>
          <w:rFonts w:ascii="arial" w:eastAsia="arial" w:hAnsi="arial" w:cs="arial"/>
          <w:i/>
          <w:color w:val="000000"/>
          <w:sz w:val="20"/>
          <w:lang w:val="en-US" w:eastAsia="en-US" w:bidi="ar-SA"/>
        </w:rPr>
        <w:t>Benhaim v. St.-Germain</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2016 SCC 48</w:t>
        </w:r>
      </w:hyperlink>
      <w:r>
        <w:rPr>
          <w:rFonts w:ascii="arial" w:eastAsia="arial" w:hAnsi="arial" w:cs="arial"/>
          <w:color w:val="000000"/>
          <w:sz w:val="20"/>
          <w:lang w:val="en-US" w:eastAsia="en-US" w:bidi="ar-SA"/>
        </w:rPr>
        <w:t>. As Wagner J. put it at para.?37: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It may be useful to recall the many reasons why appellate courts defer to trial courts' findings of fact, which were described at length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paras.?15-18. Deference to factual findings limits the number, length and cost of appeals, which in turn promotes the autonomy and integrity of trial proceedings. Moreover, the law presumes that trial judges and appellate judges are equally capable of justly resolving disputes. Allowing appellate courts free rein to overturn trial courts' factual findings would duplicate judicial proceedings at great expense, without any concomitant guarantee of more just results. Finally, according deference to a trial judge's findings of fact reinforces the notion that they are in the best position to make those findings. Trial judges are immersed in the evidence, they hear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and they are familiar with the case as a whole. Their expertise in weighing large quantities of evidence and making factual findings ought to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This principle of deference is even more imperative in this case. Despite my years of administering the IRSSA, it would be impossible for me to know better than those who have been immersed in the IAP since the IRSSA and with it, the IAP Model were implemented. This is plainly a setting where a deferential approach is both warranted and essential. The Courts are simply not well-placed to make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Similarly, deference is warranted when it comes to legal interpretations of the IAP Model by adjudicators. There is a parallel to be drawn to the deference that courts accord to tribunals interpreting their home statute. While I do not view the Supervising Courts' role on an RFD as analogous to conducting a judicial review of a tribunal decision, the principle is the same: subject matter expertise and familiarity with the relevant governing instruments - and with how they are applied in context - attracts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reject the contention that finding a limited right of judicial recourse amounts to importing a "privative clause" into the IAP. Determining the jurisdiction of the Supervising Courts requires an interpretation of the entire package of documents that governs the IRSSA's administration. Similarly, I reject the concept of "curial review" which connotes an approach to judicial recourse and a standard of review that cannot readily be ascribed to the parties' intentions when negotiating the IRSSA. In my view, the better term and governing approach is that adopted by the Ontario Court of Appeal, namely that "judicial recourse" should be available only where only there arise "very exceptional circumstances". In my view, that is the only approach that is consonant with the intentions of the parties to the IRSSA.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We are left to consider when judicial recourse would be possible if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is interpreted as I have, and as I believe the Court of Appeal for Ontario intends. As Canada pointed out in its written submissions, judicial recourse would be available where a re-review decision of the Chief Adjudicator reflects a patent disregard for the IAP Model's compensation rules, such as a failure to award compensation on the basis of the rubric it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These RFDs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For the following reasons, I conclude that the circumstances of none of the RFDs under consideration involves exceptional circumstances permitting judicial recourse to the Supervising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F-11079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Re-Review Adjudicator found that the Adjudicator did not properly apply the IAP Model when the Adjudicator concluded that harms caused by [XXX] were compensable under the IAP Model. In the Re-Review decision, those harms were considered non-compensable because [XXX] did not have a contract of employment with an IRS, and because the claimant had been delivered out of the care and control of the IRS staff and into the care and control of [XXX].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my view, this case raises two issues: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Re-Review Adjudicator err in effectively granting Canada a level of review it was not entitled to?</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exceptionally unreasonable error of law (i.e. an error so unreasonable that it amounts to a failure to apply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Did the Re-Review Adjudicator erred in effectively granting Canada a level of review it was not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Under the IAP Model, Adjudicators are meant to be the finders of fact. They are then meant to apply the IAP Model to the facts as found by them. Canada can only seek review and re-review on the basis that the IAP Model was improperly applied to the facts as found by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Theoretically, then, if a Re-Review Adjudicator made a decision in Canada's favour and in so doing failed to defer to the facts as found by the Adjudicator, then it could be argued that the Re-Review Adjudicator had given Canada a level of review it was not entitled to under the clear terms of the IRSSA. This might, theoretically, justify Court intervention in clear and exceptional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However, this theoretical basis for intervention is not made out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Pursuant to Schedule D of the IRSSA, compensation under the IAP is available in following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sexual or physical assault was committed on a resident or student of an IRS by an adult, the following tests must be met: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alleged perpetrator an adult employee of the government or a church entity which operated the IRS in question? If so, it does not matter whether their contract of employment was at that IRS.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alleged perpetrator was not an adult employee, were they an adult lawfully on the premises?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assault arise from, or was its commission connected to, the operation of an IRS? This test will be met where it is shown that a relationship was created at the school which led to or facilitated the abuse. If the test is met, the assault need not have been committed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Adjudicator found [XXX] satisfied the definition two ways: pursuant to Part (a) he was "an adult employee of the government" in that he was employed by the Department of Indian Affairs; and pursuant to Part (c) there was sufficient evidence that the relationship was created at the school which led to or facilitated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Review Adjudicator agreed with the Adjudicator. The Re-Review Adjudicator noted at paragraph 19 that he was required to give complete deference to the initial Adjudicator's finding of facts. He was to determine whether the initial Adjudicator applied the IAP Model properly to the facts as found by the initial Adjudicator. "Properly" indicates a correctness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Applying this standard of review, the Re-Review Adjudicator found that the Adjudicator had misapplied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[XXX] did not fall within Part (a) of the test, because the words "an adult employee of the government" were qualified by the words "which operated the IRS in question." As [XXX] was not an employee operating the IRS in question (a fact that was accepted by the Adjudicator), the abuse he perpetrated was not compensable under the IAP.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Further, [XXX] did not fall within Part (c) of the test, because the Adjudicator found as a fact that the Requestor was delivered out of the care and control of the IRS staff and into the care and control of Mr.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claimant has not pointed to any facts found by the Adjudicator that were overturned or not deferred to by the Re-Review Adjudicator. The claimant has not pointed to any facts relied upon by the Re-Review Adjudicator that were not facts found by the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Rather, the Re-Review Adjudicator applied a different interpretation of the IAP Model to the facts as found by the Adjudicator, which he was entitled to do following Canada's request for a 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there an Exceptionally Unreasonable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the J.W. case, Justice Edmond, the Supervising Judge for Manitoba dealt with a case where the Adjudicator had expressly found that she could not make a finding that a claimant's sexual integrity had been violated unless the claimant could prove that the perpetrator had a sexual purpose in grabbing the claimant's penis. The Adjudicator's decision was upheld on review and re-review. In considering his jurisdiction to hear the RFD, Justice Edmond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find that my jurisdiction in reviewing the substantive decisions of IAP adjudicators is confined to ensuring that the Re-Review Adjudicator did not endorse a legal interpretation that is so unreasonable that it amounts to a failure to properly apply the IAP to the facts of a particular case. In my view, this is consistent with Sattva and how Sattva has been applied by other courts in the IRSSA context: see Fontaine v. Canada (Attorney General), </w:t>
      </w:r>
      <w:hyperlink r:id="rId754" w:history="1">
        <w:r>
          <w:rPr>
            <w:rFonts w:ascii="arial" w:eastAsia="arial" w:hAnsi="arial" w:cs="arial"/>
            <w:i/>
            <w:color w:val="0077CC"/>
            <w:sz w:val="20"/>
            <w:u w:val="single"/>
            <w:shd w:val="clear" w:color="auto" w:fill="FFFFFF"/>
            <w:lang w:val="en-US" w:eastAsia="en-US" w:bidi="ar-SA"/>
          </w:rPr>
          <w:t>2014 MBQB 200</w:t>
        </w:r>
      </w:hyperlink>
      <w:r>
        <w:rPr>
          <w:rFonts w:ascii="arial" w:eastAsia="arial" w:hAnsi="arial" w:cs="arial"/>
          <w:color w:val="000000"/>
          <w:sz w:val="20"/>
          <w:lang w:val="en-US" w:eastAsia="en-US" w:bidi="ar-SA"/>
        </w:rPr>
        <w:t xml:space="preserve"> [ </w:t>
      </w:r>
      <w:hyperlink r:id="rId755" w:history="1">
        <w:r>
          <w:rPr>
            <w:rFonts w:ascii="arial" w:eastAsia="arial" w:hAnsi="arial" w:cs="arial"/>
            <w:i/>
            <w:color w:val="0077CC"/>
            <w:sz w:val="20"/>
            <w:u w:val="single"/>
            <w:shd w:val="clear" w:color="auto" w:fill="FFFFFF"/>
            <w:lang w:val="en-US" w:eastAsia="en-US" w:bidi="ar-SA"/>
          </w:rPr>
          <w:t>[2015] 1 CNLR 146</w:t>
        </w:r>
      </w:hyperlink>
      <w:r>
        <w:rPr>
          <w:rFonts w:ascii="arial" w:eastAsia="arial" w:hAnsi="arial" w:cs="arial"/>
          <w:color w:val="000000"/>
          <w:sz w:val="20"/>
          <w:lang w:val="en-US" w:eastAsia="en-US" w:bidi="ar-SA"/>
        </w:rPr>
        <w:t xml:space="preserve">] at paras.?54-56 and Fontaine v. Canada (Attorney General), </w:t>
      </w:r>
      <w:hyperlink r:id="rId760" w:history="1">
        <w:r>
          <w:rPr>
            <w:rFonts w:ascii="arial" w:eastAsia="arial" w:hAnsi="arial" w:cs="arial"/>
            <w:i/>
            <w:color w:val="0077CC"/>
            <w:sz w:val="20"/>
            <w:u w:val="single"/>
            <w:shd w:val="clear" w:color="auto" w:fill="FFFFFF"/>
            <w:lang w:val="en-US" w:eastAsia="en-US" w:bidi="ar-SA"/>
          </w:rPr>
          <w:t>2014 MBCA 93</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[2015] 1 CNLR 162</w:t>
        </w:r>
      </w:hyperlink>
      <w:r>
        <w:rPr>
          <w:rFonts w:ascii="arial" w:eastAsia="arial" w:hAnsi="arial" w:cs="arial"/>
          <w:color w:val="000000"/>
          <w:sz w:val="20"/>
          <w:lang w:val="en-US" w:eastAsia="en-US" w:bidi="ar-SA"/>
        </w:rPr>
        <w:t>] at paras.?37-40.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question here is whether, as a matter of law, the legal conclusions of the Re-Review Adjudicator were so unreasonable as to amount to a failure to properly apply the IAP model. I do not find that this high threshold is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were essentially two legal interpretation issues in this case. First, the IAP Adjudicators were required to consider: "Was the alleged perpetrator an adult employee of the government or a church entity which operated the IRS in question?" The Adjudicator found the words "which operated the IRS in question" did not qualify the words "adult employee of the government." The Re-Review Adjudicator found otherwise. There is nothing exceptionally unreasonable about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Second, the IAP Adjudicators were also required to consider whether [XXX] fell within Part (c) of the test: Did the assault arise from, or was its commission connected to, the operation of an IRS? This test will be met where it is shown that a relationship was created at the school which led to or facilitated the abuse. If the test is met, the assault need not have been committed on the premises. The Re-Review Adjudicator found that these criteria were not satisfied when a claimant was delivered out of the care and control of the IRS staff and into the care and control of the alleged perpetrator. There is nothing exceptionally unreasonable about this conclusion, either. It follows that RFD F-10779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H-13055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my view, this case does not meet the exceptionality requirement to justify judicial recourse. I will address what I see as essentially the two issues raised by this case: whether there was improper reliance on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and whether the adjudicators committed an exceptionally unreasonable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Improper Reliance on Stare Decisis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Under the terms of the IRSSA, claimants are entitled to a hearing. An adjudicator who fails to even consider a claim on its merits because the adjudicator considers themselves bound by a decision in a separate IAP case could be said to have failed to give the claimant the hearing she was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in this case, it seems quite clear that the Adjudicator did not consider himself bound by other IAP decisions. He wrote expressly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there is no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under the IAP, there is though an expressed need in the Model to find some consistency in decisions. I am not bound but find guidance and instruction from some of the previous re-reviews that have dealt with similar cases.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re-review decisions that are notable. They are E5442-10-D-15417 and E-12325. Both are decisions rendered by Chief Adjudicator Shapiro. The decisions were issued on October 22, 2014 and November 17, 2014, respectively. They follow the same reasoning path and provide the same overall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Adjudicator's decision is quite clear that the Adjudicator recognized he was not bound by any prior decisions, but that he had read, considered and analyzed the reasoning applied in those decisions, and agreed with that reasoning. His reasoning pathway is explained, and he does not apply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The exceptionality requirement is therefore not met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Exceptionally Unreasonable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the present case, the Adjudicator gave an award of compensation to the claimant's estate, having found there to be "proven acts" of sexual abuse. The estate seeks additional compensation for "consequential harms". This compensation was denied at all three levels of adjudication, with the Adjudicators considering the proper interpretation of the provision in Schedule D to the IRSSA setting out when adjudicators can grant compensation for compensable harms. That provision (Schedule D, III b. v, at page 8)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standard track, consequential harms and consequential loss of opportunity must be proven on a balance of probabilities and then proven to be plausibly linked to one or more acts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Adjudicator found that Claimant H-13055 had been abused, and found that she suffered harm, including alcoholism. However, there was no direct evidence to "plausibly link" the abuse to the consequential harms. The Adjudicator wrote, "to meet the requirements of a 'plausible link' between the acts and 'remaining components' requires subjective evidence that only a claimant could provide from their own direct evidence." Since Claimant H-13055 was not alive to testify, it was not possible for consequential harms to be proven. The Review Adjudicator and Re-Review Adjudicator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Adjudicators'conclusion is not exceptionally unreasonable. I do not find that the legal conclusion of the IAP Adjudicators - that proof of a "plausible link" between a proven act of abuse and proven suffering requires direct subjective evidence from a claimant - is so unreasonable as to amount to a failure to properly apply the IAP model. I accept that the requirement for testimony from the claimant to establish the existence of that plausible link arises from reading Schedule D in its entirety, including, for example, the requirement that claimants give evidence "in their own words".</w:t>
      </w:r>
      <w:bookmarkStart w:id="290" w:name="Backward_fnref_fnr-50"/>
      <w:hyperlink w:anchor="Forward_fnref_fnr-50" w:history="1">
        <w:r>
          <w:rPr>
            <w:rFonts w:ascii="arial" w:eastAsia="arial" w:hAnsi="arial" w:cs="arial"/>
            <w:b/>
            <w:color w:val="BE161D"/>
            <w:sz w:val="20"/>
            <w:shd w:val="clear" w:color="auto" w:fill="FFFFFF"/>
            <w:vertAlign w:val="superscript"/>
            <w:lang w:val="en-US" w:eastAsia="en-US" w:bidi="ar-SA"/>
          </w:rPr>
          <w:t>50</w:t>
        </w:r>
      </w:hyperlink>
      <w:bookmarkEnd w:id="290"/>
      <w:r>
        <w:rPr>
          <w:rFonts w:ascii="arial" w:eastAsia="arial" w:hAnsi="arial" w:cs="arial"/>
          <w:color w:val="000000"/>
          <w:sz w:val="20"/>
          <w:lang w:val="en-US" w:eastAsia="en-US" w:bidi="ar-SA"/>
        </w:rPr>
        <w:t xml:space="preserve"> I do not find exceptionally unreasonable the alleged error in refusing to admit the evidence of H-13055's husband as to what she was supposed to have told him as an exception to the hearsay rule. In fact, even assuming this was a </w:t>
      </w:r>
      <w:r>
        <w:rPr>
          <w:rFonts w:ascii="arial" w:eastAsia="arial" w:hAnsi="arial" w:cs="arial"/>
          <w:i/>
          <w:color w:val="000000"/>
          <w:sz w:val="20"/>
          <w:lang w:val="en-US" w:eastAsia="en-US" w:bidi="ar-SA"/>
        </w:rPr>
        <w:t>res gestae</w:t>
      </w:r>
      <w:r>
        <w:rPr>
          <w:rFonts w:ascii="arial" w:eastAsia="arial" w:hAnsi="arial" w:cs="arial"/>
          <w:color w:val="000000"/>
          <w:sz w:val="20"/>
          <w:lang w:val="en-US" w:eastAsia="en-US" w:bidi="ar-SA"/>
        </w:rPr>
        <w:t xml:space="preserve"> utterance (which it was not), this is a classic situation where deference is appropriate. The Courts should decline invitations to micromanage the IAP made in the guise of RFDs seeking judicial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C-18694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this case, the claimant and the supporting intervenors argue that the adjudicators applied the wrong test for causation, amounting to an error of law warranting the Supervising Court's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Reading the decision as a whole, the Adjudicator first determined what injuries had been suffered by the claimant. This was not a case of indivisible injuries, as was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After determining the compensable injuries, the Adjudicator assessed the damages that flowed from those injuries. He decided that the claimant was not entitled to compensation for actual loss of income because he would have suffered the income loss regardless of the compensable injuries he suffered. This is a common principle in assessing damages for personal injury: the plaintiff is not to be put in a better position than he would have been without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am not persuaded that the conclusion is wrong in law. It would not be so exceptionally wrong in law as to amount to a failure to apply the IAP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claimant argues that the reasoning of the Adjudicator in this regard was flawed, nevertheless, because the additional causes of delayed entry into the workforce that the Adjudicator relied upon would be applicable to any one who left his or her reserve, with the result that no claimant could ever be eligible for actual income loss. In my view, these are the factual findings of the Adjudicator, which are entitled to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For these reasons, I conclude that there is nothing exceptional about the circumstances of this case warranting judicial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N-10762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my view, this case does not meet the exceptionality requirement. An allegation of reasonable apprehension of bias against the original adjudicator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an exceptional circumstance requiring adjudication by the Supervising Court on an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That issue has, in my view, previously been disposed of by Chief Justice Winkler in the </w:t>
      </w:r>
      <w:r>
        <w:rPr>
          <w:rFonts w:ascii="arial" w:eastAsia="arial" w:hAnsi="arial" w:cs="arial"/>
          <w:i/>
          <w:color w:val="000000"/>
          <w:sz w:val="20"/>
          <w:lang w:val="en-US" w:eastAsia="en-US" w:bidi="ar-SA"/>
        </w:rPr>
        <w:t>SSJSSM</w:t>
      </w:r>
      <w:r>
        <w:rPr>
          <w:rFonts w:ascii="arial" w:eastAsia="arial" w:hAnsi="arial" w:cs="arial"/>
          <w:color w:val="000000"/>
          <w:sz w:val="20"/>
          <w:lang w:val="en-US" w:eastAsia="en-US" w:bidi="ar-SA"/>
        </w:rPr>
        <w:t xml:space="preserve"> RFD.</w:t>
      </w:r>
      <w:bookmarkStart w:id="291" w:name="Backward_fnref_fnr-51"/>
      <w:hyperlink w:anchor="Forward_fnref_fnr-51" w:history="1">
        <w:r>
          <w:rPr>
            <w:rFonts w:ascii="arial" w:eastAsia="arial" w:hAnsi="arial" w:cs="arial"/>
            <w:b/>
            <w:color w:val="BE161D"/>
            <w:sz w:val="20"/>
            <w:shd w:val="clear" w:color="auto" w:fill="FFFFFF"/>
            <w:vertAlign w:val="superscript"/>
            <w:lang w:val="en-US" w:eastAsia="en-US" w:bidi="ar-SA"/>
          </w:rPr>
          <w:t>51</w:t>
        </w:r>
      </w:hyperlink>
      <w:bookmarkEnd w:id="291"/>
      <w:r>
        <w:rPr>
          <w:rFonts w:ascii="arial" w:eastAsia="arial" w:hAnsi="arial" w:cs="arial"/>
          <w:color w:val="000000"/>
          <w:sz w:val="20"/>
          <w:lang w:val="en-US" w:eastAsia="en-US" w:bidi="ar-SA"/>
        </w:rPr>
        <w:t xml:space="preserve"> In that case, Chief Justice Winkler, who was one of the judges who approved the Settlement Agreement and one of the original Supervising Judges and Administrative Judges, was called upon to determine the proper procedure for dealing with an allegation of bias leveled against an IAP adjudicator. The church entity involved had sought recusal of the IAP adjudicator, and when she refused to recuse herself, moved before a judge of the Ontario Superior Court for an injunction. That motion was adjourned pending the determination of the RFD before Chief Justice Winkler.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Chief Justice Winkler first acknowledged that bias or a reasonable apprehension of bias on the part of an adjudicator is incompatible with the proper administration of the IAP. However, he observed that an allegation of bias on the part of an adjudicator "falls squarely within the ambit of the Chief Adjudicator's review mandate."</w:t>
      </w:r>
      <w:bookmarkStart w:id="292" w:name="Backward_fnref_fnr-52"/>
      <w:hyperlink w:anchor="Forward_fnref_fnr-52" w:history="1">
        <w:r>
          <w:rPr>
            <w:rFonts w:ascii="arial" w:eastAsia="arial" w:hAnsi="arial" w:cs="arial"/>
            <w:b/>
            <w:color w:val="BE161D"/>
            <w:sz w:val="20"/>
            <w:shd w:val="clear" w:color="auto" w:fill="FFFFFF"/>
            <w:vertAlign w:val="superscript"/>
            <w:lang w:val="en-US" w:eastAsia="en-US" w:bidi="ar-SA"/>
          </w:rPr>
          <w:t>52</w:t>
        </w:r>
      </w:hyperlink>
      <w:bookmarkEnd w:id="292"/>
      <w:r>
        <w:rPr>
          <w:rFonts w:ascii="arial" w:eastAsia="arial" w:hAnsi="arial" w:cs="arial"/>
          <w:color w:val="000000"/>
          <w:sz w:val="20"/>
          <w:lang w:val="en-US" w:eastAsia="en-US" w:bidi="ar-SA"/>
        </w:rPr>
        <w:t xml:space="preserve"> He further observed that a review by the Chief Adjudicator based on an allegation of bias is available to all parties,</w:t>
      </w:r>
      <w:bookmarkStart w:id="293" w:name="Backward_fnref_fnr-53"/>
      <w:hyperlink w:anchor="Forward_fnref_fnr-53" w:history="1">
        <w:r>
          <w:rPr>
            <w:rFonts w:ascii="arial" w:eastAsia="arial" w:hAnsi="arial" w:cs="arial"/>
            <w:b/>
            <w:color w:val="BE161D"/>
            <w:sz w:val="20"/>
            <w:shd w:val="clear" w:color="auto" w:fill="FFFFFF"/>
            <w:vertAlign w:val="superscript"/>
            <w:lang w:val="en-US" w:eastAsia="en-US" w:bidi="ar-SA"/>
          </w:rPr>
          <w:t>53</w:t>
        </w:r>
      </w:hyperlink>
      <w:bookmarkEnd w:id="293"/>
      <w:r>
        <w:rPr>
          <w:rFonts w:ascii="arial" w:eastAsia="arial" w:hAnsi="arial" w:cs="arial"/>
          <w:color w:val="000000"/>
          <w:sz w:val="20"/>
          <w:lang w:val="en-US" w:eastAsia="en-US" w:bidi="ar-SA"/>
        </w:rPr>
        <w:t xml:space="preserve"> and once the Chief Adjudicator has rendered his or her review decision, there is no general right of appeal.</w:t>
      </w:r>
      <w:bookmarkStart w:id="294" w:name="Backward_fnref_fnr-54"/>
      <w:hyperlink w:anchor="Forward_fnref_fnr-54" w:history="1">
        <w:r>
          <w:rPr>
            <w:rFonts w:ascii="arial" w:eastAsia="arial" w:hAnsi="arial" w:cs="arial"/>
            <w:b/>
            <w:color w:val="BE161D"/>
            <w:sz w:val="20"/>
            <w:shd w:val="clear" w:color="auto" w:fill="FFFFFF"/>
            <w:vertAlign w:val="superscript"/>
            <w:lang w:val="en-US" w:eastAsia="en-US" w:bidi="ar-SA"/>
          </w:rPr>
          <w:t>54</w:t>
        </w:r>
      </w:hyperlink>
      <w:bookmarkEnd w:id="29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It follows, in my view, that the dismissal by the Adjudicator and the Review Adjudicator and Re-Review Adjudicator of an allegation of reasonable apprehension of bias against the Adjudicator does not by itself constitute exceptional circumstances warranting review by the Supervising Court. Rather, the Requestor must show some error in the way that the Chief Adjudicator handled the allegation on review, amounting to a fundamental breach of the rules of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my view, there was no such error in this case. On the one hand, the claimant is correct that the Re-Review Adjudicator misstated his role. That role was not limited to determining whether there was a misapplication of the IAP by the Review Adjudicator, but extended to whether the Adjudicator applied the IAP Model. However, it is clear from the reasons of the Re-Review Adjudicator that in any event he agreed with the legal analysis of the Review Adjudicator as to whether the hearing gave rise to a reasonable apprehension of bias, and whether the doctrine of waiver applied. It is also clear that he listened to the audio recording of the hearing himself, and drew his own conclusion that the Adjudicator's account of the "God" question was supported. Moreover, he found that the Review Adjudicator had correctly determined that the Adjudicator did not misapply the IAP model to the facts he found. In applying a correctness standard to that determination, the Re-Review Adjudicator in effect conducted a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analysis,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R-11791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This RFD involves disclosure that occurred after the initial hearing. When viewed in the context of the bargain struck by the parties in the IRSSA, and the requirement that there be "very exceptional circumstances" in order to give rise to judicial recourse, should such recourse be permitted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As noted above, the Re-Review Adjudicator in this case opined that the updated information "would have had a very significant impact on the Adjudicator's reasoning if it was available to her at the time when the hearing was heard in October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Importantly, however, he drew that conclusion without the benefit of having the updated POI Report before him. I have had the advantage of reviewing the various versions of the POI Report in question in this case, which were appended to the affidavit of Susan Sieg, filed by Canada on the RFD. The latest version of the POI Report that was available to the Adjudicator in this matter indicated that the dates of employment of the POI were "Apr. 1975 - Mar. 1976; Sep. 1, 1976 - Mar. 31, 1977". The version created after the hearing included the same dates, but also contained the following additional information in the "UNCONFIRMED INFORMATION" section, under the heading "Possible Presence at the IRS": "It is believed that [POI] was at Prince Albert IRS from the early 1960s to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At first impression, the updated POI Report contained new information that should have been considered in any thorough review of the case. However, on further analysis it is my view that this additional disclosure does not rise to the level required to engage judicial recourse, having regard to the full circumstances of the case. This evidence is at best inconclusive as to whether the POI was present at the school at the relevant time. Certainly, the evidence as to whether the POI was present at the school on the dates alleged was weighed by the Adjudicator and was one factor she considered. However, the Adjudicator clearly had many concerns about the reliability of the claimant's evidence, independent of the dates when the POI was present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these circumstances, I do not view it as reasonably probable that, if available to the original Adjudicator, the version of the POI Report indicating the "unconfirmed," "possible" presence of the POI at the school on the relevant dates would have led to a different result. I therefore do not see exceptional circumstances permitting recourse to the Supervising Court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 on the RFDs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None of the five Requestors has made out any exceptional circumstances that would warrant intervention by a Supervising Judge. In fact, these cases illustrate the need for the "bright line" threshold established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Further, as noted at the outset of these reasons, hearing these RFDs together has provided an important and useful perspective in that it demonstrated that they amounted to ordinary appeals rather than possessing the "very exceptional circumstances" warranting recourse to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Process and Timelines for Future Judicial Recourse RFDs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noted above, the court invited submissions as to whether it would be appropriate to impose timelines within which any further judicial recourse RFDs should be brought if they are to be heard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idea of timelines for court applications is not foreign to the IRSSA. The court has applied timelines in respect of CEP applications, applications under Article 12 of the IRSSA (regarding recognition of institutions as Indian Residential Schools for the purpose of the IRSSA), and applications regarding Personal Credits (disbursements contemplated from the surplus in the fund for CEP recipients).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IAP applications call out for some finality. It is inconceivable that the administration of the IRSSA could wind down without some time limits for seeking recourse from IAP decisions. The RFD by Claimant R-11791, for example, was brought 18 months after the re-review decision. If future RFDs seeking re-hearings could be brought at any time, the administration of the IRSSA could go on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my view, time limits are fair, and benefit all parties. Accordingly, I make the following directions: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matters in which a Re-Review decision has not yet been released, the deadline for filing any RFD seeking judicial recourse will be 30 days from the release of the Re-Review decision.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those matters in which a Re-Review has already been determined, but no judicial recourse RFD has been filed, the deadline for filing any such RFD shall be 90 days from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also direct that notice of this decision (after redaction for claimant's privacy) should be posted on the Indian Residential Schools Adjudication Secretariat ("IRSAS")'s website. Although I have concluded that the relief sought in these RFDs should not be granted, there may be further RFDs that merit judicial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decline to grant the relief sought in the RFDs.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following directions are made in the event that judicial recourse is sought in further RFDs: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this decision should be posted on the IRSAS's website;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matters in which a Re-Review decision has not yet been released, the deadline for filing any RFD seeking judicial recourse will be 30 days from the release of the Re-Review decision;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those matters in which a Re-Review has already been determined, but no judicial recourse RFD has been filed, the deadline for filing any such RFD shall be 90 days from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These reasons will be redacted before being distributed to counsel so that each claimant's privacy interests are respected.</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Judicial recourse denied; directions re timelines</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for</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judicial recourse applications issued.</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after="240"/>
        <w:rPr>
          <w:rFonts w:ascii="arial" w:eastAsia="arial" w:hAnsi="arial" w:cs="arial"/>
          <w:sz w:val="20"/>
          <w:lang w:val="en-US" w:eastAsia="en-US" w:bidi="ar-SA"/>
        </w:rPr>
      </w:pPr>
      <w:r>
        <w:pict>
          <v:line id="_x0000_s1202" style="position:absolute;z-index:2517985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95"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95"/>
      <w:r>
        <w:rPr>
          <w:rFonts w:ascii="arial" w:eastAsia="arial" w:hAnsi="arial" w:cs="arial"/>
          <w:sz w:val="20"/>
          <w:lang w:val="en-US" w:eastAsia="en-US" w:bidi="ar-SA"/>
        </w:rPr>
        <w:tab/>
      </w:r>
      <w:r>
        <w:rPr>
          <w:rFonts w:ascii="arial" w:eastAsia="arial" w:hAnsi="arial" w:cs="arial"/>
          <w:color w:val="6D6E71"/>
          <w:sz w:val="18"/>
          <w:lang w:val="en-US" w:eastAsia="en-US" w:bidi="ar-SA"/>
        </w:rPr>
        <w:t>Court Administration Protocol, paragraph 1.</w:t>
      </w:r>
    </w:p>
    <w:p>
      <w:pPr>
        <w:spacing w:before="120" w:after="20" w:line="240" w:lineRule="atLeast"/>
        <w:ind w:left="720" w:hanging="360"/>
        <w:jc w:val="both"/>
        <w:rPr>
          <w:rFonts w:ascii="arial" w:eastAsia="arial" w:hAnsi="arial" w:cs="arial"/>
          <w:sz w:val="20"/>
          <w:lang w:val="en-US" w:eastAsia="en-US" w:bidi="ar-SA"/>
        </w:rPr>
      </w:pPr>
      <w:bookmarkStart w:id="296"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9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decisions in these cases, all cited as </w:t>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address topics such as: alleged misconduct by lawyers representing IAP claimants and remedial action taken to protect those claimants (</w:t>
      </w:r>
      <w:hyperlink r:id="rId762" w:history="1">
        <w:r>
          <w:rPr>
            <w:rFonts w:ascii="arial" w:eastAsia="arial" w:hAnsi="arial" w:cs="arial"/>
            <w:i/>
            <w:color w:val="0077CC"/>
            <w:sz w:val="18"/>
            <w:u w:val="single"/>
            <w:shd w:val="clear" w:color="auto" w:fill="FFFFFF"/>
            <w:lang w:val="en-US" w:eastAsia="en-US" w:bidi="ar-SA"/>
          </w:rPr>
          <w:t>2012 BCSC 839</w:t>
        </w:r>
      </w:hyperlink>
      <w:r>
        <w:rPr>
          <w:rFonts w:ascii="arial" w:eastAsia="arial" w:hAnsi="arial" w:cs="arial"/>
          <w:color w:val="6D6E71"/>
          <w:sz w:val="18"/>
          <w:lang w:val="en-US" w:eastAsia="en-US" w:bidi="ar-SA"/>
        </w:rPr>
        <w:t xml:space="preserve">, </w:t>
      </w:r>
      <w:hyperlink r:id="rId763" w:history="1">
        <w:r>
          <w:rPr>
            <w:rFonts w:ascii="arial" w:eastAsia="arial" w:hAnsi="arial" w:cs="arial"/>
            <w:i/>
            <w:color w:val="0077CC"/>
            <w:sz w:val="18"/>
            <w:u w:val="single"/>
            <w:shd w:val="clear" w:color="auto" w:fill="FFFFFF"/>
            <w:lang w:val="en-US" w:eastAsia="en-US" w:bidi="ar-SA"/>
          </w:rPr>
          <w:t>2012 BCSC 1671</w:t>
        </w:r>
      </w:hyperlink>
      <w:r>
        <w:rPr>
          <w:rFonts w:ascii="arial" w:eastAsia="arial" w:hAnsi="arial" w:cs="arial"/>
          <w:color w:val="6D6E71"/>
          <w:sz w:val="18"/>
          <w:lang w:val="en-US" w:eastAsia="en-US" w:bidi="ar-SA"/>
        </w:rPr>
        <w:t xml:space="preserve"> and </w:t>
      </w:r>
      <w:hyperlink r:id="rId764" w:history="1">
        <w:r>
          <w:rPr>
            <w:rFonts w:ascii="arial" w:eastAsia="arial" w:hAnsi="arial" w:cs="arial"/>
            <w:i/>
            <w:color w:val="0077CC"/>
            <w:sz w:val="18"/>
            <w:u w:val="single"/>
            <w:shd w:val="clear" w:color="auto" w:fill="FFFFFF"/>
            <w:lang w:val="en-US" w:eastAsia="en-US" w:bidi="ar-SA"/>
          </w:rPr>
          <w:t>2016 BCSC 1998</w:t>
        </w:r>
      </w:hyperlink>
      <w:r>
        <w:rPr>
          <w:rFonts w:ascii="arial" w:eastAsia="arial" w:hAnsi="arial" w:cs="arial"/>
          <w:color w:val="6D6E71"/>
          <w:sz w:val="18"/>
          <w:lang w:val="en-US" w:eastAsia="en-US" w:bidi="ar-SA"/>
        </w:rPr>
        <w:t xml:space="preserve"> (Blott)); </w:t>
      </w:r>
      <w:hyperlink r:id="rId765" w:history="1">
        <w:r>
          <w:rPr>
            <w:rFonts w:ascii="arial" w:eastAsia="arial" w:hAnsi="arial" w:cs="arial"/>
            <w:i/>
            <w:color w:val="0077CC"/>
            <w:sz w:val="18"/>
            <w:u w:val="single"/>
            <w:shd w:val="clear" w:color="auto" w:fill="FFFFFF"/>
            <w:lang w:val="en-US" w:eastAsia="en-US" w:bidi="ar-SA"/>
          </w:rPr>
          <w:t>2013 BCSC 1888</w:t>
        </w:r>
      </w:hyperlink>
      <w:r>
        <w:rPr>
          <w:rFonts w:ascii="arial" w:eastAsia="arial" w:hAnsi="arial" w:cs="arial"/>
          <w:color w:val="6D6E71"/>
          <w:sz w:val="18"/>
          <w:lang w:val="en-US" w:eastAsia="en-US" w:bidi="ar-SA"/>
        </w:rPr>
        <w:t xml:space="preserve">, </w:t>
      </w:r>
      <w:hyperlink r:id="rId766" w:history="1">
        <w:r>
          <w:rPr>
            <w:rFonts w:ascii="arial" w:eastAsia="arial" w:hAnsi="arial" w:cs="arial"/>
            <w:i/>
            <w:color w:val="0077CC"/>
            <w:sz w:val="18"/>
            <w:u w:val="single"/>
            <w:shd w:val="clear" w:color="auto" w:fill="FFFFFF"/>
            <w:lang w:val="en-US" w:eastAsia="en-US" w:bidi="ar-SA"/>
          </w:rPr>
          <w:t>2013 BCSC 1955</w:t>
        </w:r>
      </w:hyperlink>
      <w:r>
        <w:rPr>
          <w:rFonts w:ascii="arial" w:eastAsia="arial" w:hAnsi="arial" w:cs="arial"/>
          <w:color w:val="6D6E71"/>
          <w:sz w:val="18"/>
          <w:lang w:val="en-US" w:eastAsia="en-US" w:bidi="ar-SA"/>
        </w:rPr>
        <w:t xml:space="preserve">, </w:t>
      </w:r>
      <w:hyperlink r:id="rId767" w:history="1">
        <w:r>
          <w:rPr>
            <w:rFonts w:ascii="arial" w:eastAsia="arial" w:hAnsi="arial" w:cs="arial"/>
            <w:i/>
            <w:color w:val="0077CC"/>
            <w:sz w:val="18"/>
            <w:u w:val="single"/>
            <w:shd w:val="clear" w:color="auto" w:fill="FFFFFF"/>
            <w:lang w:val="en-US" w:eastAsia="en-US" w:bidi="ar-SA"/>
          </w:rPr>
          <w:t>2014 BCSC 1940</w:t>
        </w:r>
      </w:hyperlink>
      <w:r>
        <w:rPr>
          <w:rFonts w:ascii="arial" w:eastAsia="arial" w:hAnsi="arial" w:cs="arial"/>
          <w:color w:val="6D6E71"/>
          <w:sz w:val="18"/>
          <w:lang w:val="en-US" w:eastAsia="en-US" w:bidi="ar-SA"/>
        </w:rPr>
        <w:t xml:space="preserve">, </w:t>
      </w:r>
      <w:hyperlink r:id="rId768" w:history="1">
        <w:r>
          <w:rPr>
            <w:rFonts w:ascii="arial" w:eastAsia="arial" w:hAnsi="arial" w:cs="arial"/>
            <w:i/>
            <w:color w:val="0077CC"/>
            <w:sz w:val="18"/>
            <w:u w:val="single"/>
            <w:shd w:val="clear" w:color="auto" w:fill="FFFFFF"/>
            <w:lang w:val="en-US" w:eastAsia="en-US" w:bidi="ar-SA"/>
          </w:rPr>
          <w:t>2014 BCSC 2531</w:t>
        </w:r>
      </w:hyperlink>
      <w:r>
        <w:rPr>
          <w:rFonts w:ascii="arial" w:eastAsia="arial" w:hAnsi="arial" w:cs="arial"/>
          <w:color w:val="6D6E71"/>
          <w:sz w:val="18"/>
          <w:lang w:val="en-US" w:eastAsia="en-US" w:bidi="ar-SA"/>
        </w:rPr>
        <w:t xml:space="preserve">, </w:t>
      </w:r>
      <w:hyperlink r:id="rId769" w:history="1">
        <w:r>
          <w:rPr>
            <w:rFonts w:ascii="arial" w:eastAsia="arial" w:hAnsi="arial" w:cs="arial"/>
            <w:i/>
            <w:color w:val="0077CC"/>
            <w:sz w:val="18"/>
            <w:u w:val="single"/>
            <w:shd w:val="clear" w:color="auto" w:fill="FFFFFF"/>
            <w:lang w:val="en-US" w:eastAsia="en-US" w:bidi="ar-SA"/>
          </w:rPr>
          <w:t>2015 BCSC 67</w:t>
        </w:r>
      </w:hyperlink>
      <w:r>
        <w:rPr>
          <w:rFonts w:ascii="arial" w:eastAsia="arial" w:hAnsi="arial" w:cs="arial"/>
          <w:color w:val="6D6E71"/>
          <w:sz w:val="18"/>
          <w:lang w:val="en-US" w:eastAsia="en-US" w:bidi="ar-SA"/>
        </w:rPr>
        <w:t xml:space="preserve">, </w:t>
      </w:r>
      <w:hyperlink r:id="rId770" w:history="1">
        <w:r>
          <w:rPr>
            <w:rFonts w:ascii="arial" w:eastAsia="arial" w:hAnsi="arial" w:cs="arial"/>
            <w:i/>
            <w:color w:val="0077CC"/>
            <w:sz w:val="18"/>
            <w:u w:val="single"/>
            <w:shd w:val="clear" w:color="auto" w:fill="FFFFFF"/>
            <w:lang w:val="en-US" w:eastAsia="en-US" w:bidi="ar-SA"/>
          </w:rPr>
          <w:t>2015 BCSC 68</w:t>
        </w:r>
      </w:hyperlink>
      <w:r>
        <w:rPr>
          <w:rFonts w:ascii="arial" w:eastAsia="arial" w:hAnsi="arial" w:cs="arial"/>
          <w:color w:val="6D6E71"/>
          <w:sz w:val="18"/>
          <w:lang w:val="en-US" w:eastAsia="en-US" w:bidi="ar-SA"/>
        </w:rPr>
        <w:t xml:space="preserve">, </w:t>
      </w:r>
      <w:hyperlink r:id="rId771" w:history="1">
        <w:r>
          <w:rPr>
            <w:rFonts w:ascii="arial" w:eastAsia="arial" w:hAnsi="arial" w:cs="arial"/>
            <w:i/>
            <w:color w:val="0077CC"/>
            <w:sz w:val="18"/>
            <w:u w:val="single"/>
            <w:shd w:val="clear" w:color="auto" w:fill="FFFFFF"/>
            <w:lang w:val="en-US" w:eastAsia="en-US" w:bidi="ar-SA"/>
          </w:rPr>
          <w:t>2015 BCSC 597</w:t>
        </w:r>
      </w:hyperlink>
      <w:r>
        <w:rPr>
          <w:rFonts w:ascii="arial" w:eastAsia="arial" w:hAnsi="arial" w:cs="arial"/>
          <w:color w:val="6D6E71"/>
          <w:sz w:val="18"/>
          <w:lang w:val="en-US" w:eastAsia="en-US" w:bidi="ar-SA"/>
        </w:rPr>
        <w:t xml:space="preserve">, </w:t>
      </w:r>
      <w:hyperlink r:id="rId772" w:history="1">
        <w:r>
          <w:rPr>
            <w:rFonts w:ascii="arial" w:eastAsia="arial" w:hAnsi="arial" w:cs="arial"/>
            <w:i/>
            <w:color w:val="0077CC"/>
            <w:sz w:val="18"/>
            <w:u w:val="single"/>
            <w:shd w:val="clear" w:color="auto" w:fill="FFFFFF"/>
            <w:lang w:val="en-US" w:eastAsia="en-US" w:bidi="ar-SA"/>
          </w:rPr>
          <w:t>2015 BCSC 717</w:t>
        </w:r>
      </w:hyperlink>
      <w:r>
        <w:rPr>
          <w:rFonts w:ascii="arial" w:eastAsia="arial" w:hAnsi="arial" w:cs="arial"/>
          <w:color w:val="6D6E71"/>
          <w:sz w:val="18"/>
          <w:lang w:val="en-US" w:eastAsia="en-US" w:bidi="ar-SA"/>
        </w:rPr>
        <w:t xml:space="preserve"> and </w:t>
      </w:r>
      <w:hyperlink r:id="rId773" w:history="1">
        <w:r>
          <w:rPr>
            <w:rFonts w:ascii="arial" w:eastAsia="arial" w:hAnsi="arial" w:cs="arial"/>
            <w:i/>
            <w:color w:val="0077CC"/>
            <w:sz w:val="18"/>
            <w:u w:val="single"/>
            <w:shd w:val="clear" w:color="auto" w:fill="FFFFFF"/>
            <w:lang w:val="en-US" w:eastAsia="en-US" w:bidi="ar-SA"/>
          </w:rPr>
          <w:t>2015 BCSC 1968</w:t>
        </w:r>
      </w:hyperlink>
      <w:r>
        <w:rPr>
          <w:rFonts w:ascii="arial" w:eastAsia="arial" w:hAnsi="arial" w:cs="arial"/>
          <w:color w:val="6D6E71"/>
          <w:sz w:val="18"/>
          <w:lang w:val="en-US" w:eastAsia="en-US" w:bidi="ar-SA"/>
        </w:rPr>
        <w:t xml:space="preserve"> (Bronstein)); the court appointed monitor overcharging Canada for conducting investigations of one those lawyers (</w:t>
      </w:r>
      <w:hyperlink r:id="rId774" w:history="1">
        <w:r>
          <w:rPr>
            <w:rFonts w:ascii="arial" w:eastAsia="arial" w:hAnsi="arial" w:cs="arial"/>
            <w:i/>
            <w:color w:val="0077CC"/>
            <w:sz w:val="18"/>
            <w:u w:val="single"/>
            <w:shd w:val="clear" w:color="auto" w:fill="FFFFFF"/>
            <w:lang w:val="en-US" w:eastAsia="en-US" w:bidi="ar-SA"/>
          </w:rPr>
          <w:t>2016 BCSC 609</w:t>
        </w:r>
      </w:hyperlink>
      <w:r>
        <w:rPr>
          <w:rFonts w:ascii="arial" w:eastAsia="arial" w:hAnsi="arial" w:cs="arial"/>
          <w:color w:val="6D6E71"/>
          <w:sz w:val="18"/>
          <w:lang w:val="en-US" w:eastAsia="en-US" w:bidi="ar-SA"/>
        </w:rPr>
        <w:t xml:space="preserve">); the monitor's authority to settle costs of investigations ( </w:t>
      </w:r>
      <w:hyperlink r:id="rId775" w:history="1">
        <w:r>
          <w:rPr>
            <w:rFonts w:ascii="arial" w:eastAsia="arial" w:hAnsi="arial" w:cs="arial"/>
            <w:i/>
            <w:color w:val="0077CC"/>
            <w:sz w:val="18"/>
            <w:u w:val="single"/>
            <w:shd w:val="clear" w:color="auto" w:fill="FFFFFF"/>
            <w:lang w:val="en-US" w:eastAsia="en-US" w:bidi="ar-SA"/>
          </w:rPr>
          <w:t>2015 BCSC 1969</w:t>
        </w:r>
      </w:hyperlink>
      <w:r>
        <w:rPr>
          <w:rFonts w:ascii="arial" w:eastAsia="arial" w:hAnsi="arial" w:cs="arial"/>
          <w:color w:val="6D6E71"/>
          <w:sz w:val="18"/>
          <w:lang w:val="en-US" w:eastAsia="en-US" w:bidi="ar-SA"/>
        </w:rPr>
        <w:t xml:space="preserve">); whether an IAP claimant's direction that a law firm apply IAP award funds to outstanding accounts constitutes an "assignment" prohibited by Article 18.01 of the Settlement Agreement or s.?67 of the </w:t>
      </w:r>
      <w:r>
        <w:rPr>
          <w:rFonts w:ascii="arial" w:eastAsia="arial" w:hAnsi="arial" w:cs="arial"/>
          <w:i/>
          <w:color w:val="6D6E71"/>
          <w:sz w:val="18"/>
          <w:lang w:val="en-US" w:eastAsia="en-US" w:bidi="ar-SA"/>
        </w:rPr>
        <w:t>Financial Administration Act</w:t>
      </w:r>
      <w:r>
        <w:rPr>
          <w:rFonts w:ascii="arial" w:eastAsia="arial" w:hAnsi="arial" w:cs="arial"/>
          <w:color w:val="6D6E71"/>
          <w:sz w:val="18"/>
          <w:lang w:val="en-US" w:eastAsia="en-US" w:bidi="ar-SA"/>
        </w:rPr>
        <w:t xml:space="preserve"> (</w:t>
      </w:r>
      <w:hyperlink r:id="rId776" w:history="1">
        <w:r>
          <w:rPr>
            <w:rFonts w:ascii="arial" w:eastAsia="arial" w:hAnsi="arial" w:cs="arial"/>
            <w:i/>
            <w:color w:val="0077CC"/>
            <w:sz w:val="18"/>
            <w:u w:val="single"/>
            <w:shd w:val="clear" w:color="auto" w:fill="FFFFFF"/>
            <w:lang w:val="en-US" w:eastAsia="en-US" w:bidi="ar-SA"/>
          </w:rPr>
          <w:t>2016 BCSC 1306</w:t>
        </w:r>
      </w:hyperlink>
      <w:r>
        <w:rPr>
          <w:rFonts w:ascii="arial" w:eastAsia="arial" w:hAnsi="arial" w:cs="arial"/>
          <w:color w:val="6D6E71"/>
          <w:sz w:val="18"/>
          <w:lang w:val="en-US" w:eastAsia="en-US" w:bidi="ar-SA"/>
        </w:rPr>
        <w:t>); admission to the IAP sought after the deadline established by the IRSSA (Directions dated November 20, 2014 and May 5, 2014); whether fees paid to claimants' counsel for work through to November 20, 2005 pursuant to Article 13.06 or 13.08 of the IRSSA should be accounted for in IAP fee assessments conducted by adjudicators under Articles 17 through 19 of the Courts' Implementation Orders (</w:t>
      </w:r>
      <w:hyperlink r:id="rId777" w:history="1">
        <w:r>
          <w:rPr>
            <w:rFonts w:ascii="arial" w:eastAsia="arial" w:hAnsi="arial" w:cs="arial"/>
            <w:i/>
            <w:color w:val="0077CC"/>
            <w:sz w:val="18"/>
            <w:u w:val="single"/>
            <w:shd w:val="clear" w:color="auto" w:fill="FFFFFF"/>
            <w:lang w:val="en-US" w:eastAsia="en-US" w:bidi="ar-SA"/>
          </w:rPr>
          <w:t>2010 BCSC 1208</w:t>
        </w:r>
      </w:hyperlink>
      <w:r>
        <w:rPr>
          <w:rFonts w:ascii="arial" w:eastAsia="arial" w:hAnsi="arial" w:cs="arial"/>
          <w:color w:val="6D6E71"/>
          <w:sz w:val="18"/>
          <w:lang w:val="en-US" w:eastAsia="en-US" w:bidi="ar-SA"/>
        </w:rPr>
        <w:t>); whether Canada should be directed to pay IAP counsel fees to a law firm in circumstances of a dispute between that firm and two former associates (</w:t>
      </w:r>
      <w:hyperlink r:id="rId778" w:history="1">
        <w:r>
          <w:rPr>
            <w:rFonts w:ascii="arial" w:eastAsia="arial" w:hAnsi="arial" w:cs="arial"/>
            <w:i/>
            <w:color w:val="0077CC"/>
            <w:sz w:val="18"/>
            <w:u w:val="single"/>
            <w:shd w:val="clear" w:color="auto" w:fill="FFFFFF"/>
            <w:lang w:val="en-US" w:eastAsia="en-US" w:bidi="ar-SA"/>
          </w:rPr>
          <w:t>2016 BCSC 595</w:t>
        </w:r>
      </w:hyperlink>
      <w:r>
        <w:rPr>
          <w:rFonts w:ascii="arial" w:eastAsia="arial" w:hAnsi="arial" w:cs="arial"/>
          <w:color w:val="6D6E71"/>
          <w:sz w:val="18"/>
          <w:lang w:val="en-US" w:eastAsia="en-US" w:bidi="ar-SA"/>
        </w:rPr>
        <w:t xml:space="preserve"> and </w:t>
      </w:r>
      <w:hyperlink r:id="rId779" w:history="1">
        <w:r>
          <w:rPr>
            <w:rFonts w:ascii="arial" w:eastAsia="arial" w:hAnsi="arial" w:cs="arial"/>
            <w:i/>
            <w:color w:val="0077CC"/>
            <w:sz w:val="18"/>
            <w:u w:val="single"/>
            <w:shd w:val="clear" w:color="auto" w:fill="FFFFFF"/>
            <w:lang w:val="en-US" w:eastAsia="en-US" w:bidi="ar-SA"/>
          </w:rPr>
          <w:t>2016 BCSC 1046</w:t>
        </w:r>
      </w:hyperlink>
      <w:r>
        <w:rPr>
          <w:rFonts w:ascii="arial" w:eastAsia="arial" w:hAnsi="arial" w:cs="arial"/>
          <w:color w:val="6D6E71"/>
          <w:sz w:val="18"/>
          <w:lang w:val="en-US" w:eastAsia="en-US" w:bidi="ar-SA"/>
        </w:rPr>
        <w:t xml:space="preserve">); whether the parties intended that three "successor institutions" be considered Indian Residential Schools for the purposes of the IRSSA ( </w:t>
      </w:r>
      <w:hyperlink r:id="rId780" w:history="1">
        <w:r>
          <w:rPr>
            <w:rFonts w:ascii="arial" w:eastAsia="arial" w:hAnsi="arial" w:cs="arial"/>
            <w:i/>
            <w:color w:val="0077CC"/>
            <w:sz w:val="18"/>
            <w:u w:val="single"/>
            <w:shd w:val="clear" w:color="auto" w:fill="FFFFFF"/>
            <w:lang w:val="en-US" w:eastAsia="en-US" w:bidi="ar-SA"/>
          </w:rPr>
          <w:t>2013 BCSC 756</w:t>
        </w:r>
      </w:hyperlink>
      <w:r>
        <w:rPr>
          <w:rFonts w:ascii="arial" w:eastAsia="arial" w:hAnsi="arial" w:cs="arial"/>
          <w:color w:val="6D6E71"/>
          <w:sz w:val="18"/>
          <w:lang w:val="en-US" w:eastAsia="en-US" w:bidi="ar-SA"/>
        </w:rPr>
        <w:t xml:space="preserve"> [</w:t>
      </w:r>
      <w:hyperlink r:id="rId781" w:history="1">
        <w:r>
          <w:rPr>
            <w:rFonts w:ascii="arial" w:eastAsia="arial" w:hAnsi="arial" w:cs="arial"/>
            <w:i/>
            <w:color w:val="0077CC"/>
            <w:sz w:val="18"/>
            <w:u w:val="single"/>
            <w:shd w:val="clear" w:color="auto" w:fill="FFFFFF"/>
            <w:lang w:val="en-US" w:eastAsia="en-US" w:bidi="ar-SA"/>
          </w:rPr>
          <w:t>[2013] 3 CNLR 251</w:t>
        </w:r>
      </w:hyperlink>
      <w:r>
        <w:rPr>
          <w:rFonts w:ascii="arial" w:eastAsia="arial" w:hAnsi="arial" w:cs="arial"/>
          <w:color w:val="6D6E71"/>
          <w:sz w:val="18"/>
          <w:lang w:val="en-US" w:eastAsia="en-US" w:bidi="ar-SA"/>
        </w:rPr>
        <w:t>]); whether students billeted at private boarding homes qualified for CEP (</w:t>
      </w:r>
      <w:hyperlink r:id="rId782" w:history="1">
        <w:r>
          <w:rPr>
            <w:rFonts w:ascii="arial" w:eastAsia="arial" w:hAnsi="arial" w:cs="arial"/>
            <w:i/>
            <w:color w:val="0077CC"/>
            <w:sz w:val="18"/>
            <w:u w:val="single"/>
            <w:shd w:val="clear" w:color="auto" w:fill="FFFFFF"/>
            <w:lang w:val="en-US" w:eastAsia="en-US" w:bidi="ar-SA"/>
          </w:rPr>
          <w:t>2012 BCSC 313</w:t>
        </w:r>
      </w:hyperlink>
      <w:r>
        <w:rPr>
          <w:rFonts w:ascii="arial" w:eastAsia="arial" w:hAnsi="arial" w:cs="arial"/>
          <w:color w:val="6D6E71"/>
          <w:sz w:val="18"/>
          <w:lang w:val="en-US" w:eastAsia="en-US" w:bidi="ar-SA"/>
        </w:rPr>
        <w:t xml:space="preserve"> and </w:t>
      </w:r>
      <w:hyperlink r:id="rId783" w:history="1">
        <w:r>
          <w:rPr>
            <w:rFonts w:ascii="arial" w:eastAsia="arial" w:hAnsi="arial" w:cs="arial"/>
            <w:i/>
            <w:color w:val="0077CC"/>
            <w:sz w:val="18"/>
            <w:u w:val="single"/>
            <w:shd w:val="clear" w:color="auto" w:fill="FFFFFF"/>
            <w:lang w:val="en-US" w:eastAsia="en-US" w:bidi="ar-SA"/>
          </w:rPr>
          <w:t>2014 BCSC 941</w:t>
        </w:r>
      </w:hyperlink>
      <w:r>
        <w:rPr>
          <w:rFonts w:ascii="arial" w:eastAsia="arial" w:hAnsi="arial" w:cs="arial"/>
          <w:color w:val="6D6E71"/>
          <w:sz w:val="18"/>
          <w:lang w:val="en-US" w:eastAsia="en-US" w:bidi="ar-SA"/>
        </w:rPr>
        <w:t xml:space="preserve"> [</w:t>
      </w:r>
      <w:hyperlink r:id="rId784" w:history="1">
        <w:r>
          <w:rPr>
            <w:rFonts w:ascii="arial" w:eastAsia="arial" w:hAnsi="arial" w:cs="arial"/>
            <w:i/>
            <w:color w:val="0077CC"/>
            <w:sz w:val="18"/>
            <w:u w:val="single"/>
            <w:shd w:val="clear" w:color="auto" w:fill="FFFFFF"/>
            <w:lang w:val="en-US" w:eastAsia="en-US" w:bidi="ar-SA"/>
          </w:rPr>
          <w:t>[2014] 4 CNLR 54</w:t>
        </w:r>
      </w:hyperlink>
      <w:r>
        <w:rPr>
          <w:rFonts w:ascii="arial" w:eastAsia="arial" w:hAnsi="arial" w:cs="arial"/>
          <w:color w:val="6D6E71"/>
          <w:sz w:val="18"/>
          <w:lang w:val="en-US" w:eastAsia="en-US" w:bidi="ar-SA"/>
        </w:rPr>
        <w:t>]); management and ultimately, dismissal on procedural grounds of an application pursuant to Article 12 of the IRSSA to add an institution to the list of Indian Residential Schools (</w:t>
      </w:r>
      <w:hyperlink r:id="rId785" w:history="1">
        <w:r>
          <w:rPr>
            <w:rFonts w:ascii="arial" w:eastAsia="arial" w:hAnsi="arial" w:cs="arial"/>
            <w:i/>
            <w:color w:val="0077CC"/>
            <w:sz w:val="18"/>
            <w:u w:val="single"/>
            <w:shd w:val="clear" w:color="auto" w:fill="FFFFFF"/>
            <w:lang w:val="en-US" w:eastAsia="en-US" w:bidi="ar-SA"/>
          </w:rPr>
          <w:t>2014 BCSC 1939</w:t>
        </w:r>
      </w:hyperlink>
      <w:r>
        <w:rPr>
          <w:rFonts w:ascii="arial" w:eastAsia="arial" w:hAnsi="arial" w:cs="arial"/>
          <w:color w:val="6D6E71"/>
          <w:sz w:val="18"/>
          <w:lang w:val="en-US" w:eastAsia="en-US" w:bidi="ar-SA"/>
        </w:rPr>
        <w:t>); whether assumed class members have standing to challenge the manner in which the IRSSA has been administered (</w:t>
      </w:r>
      <w:hyperlink r:id="rId786" w:history="1">
        <w:r>
          <w:rPr>
            <w:rFonts w:ascii="arial" w:eastAsia="arial" w:hAnsi="arial" w:cs="arial"/>
            <w:i/>
            <w:color w:val="0077CC"/>
            <w:sz w:val="18"/>
            <w:u w:val="single"/>
            <w:shd w:val="clear" w:color="auto" w:fill="FFFFFF"/>
            <w:lang w:val="en-US" w:eastAsia="en-US" w:bidi="ar-SA"/>
          </w:rPr>
          <w:t>2015 BCSC 1386</w:t>
        </w:r>
      </w:hyperlink>
      <w:r>
        <w:rPr>
          <w:rFonts w:ascii="arial" w:eastAsia="arial" w:hAnsi="arial" w:cs="arial"/>
          <w:color w:val="6D6E71"/>
          <w:sz w:val="18"/>
          <w:lang w:val="en-US" w:eastAsia="en-US" w:bidi="ar-SA"/>
        </w:rPr>
        <w:t>); management of the excess from the $2.1B Designated Amount Fund, which funded the CEP (</w:t>
      </w:r>
      <w:hyperlink r:id="rId787" w:history="1">
        <w:r>
          <w:rPr>
            <w:rFonts w:ascii="arial" w:eastAsia="arial" w:hAnsi="arial" w:cs="arial"/>
            <w:i/>
            <w:color w:val="0077CC"/>
            <w:sz w:val="18"/>
            <w:u w:val="single"/>
            <w:shd w:val="clear" w:color="auto" w:fill="FFFFFF"/>
            <w:lang w:val="en-US" w:eastAsia="en-US" w:bidi="ar-SA"/>
          </w:rPr>
          <w:t>2016 BCSC 1996</w:t>
        </w:r>
      </w:hyperlink>
      <w:r>
        <w:rPr>
          <w:rFonts w:ascii="arial" w:eastAsia="arial" w:hAnsi="arial" w:cs="arial"/>
          <w:color w:val="6D6E71"/>
          <w:sz w:val="18"/>
          <w:lang w:val="en-US" w:eastAsia="en-US" w:bidi="ar-SA"/>
        </w:rPr>
        <w:t xml:space="preserve"> and </w:t>
      </w:r>
      <w:hyperlink r:id="rId788" w:history="1">
        <w:r>
          <w:rPr>
            <w:rFonts w:ascii="arial" w:eastAsia="arial" w:hAnsi="arial" w:cs="arial"/>
            <w:i/>
            <w:color w:val="0077CC"/>
            <w:sz w:val="18"/>
            <w:u w:val="single"/>
            <w:shd w:val="clear" w:color="auto" w:fill="FFFFFF"/>
            <w:lang w:val="en-US" w:eastAsia="en-US" w:bidi="ar-SA"/>
          </w:rPr>
          <w:t>2016 BCSC 1997</w:t>
        </w:r>
      </w:hyperlink>
      <w:r>
        <w:rPr>
          <w:rFonts w:ascii="arial" w:eastAsia="arial" w:hAnsi="arial" w:cs="arial"/>
          <w:color w:val="6D6E71"/>
          <w:sz w:val="18"/>
          <w:lang w:val="en-US" w:eastAsia="en-US" w:bidi="ar-SA"/>
        </w:rPr>
        <w:t>); and reconsideration of a CEP appeal (</w:t>
      </w:r>
      <w:hyperlink r:id="rId789" w:history="1">
        <w:r>
          <w:rPr>
            <w:rFonts w:ascii="arial" w:eastAsia="arial" w:hAnsi="arial" w:cs="arial"/>
            <w:i/>
            <w:color w:val="0077CC"/>
            <w:sz w:val="18"/>
            <w:u w:val="single"/>
            <w:shd w:val="clear" w:color="auto" w:fill="FFFFFF"/>
            <w:lang w:val="en-US" w:eastAsia="en-US" w:bidi="ar-SA"/>
          </w:rPr>
          <w:t>2014 BCSC 2272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7"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97"/>
      <w:r>
        <w:rPr>
          <w:rFonts w:ascii="arial" w:eastAsia="arial" w:hAnsi="arial" w:cs="arial"/>
          <w:sz w:val="20"/>
          <w:lang w:val="en-US" w:eastAsia="en-US" w:bidi="ar-SA"/>
        </w:rPr>
        <w:tab/>
      </w:r>
      <w:r>
        <w:rPr>
          <w:rFonts w:ascii="arial" w:eastAsia="arial" w:hAnsi="arial" w:cs="arial"/>
          <w:color w:val="6D6E71"/>
          <w:sz w:val="18"/>
          <w:lang w:val="en-US" w:eastAsia="en-US" w:bidi="ar-SA"/>
        </w:rPr>
        <w:t>Article 5.09 of the IRSSA provides that a CEP applicant whose claim has been denied in whole or in part can appeal to the National Administration Committee ("NAC"), and that if the NAC denies the appeal in whole or in part, "the applicant may apply to the Appropriate Court for a determination of the issue". In order to promote consistency in the determination of the CEP Court Appeals, it was decided that I would be the sole Supervising Judge to hear them.</w:t>
      </w:r>
    </w:p>
    <w:p>
      <w:pPr>
        <w:spacing w:before="120" w:after="20" w:line="240" w:lineRule="atLeast"/>
        <w:ind w:left="720" w:hanging="360"/>
        <w:jc w:val="both"/>
        <w:rPr>
          <w:rFonts w:ascii="arial" w:eastAsia="arial" w:hAnsi="arial" w:cs="arial"/>
          <w:sz w:val="20"/>
          <w:lang w:val="en-US" w:eastAsia="en-US" w:bidi="ar-SA"/>
        </w:rPr>
      </w:pPr>
      <w:bookmarkStart w:id="298"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98"/>
      <w:r>
        <w:rPr>
          <w:rFonts w:ascii="arial" w:eastAsia="arial" w:hAnsi="arial" w:cs="arial"/>
          <w:sz w:val="20"/>
          <w:lang w:val="en-US" w:eastAsia="en-US" w:bidi="ar-SA"/>
        </w:rPr>
        <w:tab/>
      </w:r>
      <w:r>
        <w:rPr>
          <w:rFonts w:ascii="arial" w:eastAsia="arial" w:hAnsi="arial" w:cs="arial"/>
          <w:color w:val="6D6E71"/>
          <w:sz w:val="18"/>
          <w:lang w:val="en-US" w:eastAsia="en-US" w:bidi="ar-SA"/>
        </w:rPr>
        <w:t>For reasons set out below, I prefer the term "judicial recourse" to "curial review".</w:t>
      </w:r>
    </w:p>
    <w:p>
      <w:pPr>
        <w:spacing w:before="120" w:after="20" w:line="240" w:lineRule="atLeast"/>
        <w:ind w:left="720" w:hanging="360"/>
        <w:jc w:val="both"/>
        <w:rPr>
          <w:rFonts w:ascii="arial" w:eastAsia="arial" w:hAnsi="arial" w:cs="arial"/>
          <w:sz w:val="20"/>
          <w:lang w:val="en-US" w:eastAsia="en-US" w:bidi="ar-SA"/>
        </w:rPr>
      </w:pPr>
      <w:bookmarkStart w:id="299"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99"/>
      <w:r>
        <w:rPr>
          <w:rFonts w:ascii="arial" w:eastAsia="arial" w:hAnsi="arial" w:cs="arial"/>
          <w:sz w:val="20"/>
          <w:lang w:val="en-US" w:eastAsia="en-US" w:bidi="ar-SA"/>
        </w:rPr>
        <w:tab/>
      </w:r>
      <w:hyperlink r:id="rId751" w:history="1">
        <w:r>
          <w:rPr>
            <w:rFonts w:ascii="arial" w:eastAsia="arial" w:hAnsi="arial" w:cs="arial"/>
            <w:i/>
            <w:color w:val="0077CC"/>
            <w:sz w:val="18"/>
            <w:u w:val="single"/>
            <w:shd w:val="clear" w:color="auto" w:fill="FFFFFF"/>
            <w:lang w:val="en-US" w:eastAsia="en-US" w:bidi="ar-SA"/>
          </w:rPr>
          <w:t>2012 ONCA 471</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00"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30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para.?53.</w:t>
      </w:r>
    </w:p>
    <w:p>
      <w:pPr>
        <w:spacing w:before="120" w:after="20" w:line="240" w:lineRule="atLeast"/>
        <w:ind w:left="720" w:hanging="360"/>
        <w:jc w:val="both"/>
        <w:rPr>
          <w:rFonts w:ascii="arial" w:eastAsia="arial" w:hAnsi="arial" w:cs="arial"/>
          <w:sz w:val="20"/>
          <w:lang w:val="en-US" w:eastAsia="en-US" w:bidi="ar-SA"/>
        </w:rPr>
      </w:pPr>
      <w:bookmarkStart w:id="301"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301"/>
      <w:r>
        <w:rPr>
          <w:rFonts w:ascii="arial" w:eastAsia="arial" w:hAnsi="arial" w:cs="arial"/>
          <w:sz w:val="20"/>
          <w:lang w:val="en-US" w:eastAsia="en-US" w:bidi="ar-SA"/>
        </w:rPr>
        <w:tab/>
      </w:r>
      <w:r>
        <w:rPr>
          <w:rFonts w:ascii="arial" w:eastAsia="arial" w:hAnsi="arial" w:cs="arial"/>
          <w:color w:val="6D6E71"/>
          <w:sz w:val="18"/>
          <w:lang w:val="en-US" w:eastAsia="en-US" w:bidi="ar-SA"/>
        </w:rPr>
        <w:t>IRSSA, Section 18.06</w:t>
      </w:r>
    </w:p>
    <w:p>
      <w:pPr>
        <w:spacing w:before="120" w:after="20" w:line="240" w:lineRule="atLeast"/>
        <w:ind w:left="720" w:hanging="360"/>
        <w:jc w:val="both"/>
        <w:rPr>
          <w:rFonts w:ascii="arial" w:eastAsia="arial" w:hAnsi="arial" w:cs="arial"/>
          <w:sz w:val="20"/>
          <w:lang w:val="en-US" w:eastAsia="en-US" w:bidi="ar-SA"/>
        </w:rPr>
      </w:pPr>
      <w:bookmarkStart w:id="302"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302"/>
      <w:r>
        <w:rPr>
          <w:rFonts w:ascii="arial" w:eastAsia="arial" w:hAnsi="arial" w:cs="arial"/>
          <w:sz w:val="20"/>
          <w:lang w:val="en-US" w:eastAsia="en-US" w:bidi="ar-SA"/>
        </w:rPr>
        <w:tab/>
      </w:r>
      <w:r>
        <w:rPr>
          <w:rFonts w:ascii="arial" w:eastAsia="arial" w:hAnsi="arial" w:cs="arial"/>
          <w:color w:val="6D6E71"/>
          <w:sz w:val="18"/>
          <w:lang w:val="en-US" w:eastAsia="en-US" w:bidi="ar-SA"/>
        </w:rPr>
        <w:t>IRSSA, Section 4.11(14)</w:t>
      </w:r>
    </w:p>
    <w:p>
      <w:pPr>
        <w:spacing w:before="120" w:after="20" w:line="240" w:lineRule="atLeast"/>
        <w:ind w:left="720" w:hanging="360"/>
        <w:jc w:val="both"/>
        <w:rPr>
          <w:rFonts w:ascii="arial" w:eastAsia="arial" w:hAnsi="arial" w:cs="arial"/>
          <w:sz w:val="20"/>
          <w:lang w:val="en-US" w:eastAsia="en-US" w:bidi="ar-SA"/>
        </w:rPr>
      </w:pPr>
      <w:bookmarkStart w:id="303"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303"/>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(AG)</w:t>
      </w:r>
      <w:r>
        <w:rPr>
          <w:rFonts w:ascii="arial" w:eastAsia="arial" w:hAnsi="arial" w:cs="arial"/>
          <w:color w:val="6D6E71"/>
          <w:sz w:val="18"/>
          <w:lang w:val="en-US" w:eastAsia="en-US" w:bidi="ar-SA"/>
        </w:rPr>
        <w:t xml:space="preserve"> (20 November 2013) BCSC L051875 at paras 53-57, upheld in </w:t>
      </w:r>
      <w:r>
        <w:rPr>
          <w:rFonts w:ascii="arial" w:eastAsia="arial" w:hAnsi="arial" w:cs="arial"/>
          <w:i/>
          <w:color w:val="6D6E71"/>
          <w:sz w:val="18"/>
          <w:lang w:val="en-US" w:eastAsia="en-US" w:bidi="ar-SA"/>
        </w:rPr>
        <w:t>Myers v Canada (Attorney General),</w:t>
      </w:r>
      <w:hyperlink r:id="rId790" w:history="1">
        <w:r>
          <w:rPr>
            <w:rFonts w:ascii="arial" w:eastAsia="arial" w:hAnsi="arial" w:cs="arial"/>
            <w:i/>
            <w:color w:val="0077CC"/>
            <w:sz w:val="18"/>
            <w:u w:val="single"/>
            <w:shd w:val="clear" w:color="auto" w:fill="FFFFFF"/>
            <w:lang w:val="en-US" w:eastAsia="en-US" w:bidi="ar-SA"/>
          </w:rPr>
          <w:t>2015 BCCA 95</w:t>
        </w:r>
      </w:hyperlink>
      <w:r>
        <w:rPr>
          <w:rFonts w:ascii="arial" w:eastAsia="arial" w:hAnsi="arial" w:cs="arial"/>
          <w:color w:val="6D6E71"/>
          <w:sz w:val="18"/>
          <w:lang w:val="en-US" w:eastAsia="en-US" w:bidi="ar-SA"/>
        </w:rPr>
        <w:t xml:space="preserve">, </w:t>
      </w:r>
      <w:hyperlink r:id="rId791" w:history="1">
        <w:r>
          <w:rPr>
            <w:rFonts w:ascii="arial" w:eastAsia="arial" w:hAnsi="arial" w:cs="arial"/>
            <w:i/>
            <w:color w:val="0077CC"/>
            <w:sz w:val="18"/>
            <w:u w:val="single"/>
            <w:shd w:val="clear" w:color="auto" w:fill="FFFFFF"/>
            <w:lang w:val="en-US" w:eastAsia="en-US" w:bidi="ar-SA"/>
          </w:rPr>
          <w:t>[2015] 2 CNLR 175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04"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04"/>
      <w:r>
        <w:rPr>
          <w:rFonts w:ascii="arial" w:eastAsia="arial" w:hAnsi="arial" w:cs="arial"/>
          <w:sz w:val="20"/>
          <w:lang w:val="en-US" w:eastAsia="en-US" w:bidi="ar-SA"/>
        </w:rPr>
        <w:tab/>
      </w:r>
      <w:r>
        <w:rPr>
          <w:rFonts w:ascii="arial" w:eastAsia="arial" w:hAnsi="arial" w:cs="arial"/>
          <w:color w:val="6D6E71"/>
          <w:sz w:val="18"/>
          <w:lang w:val="en-US" w:eastAsia="en-US" w:bidi="ar-SA"/>
        </w:rPr>
        <w:t>IRSSA, Section 13.13.</w:t>
      </w:r>
    </w:p>
    <w:p>
      <w:pPr>
        <w:spacing w:before="120" w:after="20" w:line="240" w:lineRule="atLeast"/>
        <w:ind w:left="720" w:hanging="360"/>
        <w:jc w:val="both"/>
        <w:rPr>
          <w:rFonts w:ascii="arial" w:eastAsia="arial" w:hAnsi="arial" w:cs="arial"/>
          <w:sz w:val="20"/>
          <w:lang w:val="en-US" w:eastAsia="en-US" w:bidi="ar-SA"/>
        </w:rPr>
      </w:pPr>
      <w:bookmarkStart w:id="305"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305"/>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62" w:history="1">
        <w:r>
          <w:rPr>
            <w:rFonts w:ascii="arial" w:eastAsia="arial" w:hAnsi="arial" w:cs="arial"/>
            <w:i/>
            <w:color w:val="0077CC"/>
            <w:sz w:val="18"/>
            <w:u w:val="single"/>
            <w:shd w:val="clear" w:color="auto" w:fill="FFFFFF"/>
            <w:lang w:val="en-US" w:eastAsia="en-US" w:bidi="ar-SA"/>
          </w:rPr>
          <w:t>2012 BCSC 839</w:t>
        </w:r>
      </w:hyperlink>
      <w:r>
        <w:rPr>
          <w:rFonts w:ascii="arial" w:eastAsia="arial" w:hAnsi="arial" w:cs="arial"/>
          <w:color w:val="6D6E71"/>
          <w:sz w:val="18"/>
          <w:lang w:val="en-US" w:eastAsia="en-US" w:bidi="ar-SA"/>
        </w:rPr>
        <w:t>, at para?29-30.</w:t>
      </w:r>
    </w:p>
    <w:p>
      <w:pPr>
        <w:spacing w:before="120" w:after="20" w:line="240" w:lineRule="atLeast"/>
        <w:ind w:left="720" w:hanging="360"/>
        <w:jc w:val="both"/>
        <w:rPr>
          <w:rFonts w:ascii="arial" w:eastAsia="arial" w:hAnsi="arial" w:cs="arial"/>
          <w:sz w:val="20"/>
          <w:lang w:val="en-US" w:eastAsia="en-US" w:bidi="ar-SA"/>
        </w:rPr>
      </w:pPr>
      <w:bookmarkStart w:id="306"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306"/>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62" w:history="1">
        <w:r>
          <w:rPr>
            <w:rFonts w:ascii="arial" w:eastAsia="arial" w:hAnsi="arial" w:cs="arial"/>
            <w:i/>
            <w:color w:val="0077CC"/>
            <w:sz w:val="18"/>
            <w:u w:val="single"/>
            <w:shd w:val="clear" w:color="auto" w:fill="FFFFFF"/>
            <w:lang w:val="en-US" w:eastAsia="en-US" w:bidi="ar-SA"/>
          </w:rPr>
          <w:t>2012 BCSC 839</w:t>
        </w:r>
      </w:hyperlink>
      <w:r>
        <w:rPr>
          <w:rFonts w:ascii="arial" w:eastAsia="arial" w:hAnsi="arial" w:cs="arial"/>
          <w:color w:val="6D6E71"/>
          <w:sz w:val="18"/>
          <w:lang w:val="en-US" w:eastAsia="en-US" w:bidi="ar-SA"/>
        </w:rPr>
        <w:t xml:space="preserve"> at para?131.</w:t>
      </w:r>
    </w:p>
    <w:p>
      <w:pPr>
        <w:spacing w:before="120" w:after="20" w:line="240" w:lineRule="atLeast"/>
        <w:ind w:left="720" w:hanging="360"/>
        <w:jc w:val="both"/>
        <w:rPr>
          <w:rFonts w:ascii="arial" w:eastAsia="arial" w:hAnsi="arial" w:cs="arial"/>
          <w:sz w:val="20"/>
          <w:lang w:val="en-US" w:eastAsia="en-US" w:bidi="ar-SA"/>
        </w:rPr>
      </w:pPr>
      <w:bookmarkStart w:id="307"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307"/>
      <w:r>
        <w:rPr>
          <w:rFonts w:ascii="arial" w:eastAsia="arial" w:hAnsi="arial" w:cs="arial"/>
          <w:sz w:val="20"/>
          <w:lang w:val="en-US" w:eastAsia="en-US" w:bidi="ar-SA"/>
        </w:rPr>
        <w:tab/>
      </w:r>
      <w:r>
        <w:rPr>
          <w:rFonts w:ascii="arial" w:eastAsia="arial" w:hAnsi="arial" w:cs="arial"/>
          <w:color w:val="6D6E71"/>
          <w:sz w:val="18"/>
          <w:lang w:val="en-US" w:eastAsia="en-US" w:bidi="ar-SA"/>
        </w:rPr>
        <w:t>IRSSA Schedule D ["</w:t>
      </w:r>
      <w:r>
        <w:rPr>
          <w:rFonts w:ascii="arial" w:eastAsia="arial" w:hAnsi="arial" w:cs="arial"/>
          <w:i/>
          <w:color w:val="6D6E71"/>
          <w:sz w:val="18"/>
          <w:lang w:val="en-US" w:eastAsia="en-US" w:bidi="ar-SA"/>
        </w:rPr>
        <w:t>IAP Model</w:t>
      </w:r>
      <w:r>
        <w:rPr>
          <w:rFonts w:ascii="arial" w:eastAsia="arial" w:hAnsi="arial" w:cs="arial"/>
          <w:color w:val="6D6E71"/>
          <w:sz w:val="18"/>
          <w:lang w:val="en-US" w:eastAsia="en-US" w:bidi="ar-SA"/>
        </w:rPr>
        <w:t>'] at para?III (e) (ii), page 9.</w:t>
      </w:r>
    </w:p>
    <w:p>
      <w:pPr>
        <w:spacing w:before="120" w:after="20" w:line="240" w:lineRule="atLeast"/>
        <w:ind w:left="720" w:hanging="360"/>
        <w:jc w:val="both"/>
        <w:rPr>
          <w:rFonts w:ascii="arial" w:eastAsia="arial" w:hAnsi="arial" w:cs="arial"/>
          <w:sz w:val="20"/>
          <w:lang w:val="en-US" w:eastAsia="en-US" w:bidi="ar-SA"/>
        </w:rPr>
      </w:pPr>
      <w:bookmarkStart w:id="308"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308"/>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Appendix IX, page 31.</w:t>
      </w:r>
    </w:p>
    <w:p>
      <w:pPr>
        <w:spacing w:before="120" w:after="20" w:line="240" w:lineRule="atLeast"/>
        <w:ind w:left="720" w:hanging="360"/>
        <w:jc w:val="both"/>
        <w:rPr>
          <w:rFonts w:ascii="arial" w:eastAsia="arial" w:hAnsi="arial" w:cs="arial"/>
          <w:sz w:val="20"/>
          <w:lang w:val="en-US" w:eastAsia="en-US" w:bidi="ar-SA"/>
        </w:rPr>
      </w:pPr>
      <w:bookmarkStart w:id="309"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309"/>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para?III (k), pages 13 - 14.</w:t>
      </w:r>
    </w:p>
    <w:p>
      <w:pPr>
        <w:spacing w:before="120" w:after="20" w:line="240" w:lineRule="atLeast"/>
        <w:ind w:left="720" w:hanging="360"/>
        <w:jc w:val="both"/>
        <w:rPr>
          <w:rFonts w:ascii="arial" w:eastAsia="arial" w:hAnsi="arial" w:cs="arial"/>
          <w:sz w:val="20"/>
          <w:lang w:val="en-US" w:eastAsia="en-US" w:bidi="ar-SA"/>
        </w:rPr>
      </w:pPr>
      <w:bookmarkStart w:id="310"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310"/>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Appendix XII, pages 45 - 46.</w:t>
      </w:r>
    </w:p>
    <w:p>
      <w:pPr>
        <w:spacing w:before="120" w:after="20" w:line="240" w:lineRule="atLeast"/>
        <w:ind w:left="720" w:hanging="360"/>
        <w:jc w:val="both"/>
        <w:rPr>
          <w:rFonts w:ascii="arial" w:eastAsia="arial" w:hAnsi="arial" w:cs="arial"/>
          <w:sz w:val="20"/>
          <w:lang w:val="en-US" w:eastAsia="en-US" w:bidi="ar-SA"/>
        </w:rPr>
      </w:pPr>
      <w:bookmarkStart w:id="311"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311"/>
      <w:r>
        <w:rPr>
          <w:rFonts w:ascii="arial" w:eastAsia="arial" w:hAnsi="arial" w:cs="arial"/>
          <w:sz w:val="20"/>
          <w:lang w:val="en-US" w:eastAsia="en-US" w:bidi="ar-SA"/>
        </w:rPr>
        <w:tab/>
      </w:r>
      <w:r>
        <w:rPr>
          <w:rFonts w:ascii="arial" w:eastAsia="arial" w:hAnsi="arial" w:cs="arial"/>
          <w:color w:val="6D6E71"/>
          <w:sz w:val="18"/>
          <w:lang w:val="en-US" w:eastAsia="en-US" w:bidi="ar-SA"/>
        </w:rPr>
        <w:t>See Schedule D, Appendix V, on p.?24.</w:t>
      </w:r>
    </w:p>
    <w:p>
      <w:pPr>
        <w:spacing w:before="120" w:after="20" w:line="240" w:lineRule="atLeast"/>
        <w:ind w:left="720" w:hanging="360"/>
        <w:jc w:val="both"/>
        <w:rPr>
          <w:rFonts w:ascii="arial" w:eastAsia="arial" w:hAnsi="arial" w:cs="arial"/>
          <w:sz w:val="20"/>
          <w:lang w:val="en-US" w:eastAsia="en-US" w:bidi="ar-SA"/>
        </w:rPr>
      </w:pPr>
      <w:bookmarkStart w:id="312"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312"/>
      <w:r>
        <w:rPr>
          <w:rFonts w:ascii="arial" w:eastAsia="arial" w:hAnsi="arial" w:cs="arial"/>
          <w:sz w:val="20"/>
          <w:lang w:val="en-US" w:eastAsia="en-US" w:bidi="ar-SA"/>
        </w:rPr>
        <w:tab/>
      </w:r>
      <w:r>
        <w:rPr>
          <w:rFonts w:ascii="arial" w:eastAsia="arial" w:hAnsi="arial" w:cs="arial"/>
          <w:color w:val="6D6E71"/>
          <w:sz w:val="18"/>
          <w:lang w:val="en-US" w:eastAsia="en-US" w:bidi="ar-SA"/>
        </w:rPr>
        <w:t>See Schedule D, Appendix XIII, on p.?48.</w:t>
      </w:r>
    </w:p>
    <w:p>
      <w:pPr>
        <w:spacing w:before="120" w:after="20" w:line="240" w:lineRule="atLeast"/>
        <w:ind w:left="720" w:hanging="360"/>
        <w:jc w:val="both"/>
        <w:rPr>
          <w:rFonts w:ascii="arial" w:eastAsia="arial" w:hAnsi="arial" w:cs="arial"/>
          <w:sz w:val="20"/>
          <w:lang w:val="en-US" w:eastAsia="en-US" w:bidi="ar-SA"/>
        </w:rPr>
      </w:pPr>
      <w:bookmarkStart w:id="313"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313"/>
      <w:r>
        <w:rPr>
          <w:rFonts w:ascii="arial" w:eastAsia="arial" w:hAnsi="arial" w:cs="arial"/>
          <w:sz w:val="20"/>
          <w:lang w:val="en-US" w:eastAsia="en-US" w:bidi="ar-SA"/>
        </w:rPr>
        <w:tab/>
      </w:r>
      <w:r>
        <w:rPr>
          <w:rFonts w:ascii="arial" w:eastAsia="arial" w:hAnsi="arial" w:cs="arial"/>
          <w:color w:val="6D6E71"/>
          <w:sz w:val="18"/>
          <w:lang w:val="en-US" w:eastAsia="en-US" w:bidi="ar-SA"/>
        </w:rPr>
        <w:t>For the Chief Adjudicator's responsibility for training adjudicators, see Schedule D, III(s)(i) on p.?17; for the Chief Adjudicator's responsibility to promote consistency, see Schedule D, III(m)(ii) on p.?14; for the role of training materials in supporting the hearing process, see Schedule D, Appendix X, on p.?39-40.</w:t>
      </w:r>
    </w:p>
    <w:p>
      <w:pPr>
        <w:spacing w:before="120" w:after="20" w:line="240" w:lineRule="atLeast"/>
        <w:ind w:left="720" w:hanging="360"/>
        <w:jc w:val="both"/>
        <w:rPr>
          <w:rFonts w:ascii="arial" w:eastAsia="arial" w:hAnsi="arial" w:cs="arial"/>
          <w:sz w:val="20"/>
          <w:lang w:val="en-US" w:eastAsia="en-US" w:bidi="ar-SA"/>
        </w:rPr>
      </w:pPr>
      <w:bookmarkStart w:id="314"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314"/>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92" w:history="1">
        <w:r>
          <w:rPr>
            <w:rFonts w:ascii="arial" w:eastAsia="arial" w:hAnsi="arial" w:cs="arial"/>
            <w:i/>
            <w:color w:val="0077CC"/>
            <w:sz w:val="18"/>
            <w:u w:val="single"/>
            <w:shd w:val="clear" w:color="auto" w:fill="FFFFFF"/>
            <w:lang w:val="en-US" w:eastAsia="en-US" w:bidi="ar-SA"/>
          </w:rPr>
          <w:t>2016 ONCA 241</w:t>
        </w:r>
      </w:hyperlink>
      <w:r>
        <w:rPr>
          <w:rFonts w:ascii="arial" w:eastAsia="arial" w:hAnsi="arial" w:cs="arial"/>
          <w:color w:val="6D6E71"/>
          <w:sz w:val="18"/>
          <w:lang w:val="en-US" w:eastAsia="en-US" w:bidi="ar-SA"/>
        </w:rPr>
        <w:t xml:space="preserve">, </w:t>
      </w:r>
      <w:hyperlink r:id="rId792" w:history="1">
        <w:r>
          <w:rPr>
            <w:rFonts w:ascii="arial" w:eastAsia="arial" w:hAnsi="arial" w:cs="arial"/>
            <w:i/>
            <w:color w:val="0077CC"/>
            <w:sz w:val="18"/>
            <w:u w:val="single"/>
            <w:shd w:val="clear" w:color="auto" w:fill="FFFFFF"/>
            <w:lang w:val="en-US" w:eastAsia="en-US" w:bidi="ar-SA"/>
          </w:rPr>
          <w:t>397 DLR (4th) 243</w:t>
        </w:r>
      </w:hyperlink>
      <w:r>
        <w:rPr>
          <w:rFonts w:ascii="arial" w:eastAsia="arial" w:hAnsi="arial" w:cs="arial"/>
          <w:color w:val="6D6E71"/>
          <w:sz w:val="18"/>
          <w:lang w:val="en-US" w:eastAsia="en-US" w:bidi="ar-SA"/>
        </w:rPr>
        <w:t xml:space="preserve"> [[2016]] 3 CNLR 72] at para?48.</w:t>
      </w:r>
    </w:p>
    <w:p>
      <w:pPr>
        <w:spacing w:before="120" w:after="20" w:line="240" w:lineRule="atLeast"/>
        <w:ind w:left="720" w:hanging="360"/>
        <w:jc w:val="both"/>
        <w:rPr>
          <w:rFonts w:ascii="arial" w:eastAsia="arial" w:hAnsi="arial" w:cs="arial"/>
          <w:sz w:val="20"/>
          <w:lang w:val="en-US" w:eastAsia="en-US" w:bidi="ar-SA"/>
        </w:rPr>
      </w:pPr>
      <w:bookmarkStart w:id="315"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315"/>
      <w:r>
        <w:rPr>
          <w:rFonts w:ascii="arial" w:eastAsia="arial" w:hAnsi="arial" w:cs="arial"/>
          <w:sz w:val="20"/>
          <w:lang w:val="en-US" w:eastAsia="en-US" w:bidi="ar-SA"/>
        </w:rPr>
        <w:tab/>
      </w:r>
      <w:r>
        <w:rPr>
          <w:rFonts w:ascii="arial" w:eastAsia="arial" w:hAnsi="arial" w:cs="arial"/>
          <w:i/>
          <w:color w:val="6D6E71"/>
          <w:sz w:val="18"/>
          <w:lang w:val="en-US" w:eastAsia="en-US" w:bidi="ar-SA"/>
        </w:rPr>
        <w:t>Schachter ONCA</w:t>
      </w:r>
      <w:r>
        <w:rPr>
          <w:rFonts w:ascii="arial" w:eastAsia="arial" w:hAnsi="arial" w:cs="arial"/>
          <w:color w:val="6D6E71"/>
          <w:sz w:val="18"/>
          <w:lang w:val="en-US" w:eastAsia="en-US" w:bidi="ar-SA"/>
        </w:rPr>
        <w:t xml:space="preserve"> at para?54.</w:t>
      </w:r>
    </w:p>
    <w:p>
      <w:pPr>
        <w:spacing w:before="120" w:after="20" w:line="240" w:lineRule="atLeast"/>
        <w:ind w:left="720" w:hanging="360"/>
        <w:jc w:val="both"/>
        <w:rPr>
          <w:rFonts w:ascii="arial" w:eastAsia="arial" w:hAnsi="arial" w:cs="arial"/>
          <w:sz w:val="20"/>
          <w:lang w:val="en-US" w:eastAsia="en-US" w:bidi="ar-SA"/>
        </w:rPr>
      </w:pPr>
      <w:bookmarkStart w:id="316"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316"/>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para?78.</w:t>
      </w:r>
    </w:p>
    <w:p>
      <w:pPr>
        <w:spacing w:before="120" w:after="20" w:line="240" w:lineRule="atLeast"/>
        <w:ind w:left="720" w:hanging="360"/>
        <w:jc w:val="both"/>
        <w:rPr>
          <w:rFonts w:ascii="arial" w:eastAsia="arial" w:hAnsi="arial" w:cs="arial"/>
          <w:sz w:val="20"/>
          <w:lang w:val="en-US" w:eastAsia="en-US" w:bidi="ar-SA"/>
        </w:rPr>
      </w:pPr>
      <w:bookmarkStart w:id="317" w:name="Forward_fnref_fnr-23"/>
      <w:hyperlink w:anchor="Backward_fnref_fnr-23" w:history="1">
        <w:r>
          <w:rPr>
            <w:rFonts w:ascii="arial" w:eastAsia="arial" w:hAnsi="arial" w:cs="arial"/>
            <w:b/>
            <w:color w:val="BE161D"/>
            <w:sz w:val="18"/>
            <w:shd w:val="clear" w:color="auto" w:fill="FFFFFF"/>
            <w:lang w:val="en-US" w:eastAsia="en-US" w:bidi="ar-SA"/>
          </w:rPr>
          <w:t>23</w:t>
        </w:r>
      </w:hyperlink>
      <w:bookmarkEnd w:id="317"/>
      <w:r>
        <w:rPr>
          <w:rFonts w:ascii="arial" w:eastAsia="arial" w:hAnsi="arial" w:cs="arial"/>
          <w:sz w:val="20"/>
          <w:lang w:val="en-US" w:eastAsia="en-US" w:bidi="ar-SA"/>
        </w:rPr>
        <w:tab/>
      </w:r>
      <w:r>
        <w:rPr>
          <w:rFonts w:ascii="arial" w:eastAsia="arial" w:hAnsi="arial" w:cs="arial"/>
          <w:i/>
          <w:color w:val="6D6E71"/>
          <w:sz w:val="18"/>
          <w:lang w:val="en-US" w:eastAsia="en-US" w:bidi="ar-SA"/>
        </w:rPr>
        <w:t>IAP Model</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para?III (r), page 16.</w:t>
      </w:r>
    </w:p>
    <w:p>
      <w:pPr>
        <w:spacing w:before="120" w:after="20" w:line="240" w:lineRule="atLeast"/>
        <w:ind w:left="720" w:hanging="360"/>
        <w:jc w:val="both"/>
        <w:rPr>
          <w:rFonts w:ascii="arial" w:eastAsia="arial" w:hAnsi="arial" w:cs="arial"/>
          <w:sz w:val="20"/>
          <w:lang w:val="en-US" w:eastAsia="en-US" w:bidi="ar-SA"/>
        </w:rPr>
      </w:pPr>
      <w:bookmarkStart w:id="318" w:name="Forward_fnref_fnr-24"/>
      <w:hyperlink w:anchor="Backward_fnref_fnr-24" w:history="1">
        <w:r>
          <w:rPr>
            <w:rFonts w:ascii="arial" w:eastAsia="arial" w:hAnsi="arial" w:cs="arial"/>
            <w:b/>
            <w:color w:val="BE161D"/>
            <w:sz w:val="18"/>
            <w:shd w:val="clear" w:color="auto" w:fill="FFFFFF"/>
            <w:lang w:val="en-US" w:eastAsia="en-US" w:bidi="ar-SA"/>
          </w:rPr>
          <w:t>24</w:t>
        </w:r>
      </w:hyperlink>
      <w:bookmarkEnd w:id="31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As a limited exception from the exclusive jurisdiction of independent adjudicators, a claimant may request "access to the courts to resolve a continuing claim" by satisfying the Chief Adjudicator that the claim is of such complexity or seriousness that it is not properly suited to the IAP: see </w:t>
      </w:r>
      <w:r>
        <w:rPr>
          <w:rFonts w:ascii="arial" w:eastAsia="arial" w:hAnsi="arial" w:cs="arial"/>
          <w:i/>
          <w:color w:val="6D6E71"/>
          <w:sz w:val="18"/>
          <w:lang w:val="en-US" w:eastAsia="en-US" w:bidi="ar-SA"/>
        </w:rPr>
        <w:t>IAP Model</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xml:space="preserve"> at para?III (b) (iii), pages 8 - 9. This exception does not apply to the instant claims.</w:t>
      </w:r>
    </w:p>
    <w:p>
      <w:pPr>
        <w:spacing w:before="120" w:after="20" w:line="240" w:lineRule="atLeast"/>
        <w:ind w:left="720" w:hanging="360"/>
        <w:jc w:val="both"/>
        <w:rPr>
          <w:rFonts w:ascii="arial" w:eastAsia="arial" w:hAnsi="arial" w:cs="arial"/>
          <w:sz w:val="20"/>
          <w:lang w:val="en-US" w:eastAsia="en-US" w:bidi="ar-SA"/>
        </w:rPr>
      </w:pPr>
      <w:bookmarkStart w:id="319" w:name="Forward_fnref_fnr-25"/>
      <w:hyperlink w:anchor="Backward_fnref_fnr-25" w:history="1">
        <w:r>
          <w:rPr>
            <w:rFonts w:ascii="arial" w:eastAsia="arial" w:hAnsi="arial" w:cs="arial"/>
            <w:b/>
            <w:color w:val="BE161D"/>
            <w:sz w:val="18"/>
            <w:shd w:val="clear" w:color="auto" w:fill="FFFFFF"/>
            <w:lang w:val="en-US" w:eastAsia="en-US" w:bidi="ar-SA"/>
          </w:rPr>
          <w:t>25</w:t>
        </w:r>
      </w:hyperlink>
      <w:bookmarkEnd w:id="319"/>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93" w:history="1">
        <w:r>
          <w:rPr>
            <w:rFonts w:ascii="arial" w:eastAsia="arial" w:hAnsi="arial" w:cs="arial"/>
            <w:i/>
            <w:color w:val="0077CC"/>
            <w:sz w:val="18"/>
            <w:u w:val="single"/>
            <w:shd w:val="clear" w:color="auto" w:fill="FFFFFF"/>
            <w:lang w:val="en-US" w:eastAsia="en-US" w:bidi="ar-SA"/>
          </w:rPr>
          <w:t>2014 ONSC 4024</w:t>
        </w:r>
      </w:hyperlink>
      <w:r>
        <w:rPr>
          <w:rFonts w:ascii="arial" w:eastAsia="arial" w:hAnsi="arial" w:cs="arial"/>
          <w:color w:val="6D6E71"/>
          <w:sz w:val="18"/>
          <w:lang w:val="en-US" w:eastAsia="en-US" w:bidi="ar-SA"/>
        </w:rPr>
        <w:t xml:space="preserve">, </w:t>
      </w:r>
      <w:hyperlink r:id="rId794" w:history="1">
        <w:r>
          <w:rPr>
            <w:rFonts w:ascii="arial" w:eastAsia="arial" w:hAnsi="arial" w:cs="arial"/>
            <w:i/>
            <w:color w:val="0077CC"/>
            <w:sz w:val="18"/>
            <w:u w:val="single"/>
            <w:shd w:val="clear" w:color="auto" w:fill="FFFFFF"/>
            <w:lang w:val="en-US" w:eastAsia="en-US" w:bidi="ar-SA"/>
          </w:rPr>
          <w:t>[2014] 4 CNLR 67</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Kain and Jaffe RFD</w:t>
      </w:r>
      <w:r>
        <w:rPr>
          <w:rFonts w:ascii="arial" w:eastAsia="arial" w:hAnsi="arial" w:cs="arial"/>
          <w:color w:val="6D6E71"/>
          <w:sz w:val="18"/>
          <w:lang w:val="en-US" w:eastAsia="en-US" w:bidi="ar-SA"/>
        </w:rPr>
        <w:t>"] at para?15.</w:t>
      </w:r>
    </w:p>
    <w:p>
      <w:pPr>
        <w:spacing w:before="120" w:after="20" w:line="240" w:lineRule="atLeast"/>
        <w:ind w:left="720" w:hanging="360"/>
        <w:jc w:val="both"/>
        <w:rPr>
          <w:rFonts w:ascii="arial" w:eastAsia="arial" w:hAnsi="arial" w:cs="arial"/>
          <w:sz w:val="20"/>
          <w:lang w:val="en-US" w:eastAsia="en-US" w:bidi="ar-SA"/>
        </w:rPr>
      </w:pPr>
      <w:bookmarkStart w:id="320" w:name="Forward_fnref_fnr-26"/>
      <w:hyperlink w:anchor="Backward_fnref_fnr-26" w:history="1">
        <w:r>
          <w:rPr>
            <w:rFonts w:ascii="arial" w:eastAsia="arial" w:hAnsi="arial" w:cs="arial"/>
            <w:b/>
            <w:color w:val="BE161D"/>
            <w:sz w:val="18"/>
            <w:shd w:val="clear" w:color="auto" w:fill="FFFFFF"/>
            <w:lang w:val="en-US" w:eastAsia="en-US" w:bidi="ar-SA"/>
          </w:rPr>
          <w:t>26</w:t>
        </w:r>
      </w:hyperlink>
      <w:bookmarkEnd w:id="320"/>
      <w:r>
        <w:rPr>
          <w:rFonts w:ascii="arial" w:eastAsia="arial" w:hAnsi="arial" w:cs="arial"/>
          <w:sz w:val="20"/>
          <w:lang w:val="en-US" w:eastAsia="en-US" w:bidi="ar-SA"/>
        </w:rPr>
        <w:tab/>
      </w:r>
      <w:r>
        <w:rPr>
          <w:rFonts w:ascii="arial" w:eastAsia="arial" w:hAnsi="arial" w:cs="arial"/>
          <w:color w:val="6D6E71"/>
          <w:sz w:val="18"/>
          <w:lang w:val="en-US" w:eastAsia="en-US" w:bidi="ar-SA"/>
        </w:rPr>
        <w:t>All statistics are as of August 31, 2016. See http://www.iap-pei.ca/information/stats-eng.php.</w:t>
      </w:r>
    </w:p>
    <w:p>
      <w:pPr>
        <w:spacing w:before="120" w:after="20" w:line="240" w:lineRule="atLeast"/>
        <w:ind w:left="720" w:hanging="360"/>
        <w:jc w:val="both"/>
        <w:rPr>
          <w:rFonts w:ascii="arial" w:eastAsia="arial" w:hAnsi="arial" w:cs="arial"/>
          <w:sz w:val="20"/>
          <w:lang w:val="en-US" w:eastAsia="en-US" w:bidi="ar-SA"/>
        </w:rPr>
      </w:pPr>
      <w:bookmarkStart w:id="321" w:name="Forward_fnref_fnr-27"/>
      <w:hyperlink w:anchor="Backward_fnref_fnr-27" w:history="1">
        <w:r>
          <w:rPr>
            <w:rFonts w:ascii="arial" w:eastAsia="arial" w:hAnsi="arial" w:cs="arial"/>
            <w:b/>
            <w:color w:val="BE161D"/>
            <w:sz w:val="18"/>
            <w:shd w:val="clear" w:color="auto" w:fill="FFFFFF"/>
            <w:lang w:val="en-US" w:eastAsia="en-US" w:bidi="ar-SA"/>
          </w:rPr>
          <w:t>27</w:t>
        </w:r>
      </w:hyperlink>
      <w:bookmarkEnd w:id="321"/>
      <w:r>
        <w:rPr>
          <w:rFonts w:ascii="arial" w:eastAsia="arial" w:hAnsi="arial" w:cs="arial"/>
          <w:sz w:val="20"/>
          <w:lang w:val="en-US" w:eastAsia="en-US" w:bidi="ar-SA"/>
        </w:rPr>
        <w:tab/>
      </w:r>
      <w:r>
        <w:rPr>
          <w:rFonts w:ascii="arial" w:eastAsia="arial" w:hAnsi="arial" w:cs="arial"/>
          <w:color w:val="6D6E71"/>
          <w:sz w:val="18"/>
          <w:lang w:val="en-US" w:eastAsia="en-US" w:bidi="ar-SA"/>
        </w:rPr>
        <w:t>These include the Negotiated Settlement Process, the Incomplete File Resolution process, claims withdrawn by the claimant, and otherwise.</w:t>
      </w:r>
    </w:p>
    <w:p>
      <w:pPr>
        <w:spacing w:before="120" w:after="20" w:line="240" w:lineRule="atLeast"/>
        <w:ind w:left="720" w:hanging="360"/>
        <w:jc w:val="both"/>
        <w:rPr>
          <w:rFonts w:ascii="arial" w:eastAsia="arial" w:hAnsi="arial" w:cs="arial"/>
          <w:sz w:val="20"/>
          <w:lang w:val="en-US" w:eastAsia="en-US" w:bidi="ar-SA"/>
        </w:rPr>
      </w:pPr>
      <w:bookmarkStart w:id="322" w:name="Forward_fnref_fnr-28"/>
      <w:hyperlink w:anchor="Backward_fnref_fnr-28" w:history="1">
        <w:r>
          <w:rPr>
            <w:rFonts w:ascii="arial" w:eastAsia="arial" w:hAnsi="arial" w:cs="arial"/>
            <w:b/>
            <w:color w:val="BE161D"/>
            <w:sz w:val="18"/>
            <w:shd w:val="clear" w:color="auto" w:fill="FFFFFF"/>
            <w:lang w:val="en-US" w:eastAsia="en-US" w:bidi="ar-SA"/>
          </w:rPr>
          <w:t>28</w:t>
        </w:r>
      </w:hyperlink>
      <w:bookmarkEnd w:id="322"/>
      <w:r>
        <w:rPr>
          <w:rFonts w:ascii="arial" w:eastAsia="arial" w:hAnsi="arial" w:cs="arial"/>
          <w:sz w:val="20"/>
          <w:lang w:val="en-US" w:eastAsia="en-US" w:bidi="ar-SA"/>
        </w:rPr>
        <w:tab/>
      </w:r>
      <w:r>
        <w:rPr>
          <w:rFonts w:ascii="arial" w:eastAsia="arial" w:hAnsi="arial" w:cs="arial"/>
          <w:color w:val="6D6E71"/>
          <w:sz w:val="18"/>
          <w:lang w:val="en-US" w:eastAsia="en-US" w:bidi="ar-SA"/>
        </w:rPr>
        <w:t>[XXX].</w:t>
      </w:r>
    </w:p>
    <w:p>
      <w:pPr>
        <w:spacing w:before="120" w:after="20" w:line="240" w:lineRule="atLeast"/>
        <w:ind w:left="720" w:hanging="360"/>
        <w:jc w:val="both"/>
        <w:rPr>
          <w:rFonts w:ascii="arial" w:eastAsia="arial" w:hAnsi="arial" w:cs="arial"/>
          <w:sz w:val="20"/>
          <w:lang w:val="en-US" w:eastAsia="en-US" w:bidi="ar-SA"/>
        </w:rPr>
      </w:pPr>
      <w:bookmarkStart w:id="323" w:name="Forward_fnref_fnr-29"/>
      <w:hyperlink w:anchor="Backward_fnref_fnr-29" w:history="1">
        <w:r>
          <w:rPr>
            <w:rFonts w:ascii="arial" w:eastAsia="arial" w:hAnsi="arial" w:cs="arial"/>
            <w:b/>
            <w:color w:val="BE161D"/>
            <w:sz w:val="18"/>
            <w:shd w:val="clear" w:color="auto" w:fill="FFFFFF"/>
            <w:lang w:val="en-US" w:eastAsia="en-US" w:bidi="ar-SA"/>
          </w:rPr>
          <w:t>29</w:t>
        </w:r>
      </w:hyperlink>
      <w:bookmarkEnd w:id="323"/>
      <w:r>
        <w:rPr>
          <w:rFonts w:ascii="arial" w:eastAsia="arial" w:hAnsi="arial" w:cs="arial"/>
          <w:sz w:val="20"/>
          <w:lang w:val="en-US" w:eastAsia="en-US" w:bidi="ar-SA"/>
        </w:rPr>
        <w:tab/>
      </w:r>
      <w:hyperlink r:id="rId257" w:history="1">
        <w:r>
          <w:rPr>
            <w:rFonts w:ascii="arial" w:eastAsia="arial" w:hAnsi="arial" w:cs="arial"/>
            <w:i/>
            <w:color w:val="0077CC"/>
            <w:sz w:val="18"/>
            <w:u w:val="single"/>
            <w:shd w:val="clear" w:color="auto" w:fill="FFFFFF"/>
            <w:lang w:val="en-US" w:eastAsia="en-US" w:bidi="ar-SA"/>
          </w:rPr>
          <w:t>[1996] 3 SCR 458</w:t>
        </w:r>
      </w:hyperlink>
      <w:r>
        <w:rPr>
          <w:rFonts w:ascii="arial" w:eastAsia="arial" w:hAnsi="arial" w:cs="arial"/>
          <w:color w:val="6D6E71"/>
          <w:sz w:val="18"/>
          <w:lang w:val="en-US" w:eastAsia="en-US" w:bidi="ar-SA"/>
        </w:rPr>
        <w:t xml:space="preserve">, </w:t>
      </w:r>
      <w:hyperlink r:id="rId257" w:history="1">
        <w:r>
          <w:rPr>
            <w:rFonts w:ascii="arial" w:eastAsia="arial" w:hAnsi="arial" w:cs="arial"/>
            <w:i/>
            <w:color w:val="0077CC"/>
            <w:sz w:val="18"/>
            <w:u w:val="single"/>
            <w:shd w:val="clear" w:color="auto" w:fill="FFFFFF"/>
            <w:lang w:val="en-US" w:eastAsia="en-US" w:bidi="ar-SA"/>
          </w:rPr>
          <w:t>1996 CanLII 183</w:t>
        </w:r>
      </w:hyperlink>
    </w:p>
    <w:p>
      <w:pPr>
        <w:spacing w:before="120" w:after="20" w:line="240" w:lineRule="atLeast"/>
        <w:ind w:left="720" w:hanging="360"/>
        <w:jc w:val="both"/>
        <w:rPr>
          <w:rFonts w:ascii="arial" w:eastAsia="arial" w:hAnsi="arial" w:cs="arial"/>
          <w:sz w:val="20"/>
          <w:lang w:val="en-US" w:eastAsia="en-US" w:bidi="ar-SA"/>
        </w:rPr>
      </w:pPr>
      <w:bookmarkStart w:id="324" w:name="Forward_fnref_fnr-30"/>
      <w:hyperlink w:anchor="Backward_fnref_fnr-30" w:history="1">
        <w:r>
          <w:rPr>
            <w:rFonts w:ascii="arial" w:eastAsia="arial" w:hAnsi="arial" w:cs="arial"/>
            <w:b/>
            <w:color w:val="BE161D"/>
            <w:sz w:val="18"/>
            <w:shd w:val="clear" w:color="auto" w:fill="FFFFFF"/>
            <w:lang w:val="en-US" w:eastAsia="en-US" w:bidi="ar-SA"/>
          </w:rPr>
          <w:t>30</w:t>
        </w:r>
      </w:hyperlink>
      <w:bookmarkEnd w:id="324"/>
      <w:r>
        <w:rPr>
          <w:rFonts w:ascii="arial" w:eastAsia="arial" w:hAnsi="arial" w:cs="arial"/>
          <w:sz w:val="20"/>
          <w:lang w:val="en-US" w:eastAsia="en-US" w:bidi="ar-SA"/>
        </w:rPr>
        <w:tab/>
      </w:r>
      <w:r>
        <w:rPr>
          <w:rFonts w:ascii="arial" w:eastAsia="arial" w:hAnsi="arial" w:cs="arial"/>
          <w:color w:val="6D6E71"/>
          <w:sz w:val="18"/>
          <w:lang w:val="en-US" w:eastAsia="en-US" w:bidi="ar-SA"/>
        </w:rPr>
        <w:t>As noted above, the claimant died before the IAP hearing was completed. For the sake of simplicity, I refer to the claimant in describing the subsequent history of the matter, although it is the claimant's estate that has pursued the relief.</w:t>
      </w:r>
    </w:p>
    <w:p>
      <w:pPr>
        <w:spacing w:before="120" w:after="20" w:line="240" w:lineRule="atLeast"/>
        <w:ind w:left="720" w:hanging="360"/>
        <w:jc w:val="both"/>
        <w:rPr>
          <w:rFonts w:ascii="arial" w:eastAsia="arial" w:hAnsi="arial" w:cs="arial"/>
          <w:sz w:val="20"/>
          <w:lang w:val="en-US" w:eastAsia="en-US" w:bidi="ar-SA"/>
        </w:rPr>
      </w:pPr>
      <w:bookmarkStart w:id="325" w:name="Forward_fnref_fnr-31"/>
      <w:hyperlink w:anchor="Backward_fnref_fnr-31" w:history="1">
        <w:r>
          <w:rPr>
            <w:rFonts w:ascii="arial" w:eastAsia="arial" w:hAnsi="arial" w:cs="arial"/>
            <w:b/>
            <w:color w:val="BE161D"/>
            <w:sz w:val="18"/>
            <w:shd w:val="clear" w:color="auto" w:fill="FFFFFF"/>
            <w:lang w:val="en-US" w:eastAsia="en-US" w:bidi="ar-SA"/>
          </w:rPr>
          <w:t>31</w:t>
        </w:r>
      </w:hyperlink>
      <w:bookmarkEnd w:id="325"/>
      <w:r>
        <w:rPr>
          <w:rFonts w:ascii="arial" w:eastAsia="arial" w:hAnsi="arial" w:cs="arial"/>
          <w:sz w:val="20"/>
          <w:lang w:val="en-US" w:eastAsia="en-US" w:bidi="ar-SA"/>
        </w:rPr>
        <w:tab/>
      </w:r>
      <w:r>
        <w:rPr>
          <w:rFonts w:ascii="arial" w:eastAsia="arial" w:hAnsi="arial" w:cs="arial"/>
          <w:color w:val="6D6E71"/>
          <w:sz w:val="18"/>
          <w:lang w:val="en-US" w:eastAsia="en-US" w:bidi="ar-SA"/>
        </w:rPr>
        <w:t>See Schedule D, Appendix VIII, Government Document Disclosure.</w:t>
      </w:r>
    </w:p>
    <w:p>
      <w:pPr>
        <w:spacing w:before="120" w:after="20" w:line="240" w:lineRule="atLeast"/>
        <w:ind w:left="720" w:hanging="360"/>
        <w:jc w:val="both"/>
        <w:rPr>
          <w:rFonts w:ascii="arial" w:eastAsia="arial" w:hAnsi="arial" w:cs="arial"/>
          <w:sz w:val="20"/>
          <w:lang w:val="en-US" w:eastAsia="en-US" w:bidi="ar-SA"/>
        </w:rPr>
      </w:pPr>
      <w:bookmarkStart w:id="326" w:name="Forward_fnref_fnr-32"/>
      <w:hyperlink w:anchor="Backward_fnref_fnr-32" w:history="1">
        <w:r>
          <w:rPr>
            <w:rFonts w:ascii="arial" w:eastAsia="arial" w:hAnsi="arial" w:cs="arial"/>
            <w:b/>
            <w:color w:val="BE161D"/>
            <w:sz w:val="18"/>
            <w:shd w:val="clear" w:color="auto" w:fill="FFFFFF"/>
            <w:lang w:val="en-US" w:eastAsia="en-US" w:bidi="ar-SA"/>
          </w:rPr>
          <w:t>32</w:t>
        </w:r>
      </w:hyperlink>
      <w:bookmarkEnd w:id="32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is the test articulated by the Court of Appeal for Ontario in </w:t>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xml:space="preserve">. Although </w:t>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xml:space="preserve"> is not binding in British Columbia, its reasoning is generally considered persuasive and it has been accepted by courts across Canada.</w:t>
      </w:r>
    </w:p>
    <w:p>
      <w:pPr>
        <w:spacing w:before="120" w:after="20" w:line="240" w:lineRule="atLeast"/>
        <w:ind w:left="720" w:hanging="360"/>
        <w:jc w:val="both"/>
        <w:rPr>
          <w:rFonts w:ascii="arial" w:eastAsia="arial" w:hAnsi="arial" w:cs="arial"/>
          <w:sz w:val="20"/>
          <w:lang w:val="en-US" w:eastAsia="en-US" w:bidi="ar-SA"/>
        </w:rPr>
      </w:pPr>
      <w:bookmarkStart w:id="327" w:name="Forward_fnref_fnr-33"/>
      <w:hyperlink w:anchor="Backward_fnref_fnr-33" w:history="1">
        <w:r>
          <w:rPr>
            <w:rFonts w:ascii="arial" w:eastAsia="arial" w:hAnsi="arial" w:cs="arial"/>
            <w:b/>
            <w:color w:val="BE161D"/>
            <w:sz w:val="18"/>
            <w:shd w:val="clear" w:color="auto" w:fill="FFFFFF"/>
            <w:lang w:val="en-US" w:eastAsia="en-US" w:bidi="ar-SA"/>
          </w:rPr>
          <w:t>33</w:t>
        </w:r>
      </w:hyperlink>
      <w:bookmarkEnd w:id="32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These include: the determination of applications pursuant to Article 12, to add insititutions to the list of Indian Residential Schools; permitting complex IAP matters to be referred to the Courts under Schedule D, para.?III b. iii where the amount of actual income loss exceeds the $250K limit available within the IAP (as in </w:t>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95" w:history="1">
        <w:r>
          <w:rPr>
            <w:rFonts w:ascii="arial" w:eastAsia="arial" w:hAnsi="arial" w:cs="arial"/>
            <w:i/>
            <w:color w:val="0077CC"/>
            <w:sz w:val="18"/>
            <w:u w:val="single"/>
            <w:shd w:val="clear" w:color="auto" w:fill="FFFFFF"/>
            <w:lang w:val="en-US" w:eastAsia="en-US" w:bidi="ar-SA"/>
          </w:rPr>
          <w:t>2013 MBQB 272</w:t>
        </w:r>
      </w:hyperlink>
      <w:r>
        <w:rPr>
          <w:rFonts w:ascii="arial" w:eastAsia="arial" w:hAnsi="arial" w:cs="arial"/>
          <w:color w:val="6D6E71"/>
          <w:sz w:val="18"/>
          <w:lang w:val="en-US" w:eastAsia="en-US" w:bidi="ar-SA"/>
        </w:rPr>
        <w:t xml:space="preserve"> [ </w:t>
      </w:r>
      <w:hyperlink r:id="rId796" w:history="1">
        <w:r>
          <w:rPr>
            <w:rFonts w:ascii="arial" w:eastAsia="arial" w:hAnsi="arial" w:cs="arial"/>
            <w:i/>
            <w:color w:val="0077CC"/>
            <w:sz w:val="18"/>
            <w:u w:val="single"/>
            <w:shd w:val="clear" w:color="auto" w:fill="FFFFFF"/>
            <w:lang w:val="en-US" w:eastAsia="en-US" w:bidi="ar-SA"/>
          </w:rPr>
          <w:t>[2014] 2 CNLR 71</w:t>
        </w:r>
      </w:hyperlink>
      <w:r>
        <w:rPr>
          <w:rFonts w:ascii="arial" w:eastAsia="arial" w:hAnsi="arial" w:cs="arial"/>
          <w:color w:val="6D6E71"/>
          <w:sz w:val="18"/>
          <w:lang w:val="en-US" w:eastAsia="en-US" w:bidi="ar-SA"/>
        </w:rPr>
        <w:t xml:space="preserve">], aff'd in </w:t>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760" w:history="1">
        <w:r>
          <w:rPr>
            <w:rFonts w:ascii="arial" w:eastAsia="arial" w:hAnsi="arial" w:cs="arial"/>
            <w:i/>
            <w:color w:val="0077CC"/>
            <w:sz w:val="18"/>
            <w:u w:val="single"/>
            <w:shd w:val="clear" w:color="auto" w:fill="FFFFFF"/>
            <w:lang w:val="en-US" w:eastAsia="en-US" w:bidi="ar-SA"/>
          </w:rPr>
          <w:t>2014 MBCA 93</w:t>
        </w:r>
      </w:hyperlink>
      <w:r>
        <w:rPr>
          <w:rFonts w:ascii="arial" w:eastAsia="arial" w:hAnsi="arial" w:cs="arial"/>
          <w:color w:val="6D6E71"/>
          <w:sz w:val="18"/>
          <w:lang w:val="en-US" w:eastAsia="en-US" w:bidi="ar-SA"/>
        </w:rPr>
        <w:t xml:space="preserve"> [[ 2015] 1 CNLR 162]); and the process for CEP Court Appeals (Article 5.09).</w:t>
      </w:r>
    </w:p>
    <w:p>
      <w:pPr>
        <w:spacing w:before="120" w:after="20" w:line="240" w:lineRule="atLeast"/>
        <w:ind w:left="720" w:hanging="360"/>
        <w:jc w:val="both"/>
        <w:rPr>
          <w:rFonts w:ascii="arial" w:eastAsia="arial" w:hAnsi="arial" w:cs="arial"/>
          <w:sz w:val="20"/>
          <w:lang w:val="en-US" w:eastAsia="en-US" w:bidi="ar-SA"/>
        </w:rPr>
      </w:pPr>
      <w:bookmarkStart w:id="328" w:name="Forward_fnref_fnr-34"/>
      <w:hyperlink w:anchor="Backward_fnref_fnr-34" w:history="1">
        <w:r>
          <w:rPr>
            <w:rFonts w:ascii="arial" w:eastAsia="arial" w:hAnsi="arial" w:cs="arial"/>
            <w:b/>
            <w:color w:val="BE161D"/>
            <w:sz w:val="18"/>
            <w:shd w:val="clear" w:color="auto" w:fill="FFFFFF"/>
            <w:lang w:val="en-US" w:eastAsia="en-US" w:bidi="ar-SA"/>
          </w:rPr>
          <w:t>34</w:t>
        </w:r>
      </w:hyperlink>
      <w:bookmarkEnd w:id="328"/>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(AG)</w:t>
      </w:r>
      <w:r>
        <w:rPr>
          <w:rFonts w:ascii="arial" w:eastAsia="arial" w:hAnsi="arial" w:cs="arial"/>
          <w:color w:val="6D6E71"/>
          <w:sz w:val="18"/>
          <w:lang w:val="en-US" w:eastAsia="en-US" w:bidi="ar-SA"/>
        </w:rPr>
        <w:t xml:space="preserve"> (7 March 2011), Ont SC 00-CV-192059CP (Direction) ["</w:t>
      </w:r>
      <w:r>
        <w:rPr>
          <w:rFonts w:ascii="arial" w:eastAsia="arial" w:hAnsi="arial" w:cs="arial"/>
          <w:i/>
          <w:color w:val="6D6E71"/>
          <w:sz w:val="18"/>
          <w:lang w:val="en-US" w:eastAsia="en-US" w:bidi="ar-SA"/>
        </w:rPr>
        <w:t>Schachter ONSC</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29" w:name="Forward_fnref_fnr-35"/>
      <w:hyperlink w:anchor="Backward_fnref_fnr-35" w:history="1">
        <w:r>
          <w:rPr>
            <w:rFonts w:ascii="arial" w:eastAsia="arial" w:hAnsi="arial" w:cs="arial"/>
            <w:b/>
            <w:color w:val="BE161D"/>
            <w:sz w:val="18"/>
            <w:shd w:val="clear" w:color="auto" w:fill="FFFFFF"/>
            <w:lang w:val="en-US" w:eastAsia="en-US" w:bidi="ar-SA"/>
          </w:rPr>
          <w:t>35</w:t>
        </w:r>
      </w:hyperlink>
      <w:bookmarkEnd w:id="329"/>
      <w:r>
        <w:rPr>
          <w:rFonts w:ascii="arial" w:eastAsia="arial" w:hAnsi="arial" w:cs="arial"/>
          <w:sz w:val="20"/>
          <w:lang w:val="en-US" w:eastAsia="en-US" w:bidi="ar-SA"/>
        </w:rPr>
        <w:tab/>
      </w:r>
      <w:r>
        <w:rPr>
          <w:rFonts w:ascii="arial" w:eastAsia="arial" w:hAnsi="arial" w:cs="arial"/>
          <w:i/>
          <w:color w:val="6D6E71"/>
          <w:sz w:val="18"/>
          <w:lang w:val="en-US" w:eastAsia="en-US" w:bidi="ar-SA"/>
        </w:rPr>
        <w:t>Schachter ONSC</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xml:space="preserve"> at para?24.</w:t>
      </w:r>
    </w:p>
    <w:p>
      <w:pPr>
        <w:spacing w:before="120" w:after="20" w:line="240" w:lineRule="atLeast"/>
        <w:ind w:left="720" w:hanging="360"/>
        <w:jc w:val="both"/>
        <w:rPr>
          <w:rFonts w:ascii="arial" w:eastAsia="arial" w:hAnsi="arial" w:cs="arial"/>
          <w:sz w:val="20"/>
          <w:lang w:val="en-US" w:eastAsia="en-US" w:bidi="ar-SA"/>
        </w:rPr>
      </w:pPr>
      <w:bookmarkStart w:id="330" w:name="Forward_fnref_fnr-36"/>
      <w:hyperlink w:anchor="Backward_fnref_fnr-36" w:history="1">
        <w:r>
          <w:rPr>
            <w:rFonts w:ascii="arial" w:eastAsia="arial" w:hAnsi="arial" w:cs="arial"/>
            <w:b/>
            <w:color w:val="BE161D"/>
            <w:sz w:val="18"/>
            <w:shd w:val="clear" w:color="auto" w:fill="FFFFFF"/>
            <w:lang w:val="en-US" w:eastAsia="en-US" w:bidi="ar-SA"/>
          </w:rPr>
          <w:t>36</w:t>
        </w:r>
      </w:hyperlink>
      <w:bookmarkEnd w:id="330"/>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paras 19 &amp; 22.</w:t>
      </w:r>
    </w:p>
    <w:p>
      <w:pPr>
        <w:spacing w:before="120" w:after="20" w:line="240" w:lineRule="atLeast"/>
        <w:ind w:left="720" w:hanging="360"/>
        <w:jc w:val="both"/>
        <w:rPr>
          <w:rFonts w:ascii="arial" w:eastAsia="arial" w:hAnsi="arial" w:cs="arial"/>
          <w:sz w:val="20"/>
          <w:lang w:val="en-US" w:eastAsia="en-US" w:bidi="ar-SA"/>
        </w:rPr>
      </w:pPr>
      <w:bookmarkStart w:id="331" w:name="Forward_fnref_fnr-37"/>
      <w:hyperlink w:anchor="Backward_fnref_fnr-37" w:history="1">
        <w:r>
          <w:rPr>
            <w:rFonts w:ascii="arial" w:eastAsia="arial" w:hAnsi="arial" w:cs="arial"/>
            <w:b/>
            <w:color w:val="BE161D"/>
            <w:sz w:val="18"/>
            <w:shd w:val="clear" w:color="auto" w:fill="FFFFFF"/>
            <w:lang w:val="en-US" w:eastAsia="en-US" w:bidi="ar-SA"/>
          </w:rPr>
          <w:t>37</w:t>
        </w:r>
      </w:hyperlink>
      <w:bookmarkEnd w:id="331"/>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(AG)</w:t>
      </w:r>
      <w:r>
        <w:rPr>
          <w:rFonts w:ascii="arial" w:eastAsia="arial" w:hAnsi="arial" w:cs="arial"/>
          <w:color w:val="6D6E71"/>
          <w:sz w:val="18"/>
          <w:lang w:val="en-US" w:eastAsia="en-US" w:bidi="ar-SA"/>
        </w:rPr>
        <w:t xml:space="preserve"> (September 26, 2011) (ONSC) 00-CV-192059CP (Direction) ["</w:t>
      </w:r>
      <w:r>
        <w:rPr>
          <w:rFonts w:ascii="arial" w:eastAsia="arial" w:hAnsi="arial" w:cs="arial"/>
          <w:i/>
          <w:color w:val="6D6E71"/>
          <w:sz w:val="18"/>
          <w:lang w:val="en-US" w:eastAsia="en-US" w:bidi="ar-SA"/>
        </w:rPr>
        <w:t>SSJSSM RFD</w:t>
      </w:r>
      <w:r>
        <w:rPr>
          <w:rFonts w:ascii="arial" w:eastAsia="arial" w:hAnsi="arial" w:cs="arial"/>
          <w:color w:val="6D6E71"/>
          <w:sz w:val="18"/>
          <w:lang w:val="en-US" w:eastAsia="en-US" w:bidi="ar-SA"/>
        </w:rPr>
        <w:t>"] at para?1.</w:t>
      </w:r>
    </w:p>
    <w:p>
      <w:pPr>
        <w:spacing w:before="120" w:after="20" w:line="240" w:lineRule="atLeast"/>
        <w:ind w:left="720" w:hanging="360"/>
        <w:jc w:val="both"/>
        <w:rPr>
          <w:rFonts w:ascii="arial" w:eastAsia="arial" w:hAnsi="arial" w:cs="arial"/>
          <w:sz w:val="20"/>
          <w:lang w:val="en-US" w:eastAsia="en-US" w:bidi="ar-SA"/>
        </w:rPr>
      </w:pPr>
      <w:bookmarkStart w:id="332" w:name="Forward_fnref_fnr-38"/>
      <w:hyperlink w:anchor="Backward_fnref_fnr-38" w:history="1">
        <w:r>
          <w:rPr>
            <w:rFonts w:ascii="arial" w:eastAsia="arial" w:hAnsi="arial" w:cs="arial"/>
            <w:b/>
            <w:color w:val="BE161D"/>
            <w:sz w:val="18"/>
            <w:shd w:val="clear" w:color="auto" w:fill="FFFFFF"/>
            <w:lang w:val="en-US" w:eastAsia="en-US" w:bidi="ar-SA"/>
          </w:rPr>
          <w:t>38</w:t>
        </w:r>
      </w:hyperlink>
      <w:bookmarkEnd w:id="332"/>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para?19.</w:t>
      </w:r>
    </w:p>
    <w:p>
      <w:pPr>
        <w:spacing w:before="120" w:after="20" w:line="240" w:lineRule="atLeast"/>
        <w:ind w:left="720" w:hanging="360"/>
        <w:jc w:val="both"/>
        <w:rPr>
          <w:rFonts w:ascii="arial" w:eastAsia="arial" w:hAnsi="arial" w:cs="arial"/>
          <w:sz w:val="20"/>
          <w:lang w:val="en-US" w:eastAsia="en-US" w:bidi="ar-SA"/>
        </w:rPr>
      </w:pPr>
      <w:bookmarkStart w:id="333" w:name="Forward_fnref_fnr-39"/>
      <w:hyperlink w:anchor="Backward_fnref_fnr-39" w:history="1">
        <w:r>
          <w:rPr>
            <w:rFonts w:ascii="arial" w:eastAsia="arial" w:hAnsi="arial" w:cs="arial"/>
            <w:b/>
            <w:color w:val="BE161D"/>
            <w:sz w:val="18"/>
            <w:shd w:val="clear" w:color="auto" w:fill="FFFFFF"/>
            <w:lang w:val="en-US" w:eastAsia="en-US" w:bidi="ar-SA"/>
          </w:rPr>
          <w:t>39</w:t>
        </w:r>
      </w:hyperlink>
      <w:bookmarkEnd w:id="333"/>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para?22.</w:t>
      </w:r>
    </w:p>
    <w:p>
      <w:pPr>
        <w:spacing w:before="120" w:after="20" w:line="240" w:lineRule="atLeast"/>
        <w:ind w:left="720" w:hanging="360"/>
        <w:jc w:val="both"/>
        <w:rPr>
          <w:rFonts w:ascii="arial" w:eastAsia="arial" w:hAnsi="arial" w:cs="arial"/>
          <w:sz w:val="20"/>
          <w:lang w:val="en-US" w:eastAsia="en-US" w:bidi="ar-SA"/>
        </w:rPr>
      </w:pPr>
      <w:bookmarkStart w:id="334" w:name="Forward_fnref_fnr-40"/>
      <w:hyperlink w:anchor="Backward_fnref_fnr-40" w:history="1">
        <w:r>
          <w:rPr>
            <w:rFonts w:ascii="arial" w:eastAsia="arial" w:hAnsi="arial" w:cs="arial"/>
            <w:b/>
            <w:color w:val="BE161D"/>
            <w:sz w:val="18"/>
            <w:shd w:val="clear" w:color="auto" w:fill="FFFFFF"/>
            <w:lang w:val="en-US" w:eastAsia="en-US" w:bidi="ar-SA"/>
          </w:rPr>
          <w:t>40</w:t>
        </w:r>
      </w:hyperlink>
      <w:bookmarkEnd w:id="334"/>
      <w:r>
        <w:rPr>
          <w:rFonts w:ascii="arial" w:eastAsia="arial" w:hAnsi="arial" w:cs="arial"/>
          <w:sz w:val="20"/>
          <w:lang w:val="en-US" w:eastAsia="en-US" w:bidi="ar-SA"/>
        </w:rPr>
        <w:tab/>
      </w:r>
      <w:r>
        <w:rPr>
          <w:rFonts w:ascii="arial" w:eastAsia="arial" w:hAnsi="arial" w:cs="arial"/>
          <w:i/>
          <w:color w:val="6D6E71"/>
          <w:sz w:val="18"/>
          <w:lang w:val="en-US" w:eastAsia="en-US" w:bidi="ar-SA"/>
        </w:rPr>
        <w:t>Fontaine c. Canada (Procureur général)</w:t>
      </w:r>
      <w:r>
        <w:rPr>
          <w:rFonts w:ascii="arial" w:eastAsia="arial" w:hAnsi="arial" w:cs="arial"/>
          <w:color w:val="6D6E71"/>
          <w:sz w:val="18"/>
          <w:lang w:val="en-US" w:eastAsia="en-US" w:bidi="ar-SA"/>
        </w:rPr>
        <w:t xml:space="preserve">, </w:t>
      </w:r>
      <w:hyperlink r:id="rId797" w:history="1">
        <w:r>
          <w:rPr>
            <w:rFonts w:ascii="arial" w:eastAsia="arial" w:hAnsi="arial" w:cs="arial"/>
            <w:i/>
            <w:color w:val="0077CC"/>
            <w:sz w:val="18"/>
            <w:u w:val="single"/>
            <w:shd w:val="clear" w:color="auto" w:fill="FFFFFF"/>
            <w:lang w:val="en-US" w:eastAsia="en-US" w:bidi="ar-SA"/>
          </w:rPr>
          <w:t>2013 QCCS 553</w:t>
        </w:r>
      </w:hyperlink>
      <w:hyperlink r:id="rId798" w:history="1">
        <w:r>
          <w:rPr>
            <w:rFonts w:ascii="arial" w:eastAsia="arial" w:hAnsi="arial" w:cs="arial"/>
            <w:i/>
            <w:color w:val="0077CC"/>
            <w:sz w:val="18"/>
            <w:u w:val="single"/>
            <w:shd w:val="clear" w:color="auto" w:fill="FFFFFF"/>
            <w:lang w:val="en-US" w:eastAsia="en-US" w:bidi="ar-SA"/>
          </w:rPr>
          <w:t>[2013] 3 CNLR 266</w:t>
        </w:r>
      </w:hyperlink>
      <w:r>
        <w:rPr>
          <w:rFonts w:ascii="arial" w:eastAsia="arial" w:hAnsi="arial" w:cs="arial"/>
          <w:color w:val="6D6E71"/>
          <w:sz w:val="18"/>
          <w:lang w:val="en-US" w:eastAsia="en-US" w:bidi="ar-SA"/>
        </w:rPr>
        <w:t xml:space="preserve"> (Unofficial Translation) ["</w:t>
      </w:r>
      <w:r>
        <w:rPr>
          <w:rFonts w:ascii="arial" w:eastAsia="arial" w:hAnsi="arial" w:cs="arial"/>
          <w:i/>
          <w:color w:val="6D6E71"/>
          <w:sz w:val="18"/>
          <w:lang w:val="en-US" w:eastAsia="en-US" w:bidi="ar-SA"/>
        </w:rPr>
        <w:t>J.C. RFD</w:t>
      </w:r>
      <w:r>
        <w:rPr>
          <w:rFonts w:ascii="arial" w:eastAsia="arial" w:hAnsi="arial" w:cs="arial"/>
          <w:color w:val="6D6E71"/>
          <w:sz w:val="18"/>
          <w:lang w:val="en-US" w:eastAsia="en-US" w:bidi="ar-SA"/>
        </w:rPr>
        <w:t>"] at para?1.</w:t>
      </w:r>
    </w:p>
    <w:p>
      <w:pPr>
        <w:spacing w:before="120" w:after="20" w:line="240" w:lineRule="atLeast"/>
        <w:ind w:left="720" w:hanging="360"/>
        <w:jc w:val="both"/>
        <w:rPr>
          <w:rFonts w:ascii="arial" w:eastAsia="arial" w:hAnsi="arial" w:cs="arial"/>
          <w:sz w:val="20"/>
          <w:lang w:val="en-US" w:eastAsia="en-US" w:bidi="ar-SA"/>
        </w:rPr>
      </w:pPr>
      <w:bookmarkStart w:id="335" w:name="Forward_fnref_fnr-41"/>
      <w:hyperlink w:anchor="Backward_fnref_fnr-41" w:history="1">
        <w:r>
          <w:rPr>
            <w:rFonts w:ascii="arial" w:eastAsia="arial" w:hAnsi="arial" w:cs="arial"/>
            <w:b/>
            <w:color w:val="BE161D"/>
            <w:sz w:val="18"/>
            <w:shd w:val="clear" w:color="auto" w:fill="FFFFFF"/>
            <w:lang w:val="en-US" w:eastAsia="en-US" w:bidi="ar-SA"/>
          </w:rPr>
          <w:t>41</w:t>
        </w:r>
      </w:hyperlink>
      <w:bookmarkEnd w:id="335"/>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paras 50 - 65.</w:t>
      </w:r>
    </w:p>
    <w:p>
      <w:pPr>
        <w:spacing w:before="120" w:after="20" w:line="240" w:lineRule="atLeast"/>
        <w:ind w:left="720" w:hanging="360"/>
        <w:jc w:val="both"/>
        <w:rPr>
          <w:rFonts w:ascii="arial" w:eastAsia="arial" w:hAnsi="arial" w:cs="arial"/>
          <w:sz w:val="20"/>
          <w:lang w:val="en-US" w:eastAsia="en-US" w:bidi="ar-SA"/>
        </w:rPr>
      </w:pPr>
      <w:bookmarkStart w:id="336" w:name="Forward_fnref_fnr-42"/>
      <w:hyperlink w:anchor="Backward_fnref_fnr-42" w:history="1">
        <w:r>
          <w:rPr>
            <w:rFonts w:ascii="arial" w:eastAsia="arial" w:hAnsi="arial" w:cs="arial"/>
            <w:b/>
            <w:color w:val="BE161D"/>
            <w:sz w:val="18"/>
            <w:shd w:val="clear" w:color="auto" w:fill="FFFFFF"/>
            <w:lang w:val="en-US" w:eastAsia="en-US" w:bidi="ar-SA"/>
          </w:rPr>
          <w:t>42</w:t>
        </w:r>
      </w:hyperlink>
      <w:bookmarkEnd w:id="336"/>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para?94.</w:t>
      </w:r>
    </w:p>
    <w:p>
      <w:pPr>
        <w:spacing w:before="120" w:after="20" w:line="240" w:lineRule="atLeast"/>
        <w:ind w:left="720" w:hanging="360"/>
        <w:jc w:val="both"/>
        <w:rPr>
          <w:rFonts w:ascii="arial" w:eastAsia="arial" w:hAnsi="arial" w:cs="arial"/>
          <w:sz w:val="20"/>
          <w:lang w:val="en-US" w:eastAsia="en-US" w:bidi="ar-SA"/>
        </w:rPr>
      </w:pPr>
      <w:bookmarkStart w:id="337" w:name="Forward_fnref_fnr-43"/>
      <w:hyperlink w:anchor="Backward_fnref_fnr-43" w:history="1">
        <w:r>
          <w:rPr>
            <w:rFonts w:ascii="arial" w:eastAsia="arial" w:hAnsi="arial" w:cs="arial"/>
            <w:b/>
            <w:color w:val="BE161D"/>
            <w:sz w:val="18"/>
            <w:shd w:val="clear" w:color="auto" w:fill="FFFFFF"/>
            <w:lang w:val="en-US" w:eastAsia="en-US" w:bidi="ar-SA"/>
          </w:rPr>
          <w:t>43</w:t>
        </w:r>
      </w:hyperlink>
      <w:bookmarkEnd w:id="337"/>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para?95.</w:t>
      </w:r>
    </w:p>
    <w:p>
      <w:pPr>
        <w:spacing w:before="120" w:after="20" w:line="240" w:lineRule="atLeast"/>
        <w:ind w:left="720" w:hanging="360"/>
        <w:jc w:val="both"/>
        <w:rPr>
          <w:rFonts w:ascii="arial" w:eastAsia="arial" w:hAnsi="arial" w:cs="arial"/>
          <w:sz w:val="20"/>
          <w:lang w:val="en-US" w:eastAsia="en-US" w:bidi="ar-SA"/>
        </w:rPr>
      </w:pPr>
      <w:bookmarkStart w:id="338" w:name="Forward_fnref_fnr-44"/>
      <w:hyperlink w:anchor="Backward_fnref_fnr-44" w:history="1">
        <w:r>
          <w:rPr>
            <w:rFonts w:ascii="arial" w:eastAsia="arial" w:hAnsi="arial" w:cs="arial"/>
            <w:b/>
            <w:color w:val="BE161D"/>
            <w:sz w:val="18"/>
            <w:shd w:val="clear" w:color="auto" w:fill="FFFFFF"/>
            <w:lang w:val="en-US" w:eastAsia="en-US" w:bidi="ar-SA"/>
          </w:rPr>
          <w:t>44</w:t>
        </w:r>
      </w:hyperlink>
      <w:bookmarkEnd w:id="338"/>
      <w:r>
        <w:rPr>
          <w:rFonts w:ascii="arial" w:eastAsia="arial" w:hAnsi="arial" w:cs="arial"/>
          <w:sz w:val="20"/>
          <w:lang w:val="en-US" w:eastAsia="en-US" w:bidi="ar-SA"/>
        </w:rPr>
        <w:tab/>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xml:space="preserve"> at paras 50 and 51.</w:t>
      </w:r>
    </w:p>
    <w:p>
      <w:pPr>
        <w:spacing w:before="120" w:after="20" w:line="240" w:lineRule="atLeast"/>
        <w:ind w:left="720" w:hanging="360"/>
        <w:jc w:val="both"/>
        <w:rPr>
          <w:rFonts w:ascii="arial" w:eastAsia="arial" w:hAnsi="arial" w:cs="arial"/>
          <w:sz w:val="20"/>
          <w:lang w:val="en-US" w:eastAsia="en-US" w:bidi="ar-SA"/>
        </w:rPr>
      </w:pPr>
      <w:bookmarkStart w:id="339" w:name="Forward_fnref_fnr-45"/>
      <w:hyperlink w:anchor="Backward_fnref_fnr-45" w:history="1">
        <w:r>
          <w:rPr>
            <w:rFonts w:ascii="arial" w:eastAsia="arial" w:hAnsi="arial" w:cs="arial"/>
            <w:b/>
            <w:color w:val="BE161D"/>
            <w:sz w:val="18"/>
            <w:shd w:val="clear" w:color="auto" w:fill="FFFFFF"/>
            <w:lang w:val="en-US" w:eastAsia="en-US" w:bidi="ar-SA"/>
          </w:rPr>
          <w:t>45</w:t>
        </w:r>
      </w:hyperlink>
      <w:bookmarkEnd w:id="339"/>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para?53.</w:t>
      </w:r>
    </w:p>
    <w:p>
      <w:pPr>
        <w:spacing w:before="120" w:after="20" w:line="240" w:lineRule="atLeast"/>
        <w:ind w:left="720" w:hanging="360"/>
        <w:jc w:val="both"/>
        <w:rPr>
          <w:rFonts w:ascii="arial" w:eastAsia="arial" w:hAnsi="arial" w:cs="arial"/>
          <w:sz w:val="20"/>
          <w:lang w:val="en-US" w:eastAsia="en-US" w:bidi="ar-SA"/>
        </w:rPr>
      </w:pPr>
      <w:bookmarkStart w:id="340" w:name="Forward_fnref_fnr-46"/>
      <w:hyperlink w:anchor="Backward_fnref_fnr-46" w:history="1">
        <w:r>
          <w:rPr>
            <w:rFonts w:ascii="arial" w:eastAsia="arial" w:hAnsi="arial" w:cs="arial"/>
            <w:b/>
            <w:color w:val="BE161D"/>
            <w:sz w:val="18"/>
            <w:shd w:val="clear" w:color="auto" w:fill="FFFFFF"/>
            <w:lang w:val="en-US" w:eastAsia="en-US" w:bidi="ar-SA"/>
          </w:rPr>
          <w:t>46</w:t>
        </w:r>
      </w:hyperlink>
      <w:bookmarkEnd w:id="340"/>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41" w:name="Forward_fnref_fnr-47"/>
      <w:hyperlink w:anchor="Backward_fnref_fnr-47" w:history="1">
        <w:r>
          <w:rPr>
            <w:rFonts w:ascii="arial" w:eastAsia="arial" w:hAnsi="arial" w:cs="arial"/>
            <w:b/>
            <w:color w:val="BE161D"/>
            <w:sz w:val="18"/>
            <w:shd w:val="clear" w:color="auto" w:fill="FFFFFF"/>
            <w:lang w:val="en-US" w:eastAsia="en-US" w:bidi="ar-SA"/>
          </w:rPr>
          <w:t>47</w:t>
        </w:r>
      </w:hyperlink>
      <w:bookmarkEnd w:id="341"/>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at para?54.</w:t>
      </w:r>
    </w:p>
    <w:p>
      <w:pPr>
        <w:spacing w:before="120" w:after="20" w:line="240" w:lineRule="atLeast"/>
        <w:ind w:left="720" w:hanging="360"/>
        <w:jc w:val="both"/>
        <w:rPr>
          <w:rFonts w:ascii="arial" w:eastAsia="arial" w:hAnsi="arial" w:cs="arial"/>
          <w:sz w:val="20"/>
          <w:lang w:val="en-US" w:eastAsia="en-US" w:bidi="ar-SA"/>
        </w:rPr>
      </w:pPr>
      <w:bookmarkStart w:id="342" w:name="Forward_fnref_fnr-48"/>
      <w:hyperlink w:anchor="Backward_fnref_fnr-48" w:history="1">
        <w:r>
          <w:rPr>
            <w:rFonts w:ascii="arial" w:eastAsia="arial" w:hAnsi="arial" w:cs="arial"/>
            <w:b/>
            <w:color w:val="BE161D"/>
            <w:sz w:val="18"/>
            <w:shd w:val="clear" w:color="auto" w:fill="FFFFFF"/>
            <w:lang w:val="en-US" w:eastAsia="en-US" w:bidi="ar-SA"/>
          </w:rPr>
          <w:t>48</w:t>
        </w:r>
      </w:hyperlink>
      <w:bookmarkEnd w:id="342"/>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para?78.</w:t>
      </w:r>
    </w:p>
    <w:p>
      <w:pPr>
        <w:spacing w:before="120" w:after="20" w:line="240" w:lineRule="atLeast"/>
        <w:ind w:left="720" w:hanging="360"/>
        <w:jc w:val="both"/>
        <w:rPr>
          <w:rFonts w:ascii="arial" w:eastAsia="arial" w:hAnsi="arial" w:cs="arial"/>
          <w:sz w:val="20"/>
          <w:lang w:val="en-US" w:eastAsia="en-US" w:bidi="ar-SA"/>
        </w:rPr>
      </w:pPr>
      <w:bookmarkStart w:id="343" w:name="Forward_fnref_fnr-49"/>
      <w:hyperlink w:anchor="Backward_fnref_fnr-49" w:history="1">
        <w:r>
          <w:rPr>
            <w:rFonts w:ascii="arial" w:eastAsia="arial" w:hAnsi="arial" w:cs="arial"/>
            <w:b/>
            <w:color w:val="BE161D"/>
            <w:sz w:val="18"/>
            <w:shd w:val="clear" w:color="auto" w:fill="FFFFFF"/>
            <w:lang w:val="en-US" w:eastAsia="en-US" w:bidi="ar-SA"/>
          </w:rPr>
          <w:t>49</w:t>
        </w:r>
      </w:hyperlink>
      <w:bookmarkEnd w:id="343"/>
      <w:r>
        <w:rPr>
          <w:rFonts w:ascii="arial" w:eastAsia="arial" w:hAnsi="arial" w:cs="arial"/>
          <w:sz w:val="20"/>
          <w:lang w:val="en-US" w:eastAsia="en-US" w:bidi="ar-SA"/>
        </w:rPr>
        <w:tab/>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xml:space="preserve"> at para?53</w:t>
      </w:r>
    </w:p>
    <w:p>
      <w:pPr>
        <w:spacing w:before="120" w:after="20" w:line="240" w:lineRule="atLeast"/>
        <w:ind w:left="720" w:hanging="360"/>
        <w:jc w:val="both"/>
        <w:rPr>
          <w:rFonts w:ascii="arial" w:eastAsia="arial" w:hAnsi="arial" w:cs="arial"/>
          <w:sz w:val="20"/>
          <w:lang w:val="en-US" w:eastAsia="en-US" w:bidi="ar-SA"/>
        </w:rPr>
      </w:pPr>
      <w:bookmarkStart w:id="344" w:name="Forward_fnref_fnr-50"/>
      <w:hyperlink w:anchor="Backward_fnref_fnr-50" w:history="1">
        <w:r>
          <w:rPr>
            <w:rFonts w:ascii="arial" w:eastAsia="arial" w:hAnsi="arial" w:cs="arial"/>
            <w:b/>
            <w:color w:val="BE161D"/>
            <w:sz w:val="18"/>
            <w:shd w:val="clear" w:color="auto" w:fill="FFFFFF"/>
            <w:lang w:val="en-US" w:eastAsia="en-US" w:bidi="ar-SA"/>
          </w:rPr>
          <w:t>50</w:t>
        </w:r>
      </w:hyperlink>
      <w:bookmarkEnd w:id="344"/>
      <w:r>
        <w:rPr>
          <w:rFonts w:ascii="arial" w:eastAsia="arial" w:hAnsi="arial" w:cs="arial"/>
          <w:sz w:val="20"/>
          <w:lang w:val="en-US" w:eastAsia="en-US" w:bidi="ar-SA"/>
        </w:rPr>
        <w:tab/>
      </w:r>
      <w:r>
        <w:rPr>
          <w:rFonts w:ascii="arial" w:eastAsia="arial" w:hAnsi="arial" w:cs="arial"/>
          <w:color w:val="6D6E71"/>
          <w:sz w:val="18"/>
          <w:lang w:val="en-US" w:eastAsia="en-US" w:bidi="ar-SA"/>
        </w:rPr>
        <w:t>Schedule D, subpara?III e. v (page 10). See more generally pp.?9, 12 and 13.</w:t>
      </w:r>
    </w:p>
    <w:p>
      <w:pPr>
        <w:spacing w:before="120" w:after="20" w:line="240" w:lineRule="atLeast"/>
        <w:ind w:left="720" w:hanging="360"/>
        <w:jc w:val="both"/>
        <w:rPr>
          <w:rFonts w:ascii="arial" w:eastAsia="arial" w:hAnsi="arial" w:cs="arial"/>
          <w:sz w:val="20"/>
          <w:lang w:val="en-US" w:eastAsia="en-US" w:bidi="ar-SA"/>
        </w:rPr>
      </w:pPr>
      <w:bookmarkStart w:id="345" w:name="Forward_fnref_fnr-51"/>
      <w:hyperlink w:anchor="Backward_fnref_fnr-51" w:history="1">
        <w:r>
          <w:rPr>
            <w:rFonts w:ascii="arial" w:eastAsia="arial" w:hAnsi="arial" w:cs="arial"/>
            <w:b/>
            <w:color w:val="BE161D"/>
            <w:sz w:val="18"/>
            <w:shd w:val="clear" w:color="auto" w:fill="FFFFFF"/>
            <w:lang w:val="en-US" w:eastAsia="en-US" w:bidi="ar-SA"/>
          </w:rPr>
          <w:t>51</w:t>
        </w:r>
      </w:hyperlink>
      <w:bookmarkEnd w:id="345"/>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(AG)</w:t>
      </w:r>
      <w:r>
        <w:rPr>
          <w:rFonts w:ascii="arial" w:eastAsia="arial" w:hAnsi="arial" w:cs="arial"/>
          <w:color w:val="6D6E71"/>
          <w:sz w:val="18"/>
          <w:lang w:val="en-US" w:eastAsia="en-US" w:bidi="ar-SA"/>
        </w:rPr>
        <w:t xml:space="preserve"> (September 26, 2011) (ONSC) 00-CV-192059CP (Direction)</w:t>
      </w:r>
    </w:p>
    <w:p>
      <w:pPr>
        <w:spacing w:before="120" w:after="20" w:line="240" w:lineRule="atLeast"/>
        <w:ind w:left="720" w:hanging="360"/>
        <w:jc w:val="both"/>
        <w:rPr>
          <w:rFonts w:ascii="arial" w:eastAsia="arial" w:hAnsi="arial" w:cs="arial"/>
          <w:sz w:val="20"/>
          <w:lang w:val="en-US" w:eastAsia="en-US" w:bidi="ar-SA"/>
        </w:rPr>
      </w:pPr>
      <w:bookmarkStart w:id="346" w:name="Forward_fnref_fnr-52"/>
      <w:hyperlink w:anchor="Backward_fnref_fnr-52" w:history="1">
        <w:r>
          <w:rPr>
            <w:rFonts w:ascii="arial" w:eastAsia="arial" w:hAnsi="arial" w:cs="arial"/>
            <w:b/>
            <w:color w:val="BE161D"/>
            <w:sz w:val="18"/>
            <w:shd w:val="clear" w:color="auto" w:fill="FFFFFF"/>
            <w:lang w:val="en-US" w:eastAsia="en-US" w:bidi="ar-SA"/>
          </w:rPr>
          <w:t>52</w:t>
        </w:r>
      </w:hyperlink>
      <w:bookmarkEnd w:id="346"/>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para?19</w:t>
      </w:r>
    </w:p>
    <w:p>
      <w:pPr>
        <w:spacing w:before="120" w:after="20" w:line="240" w:lineRule="atLeast"/>
        <w:ind w:left="720" w:hanging="360"/>
        <w:jc w:val="both"/>
        <w:rPr>
          <w:rFonts w:ascii="arial" w:eastAsia="arial" w:hAnsi="arial" w:cs="arial"/>
          <w:sz w:val="20"/>
          <w:lang w:val="en-US" w:eastAsia="en-US" w:bidi="ar-SA"/>
        </w:rPr>
      </w:pPr>
      <w:bookmarkStart w:id="347" w:name="Forward_fnref_fnr-53"/>
      <w:hyperlink w:anchor="Backward_fnref_fnr-53" w:history="1">
        <w:r>
          <w:rPr>
            <w:rFonts w:ascii="arial" w:eastAsia="arial" w:hAnsi="arial" w:cs="arial"/>
            <w:b/>
            <w:color w:val="BE161D"/>
            <w:sz w:val="18"/>
            <w:shd w:val="clear" w:color="auto" w:fill="FFFFFF"/>
            <w:lang w:val="en-US" w:eastAsia="en-US" w:bidi="ar-SA"/>
          </w:rPr>
          <w:t>53</w:t>
        </w:r>
      </w:hyperlink>
      <w:bookmarkEnd w:id="347"/>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para?21</w:t>
      </w:r>
    </w:p>
    <w:p>
      <w:pPr>
        <w:spacing w:before="120" w:after="20" w:line="240" w:lineRule="atLeast"/>
        <w:ind w:left="720" w:hanging="360"/>
        <w:jc w:val="both"/>
        <w:rPr>
          <w:rFonts w:ascii="arial" w:eastAsia="arial" w:hAnsi="arial" w:cs="arial"/>
          <w:sz w:val="20"/>
          <w:lang w:val="en-US" w:eastAsia="en-US" w:bidi="ar-SA"/>
        </w:rPr>
      </w:pPr>
      <w:bookmarkStart w:id="348" w:name="Forward_fnref_fnr-54"/>
      <w:hyperlink w:anchor="Backward_fnref_fnr-54" w:history="1">
        <w:r>
          <w:rPr>
            <w:rFonts w:ascii="arial" w:eastAsia="arial" w:hAnsi="arial" w:cs="arial"/>
            <w:b/>
            <w:color w:val="BE161D"/>
            <w:sz w:val="18"/>
            <w:shd w:val="clear" w:color="auto" w:fill="FFFFFF"/>
            <w:lang w:val="en-US" w:eastAsia="en-US" w:bidi="ar-SA"/>
          </w:rPr>
          <w:t>54</w:t>
        </w:r>
      </w:hyperlink>
      <w:bookmarkEnd w:id="348"/>
      <w:r>
        <w:rPr>
          <w:rFonts w:ascii="arial" w:eastAsia="arial" w:hAnsi="arial" w:cs="arial"/>
          <w:sz w:val="20"/>
          <w:lang w:val="en-US" w:eastAsia="en-US" w:bidi="ar-SA"/>
        </w:rPr>
        <w:tab/>
      </w:r>
      <w:r>
        <w:rPr>
          <w:rFonts w:ascii="arial" w:eastAsia="arial" w:hAnsi="arial" w:cs="arial"/>
          <w:color w:val="6D6E71"/>
          <w:sz w:val="18"/>
          <w:lang w:val="en-US" w:eastAsia="en-US" w:bidi="ar-SA"/>
        </w:rPr>
        <w:t>Ibid., para.?22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Frayne v. Alleman, [2006] B.C.J. No. 3428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Wong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December 8,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March 5, 2007.</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04-3666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3428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1988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166 A.C.W.S. (3d) 77</w:t>
      </w:r>
    </w:p>
    <w:p>
      <w:pPr>
        <w:spacing w:before="120" w:line="260" w:lineRule="atLeast"/>
        <w:rPr>
          <w:lang w:val="en-US" w:eastAsia="en-US" w:bidi="ar-SA"/>
        </w:rPr>
      </w:pPr>
      <w:r>
        <w:rPr>
          <w:rFonts w:ascii="arial" w:eastAsia="arial" w:hAnsi="arial" w:cs="arial"/>
          <w:color w:val="000000"/>
          <w:sz w:val="20"/>
          <w:lang w:val="en-US" w:eastAsia="en-US" w:bidi="ar-SA"/>
        </w:rPr>
        <w:t>Between Astrid Ingrid Frayne, Plaintiff, and Harold Wayne Alleman, B.C. Transit, and Farwest handyDART Services Incorporated,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4" style="position:absolute;z-index:2516971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49" w:name="Keywords_35"/>
      <w:bookmarkEnd w:id="349"/>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The plaintiff was awarded $99,415 in total damages for injuries sustained in a motor vehicle accident for which the defendant driver was found 90 per cent liable — The court awarded $45,000 in non-pecuniary damages, $18,342 in lost wages, $8,453 in special damages, $18,000 for loss of future earning capacity, $9,620 for cost of future care for dental work and psychotherapy.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Head injuries — Brain damage — Age of claimant — 46 to 55 — Non-pecuniary award — $40,001 to $60,000 — The plaintiff was awarded $99,415 in total damages for injuries sustained in a motor vehicle accident for which the defendant driver was found 90 per cent liable — The court awarded $45,000 in non-pecuniary damages, $18,342 in lost wages, $8,453 in special damages, $18,000 for loss of future earning capacity, $9,620 for cost of future care for dental work and psychotherapy.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plaintiff was awarded $99,415 in total damages for injuries sustained in a motor vehicle accident for which the defendant driver was found 90 per cent liable — The court awarded $45,000 in non-pecuniary damages, $18,342 in lost wages, $8,453 in special damages, $18,000 for loss of future earning capacity, $9,620 for cost of future care for dental work and psychotherapy.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50" w:name="Case Summary_33"/>
            <w:bookmarkEnd w:id="35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54-year-old plaintiff sued for damages for injuries sustained when her bicycle was struck by a van -- She alleged that she had suffered soft tissue injuries, a mild concussion and mild traumatic brain injury -- HELD: The plaintiff was awarded $99,415 in total damages; the defendant driver of the van was 90 per cent responsible for the accident, while the plaintiff was 10 per cent responsible -- It was clear that the defendant driver failed to yield the right of way to the plaintiff, as she was travelling west down a throughway and he had a stop sign -- However, the plaintiff was partly responsible for failing to keep an adequate lookout -- The court found the plaintiff likely had depression and anxiety manifested in chronic fatigue rather than a mild traumatic brain injury -- Her failure to take her anti-depressant medication was deemed a failure to mitigate -- The court awarded $45,000 in non-pecuniary damages, $18,342 in lost wages, $8,453 in special damages, $18,000 for loss of future earning capacity, $9,620 for cost of future care for dental work and psychotherapy. </w:t>
            </w:r>
            <w:r>
              <w:rPr>
                <w:lang w:val="en-US" w:eastAsia="en-US" w:bidi="ar-SA"/>
              </w:rPr>
              <w:cr/>
            </w:r>
          </w:p>
          <w:p>
            <w:pPr>
              <w:rPr>
                <w:lang w:val="en-US" w:eastAsia="en-US" w:bidi="ar-SA"/>
              </w:rPr>
            </w:pPr>
          </w:p>
        </w:tc>
      </w:tr>
    </w:tbl>
    <w:p>
      <w:pPr>
        <w:jc w:val="both"/>
        <w:rPr>
          <w:lang w:val="en-US" w:eastAsia="en-US" w:bidi="ar-SA"/>
        </w:rPr>
      </w:pPr>
      <w:bookmarkStart w:id="351" w:name="Legislation Cited_25"/>
      <w:bookmarkEnd w:id="35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5" style="position:absolute;z-index:2517483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806" w:history="1">
        <w:r>
          <w:rPr>
            <w:rFonts w:ascii="arial" w:eastAsia="arial" w:hAnsi="arial" w:cs="arial"/>
            <w:i/>
            <w:color w:val="0077CC"/>
            <w:sz w:val="20"/>
            <w:u w:val="single"/>
            <w:shd w:val="clear" w:color="auto" w:fill="FFFFFF"/>
            <w:lang w:val="en-US" w:eastAsia="en-US" w:bidi="ar-SA"/>
          </w:rPr>
          <w:t>R.S.B.C. 1996, c. 318, s. 175</w:t>
        </w:r>
      </w:hyperlink>
      <w:r>
        <w:rPr>
          <w:rFonts w:ascii="arial" w:eastAsia="arial" w:hAnsi="arial" w:cs="arial"/>
          <w:color w:val="000000"/>
          <w:sz w:val="20"/>
          <w:lang w:val="en-US" w:eastAsia="en-US" w:bidi="ar-SA"/>
        </w:rPr>
        <w:t>(1)(a)</w:t>
      </w:r>
      <w:r>
        <w:rPr>
          <w:lang w:val="en-US" w:eastAsia="en-US" w:bidi="ar-SA"/>
        </w:rPr>
        <w:cr/>
      </w:r>
    </w:p>
    <w:p>
      <w:pPr>
        <w:keepNext/>
        <w:spacing w:before="240" w:line="340" w:lineRule="atLeast"/>
        <w:rPr>
          <w:lang w:val="en-US" w:eastAsia="en-US" w:bidi="ar-SA"/>
        </w:rPr>
      </w:pPr>
      <w:bookmarkStart w:id="352" w:name="Counsel_37"/>
      <w:bookmarkEnd w:id="35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6" style="position:absolute;z-index:251799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her own behalf: Astrid Frayne.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 McCullagh, C. Vandermolen.</w:t>
      </w:r>
      <w:r>
        <w:rPr>
          <w:lang w:val="en-US" w:eastAsia="en-US" w:bidi="ar-SA"/>
        </w:rPr>
        <w:cr/>
      </w:r>
    </w:p>
    <w:p>
      <w:pPr>
        <w:spacing w:after="240"/>
        <w:rPr>
          <w:lang w:val="en-US" w:eastAsia="en-US" w:bidi="ar-SA"/>
        </w:rPr>
      </w:pPr>
      <w:bookmarkStart w:id="353" w:name="Judgment_37"/>
      <w:bookmarkEnd w:id="353"/>
      <w:r>
        <w:pict>
          <v:line id="_x0000_s1207" style="position:absolute;z-index:2518497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54" w:name="WONG J. (orally)"/>
            <w:bookmarkEnd w:id="354"/>
            <w:r>
              <w:rPr>
                <w:rFonts w:ascii="arial" w:eastAsia="arial" w:hAnsi="arial" w:cs="arial"/>
                <w:b/>
                <w:color w:val="000000"/>
                <w:sz w:val="30"/>
                <w:lang w:val="en-US" w:eastAsia="en-US" w:bidi="ar-SA"/>
              </w:rPr>
              <w:t>WONG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BACKGROUND AND ISSUES FOR 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Astrid Ingrid Frayne, was injured as a result of a bicycle and motor vehicle collision that occurred on March 24, 2003, at the intersections of Currie and Goodwin Roads at Oak Bay during daylight and dry conditions. Ms. Frayne was riding her bicycle westbound on Currie, which is a through street at this intersection. The defendant, Mr. Alleman, was operating a handyDART van southbound on Goodwin and having stopped at the stop sign on Goodwin was commencing a right-hand turn onto Currie when the accident occurred. Apparently the parties failed to see each other in time to avoid a collision, and Ms. Frayne contacted the left front side of the handyDART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 accident, Ms. Frayne suffered soft-tissue injuries involving various areas, a mild concussion, and psychological difficulties. She has various pain and cognitive complaints since the accident, but her most significant complaint has been ongoing fatigue. She also advanced the complaint of mild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Frayne is presently 54 years of age. From 1997 until the accident she owned and operated the Relax the Back store in Victoria, which is a franchise retail outlet that sells various ergonomic-type products. Ms. Frayne has continued to own and operate the store since the accident but now alleges that she has done so on a restricted basis and has suffered resulting financial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advances damage claims for non-pecuniary loss, financial loss from the accident date to trial, loss of earning capacity, and future care costs, and has a special damages claim for outstanding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Liability for the accident and the quantum of all categories of damages was in issue at trial. The defence also advanced an allegation of failure to mitigate by the plaintiff. During mid-trial, there was an agreement on the quantum for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respect to liability, the defendants say that the accident was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Frayne in failing to keep a proper lookout and in failing to take appropriate evasive action. With respect to damages, the defendants acknowledge that as a result of the accident, Ms. Frayne suffered soft-tissue injuries, a possible mild concussion, and experienced psychological problems. The primary issues in relation to damages were the magnitude and cause of her present problems. The defence position is that Ms. Frayne's current complaints of fatigue and cognitive difficulties do not result from her alleged traumatic brain injury she suffered from the motor vehicle accident but are psychologically based and caused in part by pre-existing hypertension and anemia.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respect to financial loss, the defendants submitted that they do not accept that there has been any significant financial loss resulting from the plaintiff's accident injuries. The plaintiff's business was in a loss position every year before the accident and since the accident has been profitable in each year. The plaintiff has been able to increase her own sales since the accident from her pre-accident levels. At most, the defence says, there has been a modest increased wage cost to the business consequent on the hiring of two part-time employees who have worked at times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say that the plaintiff has not suffered a loss of earning capacity as a result of the accident. They say her sales performance since the accident belies a loss of capacity. They further submit that if the plaintiff's fatigue does present her from engaging in the business at the same level she did prior to the accident, the defence contention is that had the plaintiff pursued recommended treatment in a timely fashion, she would by now have been back at her pre-accident status.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terms of mitigation, they argue the plaintiff has been noncompliant in terms of treatment. She has not taken treatment for hypertension and has been sporadic in pursuing treatment for anemia. In relation to her clearly diagnosed depression, she has refused to pursue the recommended medication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future care, although medication therapy for depression has been recommended, Ms. Frayne seemingly is not prepared to pursue the treatment. She is taking ongoing counselling but it is not clear that the counselling will be beneficial in the absence of medication therapy in the long run.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From the evidence, it is clear the defendant Alleman failed to yield the right of way to Ms. Frayne contrary to s. 175(1)(a)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However, the plaintiff still had a responsibility to be aware of her surroundings and possible evasive action to be taken before the collision. She is therefore contributorily negligent to some degree. Just because she has the prior right of way does not absolve her from keeping some sort of lookout. I would therefore assess fault to the defendant Alleman at 90% and 10%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MILD TRAUMATIC BRAIN INJURY VERSUS PROLONGED DEPRESSION </w:t>
      </w:r>
      <w:r>
        <w:rPr>
          <w:rFonts w:ascii="arial" w:eastAsia="arial" w:hAnsi="arial" w:cs="arial"/>
          <w:i/>
          <w:color w:val="000000"/>
          <w:sz w:val="20"/>
          <w:lang w:val="en-US" w:eastAsia="en-US" w:bidi="ar-SA"/>
        </w:rPr>
        <w:t>SIMPLICITER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 of the plaintiff's medical specialists and neuropsychologists have opined that the plaintiff suffers from continuing effects of a mild traumatic brain injury with secondary onset of depression. I think it is more likely than not that the plaintiff has prolonged depression and anxiety manifested in chronic fatigue rather than a traumatic brain injury. I adopt the observations and opinion of Dr. Maelor Vallance, an experienced and respected psychiatrist.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Vallance stated, I quote: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Frayne appears to have sustained soft tissue injury in the road traffic accident of March 24, 2003. She had abrasions principally down the right side of her body together with sprains of her upper back and neck, and sprains of her right knee. While I will of course defer to my colleagues expert in the area of such physical injury as she may have sustained in this accident these problems have largely resolved although she still complains of flare ups in her pain from time to time, particularly in her back and neck and pain in her right hip when she sleeps on it sometimes. Her headaches have diminished considerably. They appear to have been cervicogenic in nature, likely arising from her neck and coming up and over her head. She may have had some pre-accident vulnerability in her neck as she put it, given the earlier whiplash injury which took a year or so to mainly resolve but with some symptoms from time to time over the years. However, as far as I can determine from the records leading up the accident, there was no immediate problem with her neck or back. While I will defer to my colleagues expert in such physical injury as she may have sustained in the accident of March 24, 2003, her treatments appear to have been principally passive and she could likely benefit from an active exercise program, although given her other complaints, she likely would not cooperate with that.</w:t>
      </w:r>
    </w:p>
    <w:p>
      <w:pPr>
        <w:spacing w:before="120" w:line="260" w:lineRule="atLeast"/>
        <w:ind w:left="720"/>
        <w:rPr>
          <w:lang w:val="en-US" w:eastAsia="en-US" w:bidi="ar-SA"/>
        </w:rPr>
      </w:pPr>
      <w:r>
        <w:rPr>
          <w:rFonts w:ascii="arial" w:eastAsia="arial" w:hAnsi="arial" w:cs="arial"/>
          <w:color w:val="000000"/>
          <w:sz w:val="20"/>
          <w:lang w:val="en-US" w:eastAsia="en-US" w:bidi="ar-SA"/>
        </w:rPr>
        <w:t>It is likely that she sustained at least some degree of concussion in the accident. There was apparently damage to her helmet and at least a brief gap in her recall. However, she was quickly alert and able to give her history and lay down reasonably continuous memories. Measured by anterograde amnesia, any concussion she experienced would have been minimal. She did not develop any immediate common post-concussive symptoms such as tinnitus or photophobia. She later complained of intolerance to noise and light but in another context and not with complaints of ringing in her ears or pain in her eyes to bright light immediately after the accident. There was also no nausea reported. She did report dizziness, or at least unsteadiness, to some of the doctors that she saw but such symptoms can arise from many causes, not least problems with the neck. The headaches that she experienced were characteristic of cervicogenic headaches. The ambulance crew report and the hospital record indicate also that no serious concussion had occurred in that the ambulance crew arrived quickly, the Glasgow Coma Score was normal and she could give a history of her previous whiplash injury. Similarly in the hospital record there was notation of no loss of consciousness and no symptoms described to suggest a post-concussive state. I do not believe that her ongoing symptoms such as of poor concentration and marked fatigue to this date could possibly be explained on the basis of such a minimal concussion. Psychological testing in that regard is nonspecific and by itself, not diagnostic. Dr. Atkinson's test results suggest problems of a more focal nature and there is certainly nothing in this history that could account for that, in terms of brain damage. In short, I agree with Dr. Moll's formulation. It may be that she had some minimal problems with concentration initially and that may well have concerned her. However it is difficult to know what her earliest symptoms might have been given that when she saw Dr. Graf-Blaine on March 25, 2003 the accident itself is not referred to. She was, however, able to give him what would appear to be a fairly complete past history. When she did see Dr. Luco on April 29, 2003, she referred to her neck and back pain and some balance and occasional vertigo problems. She had low energy, anxiety, and concentration problems. That, however, was over a month post-accident. When Dr. Kemble saw her on May 12, 2003 he diagnosed a minor closed head injury and thought that most of her symptoms of cognition related to that and that her fatigue was a combination of physical and emotional stress. On examination she was neurologically normal. By July 10, 2003 when she was seen by Dr. Kiellerman, she was decidedly upset. She reported the year before the accident had been the best in her life and she reported that she had been getting worse since the accident and by that time frequently had to close the store. Dr. Kiellerman's diagnosis was that of Post-Traumatic Stress Disorder and musculoskeletal problems. I do not agree that she has Post-Traumatic Stress Disorder. She has none of the indicia of that. Certainly it would have been a frightening experience and she had some anxiety in traffic situations such as riding a bike, but there were no bad dreams, intrusive recollections or flashbacks, panic attacks or other phobias.</w:t>
      </w:r>
    </w:p>
    <w:p>
      <w:pPr>
        <w:spacing w:before="120" w:line="260" w:lineRule="atLeast"/>
        <w:ind w:left="720"/>
        <w:rPr>
          <w:lang w:val="en-US" w:eastAsia="en-US" w:bidi="ar-SA"/>
        </w:rPr>
      </w:pPr>
      <w:r>
        <w:rPr>
          <w:rFonts w:ascii="arial" w:eastAsia="arial" w:hAnsi="arial" w:cs="arial"/>
          <w:color w:val="000000"/>
          <w:sz w:val="20"/>
          <w:lang w:val="en-US" w:eastAsia="en-US" w:bidi="ar-SA"/>
        </w:rPr>
        <w:t>I think it likely that her complaints, particularly of continuing poor concentration and fatigue, are as a result of anxiety and depression. Anxiety and depression do not appear to be altogether new in her experience. Such problems are referred to in the records of both Dr. Preis and Dr. Francis. Dr. Preis notes that in February of 2000 she was very anxious. Dr. Francis notes in April of 2000 that she was sad and tearful, staying home and having anxiety going out. Both Dr. Preis and Dr. Francis refer to fatigue, Dr. Francis referring to it as fatigue over the preceding three years. It is likely that the anxiety and depression were responsible for her complaints of fatigue, albeit that anemia may have played a part. The depression and anxiety of that time did not appear to resolve that quickly either. Dr. Yam, in his record of October 12, 2001, refers to her still being under stress and that her property had been seized and she was depressed and in emotional turmoil. It was then that the antidepressant Effexor was prescribed. In association with that, Dr. Yam also notes October 19, 2001 that she appeared to be having difficulty, or at least anxiety, about organizing herself such as having called twice to get the time right, there being what I take to be no-show and then showing up at 11:00 saying that she had never called back nor had any memory of calling back and speaking about how to take her medication or about the time. Beyond that date however, I found no reference to either anxiety or depression for at least a year prior to the accident of March 24, 2003. She reports to me that was in a very good phase of her life. At least as far as the record goes, there is nothing to suggest that that was not so. Nevertheless, these records do suggest that anxiety and depression were not new for her and at the same time as she was experiencing such problems, she was also complaining of fatigue. That lends support to the opinion that her current most disabling complaint, i.e. fatigue, is much more likely to relate to anxiety and depression than to any other cause. While she makes little of anemia, it is very likely that anemia has also played a part in her fatigue, at least from time to time. She does not attend at doctors regularly, nor does she appear to be very compliant with their recommendations. Consequently I do not know what the current status is of either anemia or hypertension. She makes little of both and does not even recall Dr. Francis talking to her at length about her hypertension. Contrary to her recollection, her blood pressure was taken very regularly by Dr. Francis. When examined by Dr. Broome, who reports on August 30, 2004, it was considered that with regard to the blood pressure, there was a "major stress component here and she likely would be normotensive under more relaxed circumstances." It is likely that the hypertension noted at other times pre-accident was also stress related.</w:t>
      </w:r>
    </w:p>
    <w:p>
      <w:pPr>
        <w:spacing w:before="120" w:line="260" w:lineRule="atLeast"/>
        <w:ind w:left="720"/>
        <w:rPr>
          <w:lang w:val="en-US" w:eastAsia="en-US" w:bidi="ar-SA"/>
        </w:rPr>
      </w:pPr>
      <w:r>
        <w:rPr>
          <w:rFonts w:ascii="arial" w:eastAsia="arial" w:hAnsi="arial" w:cs="arial"/>
          <w:color w:val="000000"/>
          <w:sz w:val="20"/>
          <w:lang w:val="en-US" w:eastAsia="en-US" w:bidi="ar-SA"/>
        </w:rPr>
        <w:t>I believe that the priority here is still in the management of Ms. Frayne's anxiety and depression. She has not had a trial of antidepressant medication save for taking one pill on one occasion. I believe that she is really very controlling of her own management and will likely take some convincing if she is to have a clinical trial of an antidepressant. She appears now to have been convinced that her problems relate to brain damage. I believe that until she is disabused of that notion she will simply have more ammunition to resist antidepressant treatment. I believe that if she is to continue in therapy with Dr. Hern that the therapy should be directed at cognitive behavioral therapy of her depression and anxiety and not strategies in dealing with residual brain damage, which I do not believe she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because of the conflicting opinions of the other doctors, I cannot completely rule out the remote possibility at this stage of an also very mild traumatic brain injury intermingled with the definite depression.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the evidence, the plaintiff's refusal to commence the use of antidepressant medication as prescribed was unreasonable as the potential benefits available to her far outweigh the little or no risk to her for using the medicine as prescribed. Her uncertainty and hesitation to use the medication during the first year post-accident may be understandable, but her continued failure must be deemed a failure to mitigate, which must discount some quantum of her non-pecuniary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OR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Since the accident Ms. Frayne has suffered considerable psychological difficulties in terms of chronic depression, anxiety, and fatigue. Prior to the motor vehicle accident she was physically active and socializing with a wide circle of friends. Since the accident she has had to either discontinue or curtail those activities. She has also become socially reclusive. After taking into account a discount for failure to mitigate, I would fix the non-pecuniary damages at $50,000 before deducting a further 10%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arrive at a net amount of $45,000.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LOSS OF PAST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Ms. Frayne's business continued to be more profitable post-accident, I am in agreement with defence counsel Ms. McCullagh that the plaintiff's only loss in terms of past income to trial are wages paid to replacement employees from 2004 to 2006. The amounts paid for those years are: 2004, $6,420; 2005, $6,960; 2006, it is likely estimated, in my view, to be approximately $7,000, which totals $20,380. However, when discounted by 10%, that amounts to $18,342.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Special damages were agreed at a rounded figure of $9,392 and when discounted by 10% amounts to $8,453.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Hopefully, with antidepressant medication therapy and psychotherapy counselling, Ms. Frayne's symptoms will eventually improve and perhaps bring her back close to her pre-motor vehicle accident functional level. I have already earlier indicated a concern about the remote possibility of whether Ms. Frayne also suffers from a very mild traumatic brain injury. Although Ms. Frayne is currently 54 years of age and wants to continue her self-employment until possibly to 70 years of age, in other words, 16 years hence, which I think is feasible, it is impossible to say the injuries suffered by her will not impair her overall general income-earning ability as outlined in the principle enunciated in the British Columbia Court of Appeal case of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pages 59 to 60. I would therefore award Ms. Frayne $20,000 less 10%, which amounts to $18,000 for this head of damage.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Continuation of psychotherapy has been recommended by all doctors. Presently Ms. Frayne is under the care of Dr. Adele Hern who is a neuropsychologist for which no cost is currently incurred by Ms. Frayne. It is uncertain how long that will continue. Some assistance was given by Dr. Allison in her report in her recommendation that Ms. Frayne continue her psycho-counselling for at least another two years. Dr. Allison had suggested that for the first six months she be seen by psycho-counselling at least once a week and in the next six months twice a month, in the second year perhaps once a month. That amounts to 50 weeks, and there has been an indication that that cost would be $150 per hour. That gives a total of $7,500 which discounted at 10% amounts to $6,750.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some indication in the material that as a result of the impact or perhaps the fall in the throwing across the road, Ms. Frayne has suffered some damage to her teeth. Dr. Lam's report indicates that he recommends root-canal therapy and replacement by a porcelain crown. The root-canal therapy is estimated to cost $389, the porcelain crown $800, making a total of $1,189; discounted at 10% is $1,070.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Ms. Frayne undergoes an antidepressant therapy, and there is some suggestion that perhaps this might be for two years and to be monitored by her physicians, I am going to perhaps arbitrarily arrive at a figure of $2,000 for those two years. Discounted at 10%, that makes $1,800.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cost of future care, therefore, amounts to $9,620.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terms of liability, Ms. Frayne is assessed 10% contributory negligent from this accident. The summary of damages which I have outlined are as follows: non-pecuniary damages, $45,000; loss of past income, $18,342; special damages, $8,453; loss of future earning capacity, $18,000; cost of future care, $9,620, giving an aggregate total of $99,415.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will also be, aside from the non-pecuniary damages, court order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hear from Counsel as to the question of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Well, it seems to me it is made quite clear on this matter. Take your order as requested.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 McCULLAGH</w:t>
      </w:r>
      <w:r>
        <w:rPr>
          <w:rFonts w:ascii="arial" w:eastAsia="arial" w:hAnsi="arial" w:cs="arial"/>
          <w:color w:val="000000"/>
          <w:sz w:val="20"/>
          <w:lang w:val="en-US" w:eastAsia="en-US" w:bidi="ar-SA"/>
        </w:rPr>
        <w:t>: So 90% of the plaintiff's costs to the date? Thank you, My Lord. Would it be appropriate in this case to dispense with Ms. Frayne's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Yes. The approval as to the form of the order is dispensed 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Frayne, what this means is that Ms. McCullagh will draw up the order for my signature on the judgment I have rendered today, and because the judgment awarded was considerably below the offer, there are cost consequences.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Did this matter go to mediation before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 McCULLAGH</w:t>
      </w:r>
      <w:r>
        <w:rPr>
          <w:rFonts w:ascii="arial" w:eastAsia="arial" w:hAnsi="arial" w:cs="arial"/>
          <w:color w:val="000000"/>
          <w:sz w:val="20"/>
          <w:lang w:val="en-US" w:eastAsia="en-US" w:bidi="ar-SA"/>
        </w:rPr>
        <w:t>: The matter went to mediation before the formal offer was made back in June. I did have one point of clarification, My Lord. You had ordered court order interest. That would be on both the special damages and the wage expense; would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Yes.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WONG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Guitierrez v. Covvey, [2015] B.C.J. No. 441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M123833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369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Rubidia Isabel Guitierrez, Plaintiff, and Mark Andrew Covvey,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5" w:name="Keywords_36"/>
      <w:bookmarkEnd w:id="355"/>
      <w:r>
        <w:rPr>
          <w:rFonts w:ascii="arial" w:eastAsia="arial" w:hAnsi="arial" w:cs="arial"/>
          <w:b/>
          <w:color w:val="000000"/>
          <w:sz w:val="20"/>
          <w:lang w:val="en-US" w:eastAsia="en-US" w:bidi="ar-SA"/>
        </w:rPr>
        <w:t>Damages — Physical and psychological injuries — Physical injuries — Body injuries — Back and spine — Neck — Soft tissue — Arm injuries — Hand — Leg injuries — Knee — Psychological injuries — Post-traumatic stress disorder (PTSD) — Action by pedestrian for damages for injuries sustained in accident allowed in part — While crossing street in marked crosswalk, plaintiff was struck by defendant — Defendant was solely liable for accident as he did not exercise due care and attention — Plaintiff suffered soft tissue injuries to back, neck and left knee, injuries to left wrist and hand and PTSD — Plaintiff entitled to general damages of $75,000 and damages of $80,500 for past wage loss, $128,515 for loss of future earnings, $7,000 for loss of housekeeping capacity, $7,000 for costs of future care and special damages of $7,884.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Expenses and expenditures — Non-pecuniary loss — Action by pedestrian for damages for injuries sustained in accident allowed in part — While crossing street in marked crosswalk, plaintiff was struck by defendant — Defendant was solely liable for accident as he did not exercise due care and attention — Plaintiff suffered soft tissue injuries to back, neck and left knee, injuries to left wrist and hand and PTSD — Plaintiff entitled to general damages of $75,000 and damages of $80,500 for past wage loss, $128,515 for loss of future earnings, $7,000 for loss of housekeeping capacity, $7,000 for costs of future care and special damages of $7,884.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Turns — Left turn at intersection — Liability — Civil actions — Action by pedestrian for damages for injuries sustained in accident allowed in part — While crossing street in marked crosswalk, plaintiff was struck by defendant — Defendant was solely liable for accident as he did not exercise due care and attention — Plaintiff suffered soft tissue injuries to back, neck and left knee, injuries to left wrist and hand and PTSD — Plaintiff entitled to general damages of $75,000 and damages of $80,500 for past wage loss, $128,515 for loss of future earnings, $7,000 for loss of housekeeping capacity, $7,000 for costs of future care and special damages of $7,884.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6" w:name="Case Summary_34"/>
            <w:bookmarkEnd w:id="3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pedestrian for damages for injuries sustained in an accident. While cross an intersection, the plaintiff was struck by a cargo van driven by the defendant as he made a left turn. As a result of the accident, the plaintiff suffered soft tissue injuries to her neck back and left knee and injuries to her left wrist and hand. For the first month following the accident, she experienced a lot of pain on her left side. She could not lie down because of the pain, could only sit for short periods of time and standing was difficult. After the accident, she was unable to work or care for her home or her children. She did not leave her home except for medical treatment and was afraid to leave the house. She attended various therapies and her conditions improved, but she still experienced pain and weakness. The plaintiff was a 43-year-old immigrant from Guatemala with a limited education and limited English-language skills. She was married with two children. Prior to the accident, she worked as a cook for a food distribution company. She remained off work for almost two years. She had since returned to work, but was unable to work fulltime because of pain. Prior to the accident, she regularly socialized with friends and volunteered and the children's school, but no longer did so.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7" w:name="Holdings of Court_29"/>
            <w:bookmarkEnd w:id="3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fully liable for the accident. The plaintiff was walking through a marked crosswalk when she was struck by the defendant and the defendant did not exercise due care and attention as he failed to see the plaintiff until it was too late. As a result of the accident, the plaintiff suffered soft tissue injuries to her neck, back and left knee, injuries to her left wrist and hand and PTSD. The plaintiff was entitled to general damages of $75,000. In addition, she was entitled to damages of $80,500 for past wage loss, $128,515 for loss of future earnings, $7,000 for loss of housekeeping capacity, $7,000 for costs of future care and special damages of $7,884.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8" w:name="Legislation Cited_26"/>
      <w:bookmarkEnd w:id="3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27" w:history="1">
        <w:r>
          <w:rPr>
            <w:rFonts w:ascii="arial" w:eastAsia="arial" w:hAnsi="arial" w:cs="arial"/>
            <w:i/>
            <w:color w:val="0077CC"/>
            <w:sz w:val="20"/>
            <w:u w:val="single"/>
            <w:shd w:val="clear" w:color="auto" w:fill="FFFFFF"/>
            <w:lang w:val="en-US" w:eastAsia="en-US" w:bidi="ar-SA"/>
          </w:rPr>
          <w:t>RSBC 1996, CHAPTER 318, s. 125</w:t>
        </w:r>
      </w:hyperlink>
      <w:r>
        <w:rPr>
          <w:rFonts w:ascii="arial" w:eastAsia="arial" w:hAnsi="arial" w:cs="arial"/>
          <w:color w:val="000000"/>
          <w:sz w:val="20"/>
          <w:lang w:val="en-US" w:eastAsia="en-US" w:bidi="ar-SA"/>
        </w:rPr>
        <w:t>, s. 128, s. 129, s. 132, s. 144, s. 179, s. 179(2),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9" w:name="Counsel_38"/>
      <w:bookmarkEnd w:id="3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Mouzourakis.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0" w:name="Judgment_38"/>
      <w:bookmarkEnd w:id="360"/>
      <w:r>
        <w:pict>
          <v:line id="_x0000_s1212" style="position:absolute;z-index:2518507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23, 2016; the change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1" w:name="L.A. LOO J."/>
            <w:bookmarkEnd w:id="361"/>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evening of December 7, 2010, the plaintiff Rubidia Isabel Guitierrez had walked more than half way through a marked cross-walk when she was struck by a cargo van driven by the defendant Mark Covvey. Liability and damages are in issue. The defendant accepts that he bears some responsibility for the accident, but contends that the plaintiff also bears at least equal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Guitierrez is 43 years old. The eldest of eight siblings, she was born and raised in Guatemala. She left school to work when she was 13, but returned for one more year of school when she was 16. In Guatemala she worked by weaving traditional clothing using a large hand loom. She also worked at public markets selling juices and plastic baskets that she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Guitierrez and her husband Manuel Guitierrez come from the same town in Guatemala. In 1985 Mr. Guitierrez came to Canada. In 1996 Mr. and Mrs. Guitierrez were married and Mrs. Guitierrez came to Vancouver where Mr. Guitierrez lives. They have two children: a son who is now 17 and a daughter who is 12. They live in a one-bedroom apartment near Broadway and Fraser Street on the east side of Vancouver. They have no vehicle, and rely on public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coming to Canada Mrs. Guitierrez has had no further formal education and has limited job skills. Mr. and Mrs. Guitierrez are both hard working and pleasant. English is obviously their second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Guitierrez is 51 years old. He works on call as a custodian for the Vancouver School Board maintenance department. He considers himself "lucky" because he generally works five days a week on the night shift from 11:00 p.m. to 7:00 a.m. Mr. Guitierrez also works part-time as a receiver-shipper for a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Guitierrez is not fluent in English. She speaks Spanish. She can speak and answer in very basic English, if she is spoken to slowly. She began testifying at trial through an interpreter, but did her best to testify in English when she could, although she needed the assistance of the interpreter to understand many of the questions that she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Guitierrez's first job in Canada was working in a factory making underwear trimmings. In June 1999 she began working as a food production assistant for Creekside Custom Foods ("Creekside") on Annacis Island. The company produces bread, sandwiches, pastries, sushi, and other foods for distribution to retail distributors, such as WestJet Airlines and BC Ferries. At some point before the accident of December 7, 2010, Mrs. Guitierrez was promoted to the position of second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accident, Mrs. Guitierrez was a dedicated and committed employee who performed her job well. She worked in the "cold room" (the temperature is less than 10[degrees]C), preparing and assembling sandwiches, wraps, and sushi on a conveyor belt production line. The job requires standing for long periods, moving and stacking trays of sandwiches, and lifting containers of food and produce weighing up to 25 pounds. The job also involves using a meat slicing machine that needs to be lifted, cleaned, and reassembled. During a regular eight hour shift, there is only one break of 30 minutes for lunch and no other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accident, according to the clinical records of her family physician, Mrs. Guitierrez had on occasions been treated for anxiety, depression, and stress, but both Mrs. Guitierrez and her husband denied that or seemed genuinely surprised when that was suggested to them. That may be accounted for by language difficulties. However, any symptoms of anxiety, stress, or depression that Mrs. Guitierrez may have suffered before the accident never prevented her from working, or from carrying out the normal activities of her life or household. Despite working a 40-hour week and regular overtime, Mrs. Guitierrez was also a traditional wife. She did all of the shopping, cooking, cleaning, laundry, and housework for the family, although Mr. Guitierrez sometimes helped with the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the evening of Tuesday, December 7, 2010, around 7:00 p.m. at the intersection of Cambie Street and West 8th Avenue, a busy commercial intersection. On the southeast corner there is a Wendy's fast food restaurant, and on the northeast corner there is a Starbuck's and the entrance to Winners department store in part of The Rise building complex. Photographs also show a BC Liquor store on the northwest corner of the intersection, and on the southwest corner, a Milestones restaurant in a large building complex. Cambie Street is a main arterial road with two lanes each for northbound and southbound traffic as well as parking lanes, and a left-turn lane for southbound traffic turning left or east onto 8th Avenue. A yellow line on 8th Avenue where the accident occurred divides east and west bound traffic. The intersection is well lit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Guitierrez finished work at Creekside at 4:00 p.m., took two buses, and then shopped at London Drugs on Broadway near Cambie Street. After that she shopped at Save-on-Foods at Cambie Street and West 7th Avenue. She then walked southbound on the east side of Cambie Street. She was headed towards Broadway (or what would be 9th Avenue) so she could take the bus to go home. She wore a black hat, dark pants, and a sky blue jacket with white stripes on the sleeves. She was carrying her purse, a dark green umbrella because it was raining, and two white plastic shopping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Guitierrez testified that when she got to 8th Avenue she stopped and watched for "the little man" to show up on the pedestrian signal informing her that she could cross the street. When she saw "the doll", she looked left and then right to see if any cars were coming before she began walking across the street. She was in the crosswalk, just before the yellow line or "the half-way point", when she again looked left and right and saw no cars. She was just past the half-way point when she felt a car hit her around her right hip and knock her down to the roadway where she struck her left hand and left knee. She heard nothing before she was struck. It was only after she was struck and was on the ground that she heard the noise of a tire. She screamed because she saw "the car" coming on top of her. She was very frightened but stood up on her own. A man on the street came over to help her to the corner, and someone brought her a chair to sit on, and some ice and water. Her left knee was very painful, and she "couldn't stand the pain". The palm of her left hand was also very painful. She cannot identify the vehicle that struck her but remembers it as a large white van: "the kind the plumbers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cross-examination Mrs. Guitierrez was very clear that she never turned to face the vehicle before she was struck, or slap the hood of the vehicle before she fell onto the roadway. She was also very clear that she was neither walking quickly or hurrying across the road. She said that she was walking "the way I am doing usually" -- which I took to mean that she was walking neither quickly or in a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Steven Boyce is an environmental consultant. At the time of the accident he lived on West 8th Avenue, just east of Cambie Street. The evening of December 7, 2010 he was walking westbound on the north side of 8th Avenue just east of Cambie Street, when about 15 metres away, at around the 11 o'clock position, he saw a woman walking southbound across 8th Avenue on the east side of the intersection. She was carrying a black umbrella and at least two white grocery bags, and she was wearing dark pants. She was approximately half-way to three-quarters of the way through the intersection when at the same time he saw a van making a left-hand turn onto 8th Avenue from southbound Cambie Street. At that moment he thought it looked like the woman was going to be hit by the van. The van continued turning as the woman continued walking, and in one or two seconds, the van struck the woman, and she fell to the ground and lay prone. The impact was "fairly straight on", with the front of the van between the headlights, striking the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Boyce went over to assist Mrs. Guitierrez. He collected her plastic grocery bags which were on the ground, and he observed that she appeared to be in shock. He helped her over to the north side of the street and also observed that she was in pain. She was favouring her left knee and complaining of pain in her left knee. When she made it clear that she wanted to sit down, he went to Starbucks and got a chair so that she could sit down. He also applied ice to her left knee. Either he or another bystander got the ice from a nearby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Boyce was never cross-examined on his evidence that he saw Mrs. Guitierrez </w:t>
      </w:r>
      <w:r>
        <w:rPr>
          <w:rFonts w:ascii="arial" w:eastAsia="arial" w:hAnsi="arial" w:cs="arial"/>
          <w:i/>
          <w:color w:val="000000"/>
          <w:sz w:val="20"/>
          <w:lang w:val="en-US" w:eastAsia="en-US" w:bidi="ar-SA"/>
        </w:rPr>
        <w:t>walking</w:t>
      </w:r>
      <w:r>
        <w:rPr>
          <w:rFonts w:ascii="arial" w:eastAsia="arial" w:hAnsi="arial" w:cs="arial"/>
          <w:color w:val="000000"/>
          <w:sz w:val="20"/>
          <w:lang w:val="en-US" w:eastAsia="en-US" w:bidi="ar-SA"/>
        </w:rPr>
        <w:t xml:space="preserve"> southbound through the pedestrian crosswalk. It was never suggested to him in cross-examination that she was walking quickly, or running across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Mark Covvey is 38 years old. He was driving what is described in the Notice of Civil Claim as a 1999 Ford E250 vehicle. He testified that his vehicle is a "big" cargo van, approximately 14 feet long, and "quite heavy". It was dark and "sort of drizzling" at the time of the accident. He had come from the West End and was driving home. He drove over the Cambie Street bridge and into the left hand turn lane so that he could turn left onto West 8th Avenue. At Cambie and West 8th Avenue, he "took possession of the intersection" when the light was green and waited for the light to turn amber and the traffic to clear before starting his turn. When asked how long he had to wait, he said "some matter of seconds. I'm not certain". A small red motor vehicle was clearing the intersection north bound in the curb lane when he began turning left. As he was turning left, he "saw out of the corner of my eye a woman sort of...hurriedly running through the crosswalk with her head down and an umbrella in her hand." He applied his brakes "vigorously" but as he came to a "halt", he "made contact" with her: she turned to face his van, touched the hood with her hand, and fell down. She was "centered" in his lane, as was his van, and the "only thing I could hear was her hand striking the hood of my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Mr. Covvey conceded that "running might be a bit optimistic. Instead, he said that Mrs. Guitierrez was "hurriedly moving". He then testified that she was jogging across the crosswalk. He admitted that he was aware that there could be pedestrians in the crosswalk, and that the red vehicle headed northbound and the "A" pillar of his van obstructed his view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Mr. Covvey testified that Mrs. Guitierrez "...hadn't, I believe, entered the pedestrian crosswalk as I began the left turn." However, I find that in making that statement, Mr. Covvey is either trying to avoid responsibility for the accident, or making an assumption. I say this because 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recall your saying at your discovery she slapped your hood.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again the details when this happens this quickly the details are a bit fuzzy.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fair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recollection is that she heard the tires squeal, dropped her umbrella, put her hands on her hips. I made contact with her and she struck my hood and fell down. I -- beyond that I -- I can't give any more detail.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Given what you just said, in those circumstances and how fast things transpired, she wouldn't have had a chance to avoid the impact? Do you think she could have had -- taken time to have evasive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think that if -- if it -- for her, perhaps not. I think somebody younger might've been able to, say, take a step back, but I -- it did happen awfully quick. It would be pretty exceptional for somebody to be able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blink of an eye is what I put to you on discovery.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think that's more or less fair, you blink for a second and the distance between the sound of the tires squeaking and the full stop of the vehicle was probably less than a second.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have a chance to honk your horn?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all happened really quick?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Very quickly.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examination for discovery on May 14, 2014, Mr. Covvey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that's a well lit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 reasonably well lit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you're familiar with that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Having made left turns there many times coming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Several, certainly.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you're also familiar, Mark, would it be fair to say that it's also a busy area because you have what, some big-box stores there,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now,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 the area was under construction as well but there were some stores?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Meaning there's a lot of pedestrians in that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having driven that route prior to December 10th, or December 2010 and subsequent to December 2010, you're familiar with a lot of pedestrians in that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according to your evidence, and from what I have heard from others, the impact happened just in the crosswalk, the pedestrian plaintiff Rubidia Guitierrez was basically in the middle of the crosswalk between--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Beyond the middle of the crosswalk she would have entered into my lane as it were, the lane I was destined for making my left-hand turn, so she was beyond the centre of that, opposite 8th Avenue.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Prior to you moving your van away from the impact zone what's your recollection of where your van had stopped just following the impact? Were you straddling the crosswalk?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to the best of my recollection I was -- the nose of my vehicle was in the crosswalk, I had not overshot the other side of the crosswalk.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she was basically in the crosswalk laying down when you got out of the van to help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hadn't gotten up yet?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up on one hand I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didn't have a chance to sound your horn,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basically just happened, blink of an eye?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that's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the accident, Mrs. Guitierrez phoned her husband. By the time Mr. Guitierrez and their two children arrived at the accident scene, an ambulance was in attendance, and Mrs. Guitierrez was sitting on a chair on the sidewalk, people were helping her, and she was holding ice to her knee. The ambulance took Mrs. Guitierrez and her family to Vancouver General Hospital. While she was in the ambulance Mrs. Guitierrez felt pain in the left side of her body, including her neck and behind her left shoulder blade, left knee, left hand and wrist as well as her lower back. At the hospital, she was examined and her left knee was bandaged. After about an hour and half, she was discharged and the family took a taxi home. At home, Mrs. Guitierrez observed swelling on her left knee, left wrist and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9, 2010, Mr. Guitierrez took photographs of his wife's very swollen left knee. However, Mrs. Guitierrez suffered more than a swollen left knee. She remained off work until November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first deal with the issue of liability and then turn to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her notice of civil claim, Mr. Guitierrez alleges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and proper steps to avoid a collision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yield the right-of-way to a pedestrian contrary to s.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and amendments thereto, or approached to closely thereon that it constituted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driving without due care and attention or without reasonable consideration for other persons using the said highway or at a speed that was excessive relative to the road, traffic, visibility or weather conditions, contrary to the provisions of section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supra;</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 proper or any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see the Plaintiff in the crosswalk at a reasonable time or at all;</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drive the motor vehicle in a careful and prudent manner having regard to all the circumstances including the rate of speed, the weight and size of the vehicle, the nature, condition, and use of the highway, the condition of visibility pertaining at the time, and the traffic that was actually on the highway, or that might reasonably be expected to be thereon at the time, and so as not to endanger life or limb or the safety of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traveling at an excessive or improper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Covvey, in his response to civil claim, alleges the following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Mrs. Guitierrez:</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Plaintiff:</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keep any or, in the alternative, an adequate lookout;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reasonable or proper or any precaution to avoid the collision;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move reasonably or stop in time to avoid the Collision when the same was, or should have appeared, imminent;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upon a roadway without proper care and attention, having regard to the time and place of the accident, the climatic conditions, the nature of the roadway, the traffic that was on the roadway;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give any or adequate warning to the Defendant, when the Collision was, or should have appeared, imminent;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Left a curb or other place of safety and walking or running into the path of a vehicle that is so close it is impracticable for the driver to yield the right of way, contrary to the provisions of s. 179(2)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 thereto;</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obey the instructions of an applicable traffic control device, contrary to the provisions of s. 125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upon a roadway at night without having taken the precaution of wearing proper or adequate clothing in the circumstances so as to be visible to motorists on the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Mrs. Guitierrez relies on sections 125, 128, 129, 132, 179, and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relevant parts of which provide: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red light alone is exhibited at an intersection by a traffic control signal,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red light must not enter the roadway unless instructed that he or she may do so by a pedestrian traffic control signal,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red light exhibited after he or she entered the roadway</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(1) When the word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Duty of Care of Drivers and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Wotherspoon v. Hameluck</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2014 BCSC 2137</w:t>
        </w:r>
      </w:hyperlink>
      <w:r>
        <w:rPr>
          <w:rFonts w:ascii="arial" w:eastAsia="arial" w:hAnsi="arial" w:cs="arial"/>
          <w:color w:val="000000"/>
          <w:sz w:val="20"/>
          <w:lang w:val="en-US" w:eastAsia="en-US" w:bidi="ar-SA"/>
        </w:rPr>
        <w:t>, Chief Justice Hinkson referred to nine cases dealing with the duty of care of drivers and pedestrians and summarized them at paras. 17 to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As Mr. Justice Anderson stated for the majority in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45 B.C.L.R. (2d) 194</w:t>
        </w:r>
      </w:hyperlink>
      <w:r>
        <w:rPr>
          <w:rFonts w:ascii="arial" w:eastAsia="arial" w:hAnsi="arial" w:cs="arial"/>
          <w:color w:val="000000"/>
          <w:sz w:val="20"/>
          <w:lang w:val="en-US" w:eastAsia="en-US" w:bidi="ar-SA"/>
        </w:rPr>
        <w:t xml:space="preserve"> (C.A.) at 203: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 181(1) and (2) does not constitute an exclusive code relating to rights of way between pedestrians and vehicles. They are not a substitute for the common law duty of care owed by pedestrians and drivers to exercise due care for their own safety and the safety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Madam Justice Dickson discussed the relative duties of motorists and pedestrians at paras. 22 - 24: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paras. 12-13.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[23] Regardless of who has the right of way, however, there is a duty upon drivers and pedestrians alike to keep a proper lookout and take reasonable precautions in response to apparent potential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involved a pedestrian who had crossed almost all of five lanes of a street in a crosswalk, against the "Wait" signal. She was struck by the defendant's vehicle when she was only a few steps from the curb she was trying to reach. The defendant did not see the plaintiff before she struck her with her vehicle. Mr. Justice Fraser apportioned liability equally between the parties, holding that the presence of the plaintiff in the crosswalk was not an unforeseen emergency, but rather a reasonably apparent possibility, and that had the defendant maintained a proper lookout, she would have seen the pedestrian and could reasonably have avoided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i/>
          <w:color w:val="000000"/>
          <w:sz w:val="20"/>
          <w:lang w:val="en-US" w:eastAsia="en-US" w:bidi="ar-SA"/>
        </w:rPr>
        <w:t>Claydon v. Insurance Corporation of B.C.</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a pedestrian was walking across 152nd Street in Surrey, B.C. when she was struck and knocked to the ground by a vehicle driven by an unknown person. The plaintiff contended that the unknown driver was negligent in driving too quickly without regard for the safety of pedestrians. Madam Justice Baker found that where a pedestrian has established prior entry at an intersection she need not yield the right of way to a vehicle, even when not crossing at a crosswalk. She held that the accident was primarily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unknown driver in driving at an excessive rate of speed, failing to signal her intention to make a right turn, failing to anticipate pedestrians crossing the street, and failing to yield to pedestrians on the street when they were there to be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Niitamo v. ICBC</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xml:space="preserve"> at para. 22, Madam Justice Ballance held that a marked crosswalk is precisely the place where a motorist could reasonably expect to encounter another user of the road, and that in approaching a marked crosswalk in anticipation of crossing through it, a motorist assumes a heightened duty to take extreme care and maintain a vigilant lookout for those who might be in the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was considered by Mr. Justice Brown in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xml:space="preserve">, where, at para. 43 he stated that "[o]ne need not adopt the statement at para. 22 of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that a driver approaching a marked crosswalk must exercise "extreme care" to concur with the gist of the point that heightened vigilance is expected of a driver approaching a marked crosswalk, especially one that is so clearly marked by road painting, overhead signs and flashing lights, once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Mrs. Guitierrez relies on </w:t>
      </w:r>
      <w:r>
        <w:rPr>
          <w:rFonts w:ascii="arial" w:eastAsia="arial" w:hAnsi="arial" w:cs="arial"/>
          <w:i/>
          <w:color w:val="000000"/>
          <w:sz w:val="20"/>
          <w:lang w:val="en-US" w:eastAsia="en-US" w:bidi="ar-SA"/>
        </w:rPr>
        <w:t>Sheng v. Davis</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[1998] B.C.J. No. 2932</w:t>
        </w:r>
      </w:hyperlink>
      <w:r>
        <w:rPr>
          <w:rFonts w:ascii="arial" w:eastAsia="arial" w:hAnsi="arial" w:cs="arial"/>
          <w:color w:val="000000"/>
          <w:sz w:val="20"/>
          <w:lang w:val="en-US" w:eastAsia="en-US" w:bidi="ar-SA"/>
        </w:rPr>
        <w:t xml:space="preserve"> (C.A.), which upheld the finding of the trial judge that the defendant driver had a statutory duty to yield to the plaintiff pedestrian who wore dark clothing on a dark night in an unmarked crosswalk. The pedestrian was there to be seen, but was not seen by the driver. Madam Justice Newbury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plaintiff was a pedestrian who was crossing Imperial Street in Burnaby at about 6:00 p.m. on a dark evening. He was wearing dark clothes and was crossing north to south in an unmarked crosswalk which was somewhat lit, but not brightly lit. After waiting a few moments for westbound traffic to clear along McKay Avenue, he proceeded into the unmarked crosswalk to the middle of the street, and then waited for eastbound traffic to clear so that he could cross to the other side. While standing there, he did not look to his left to check westbound traffic again, and did not hear the approach of the defendant's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trial judge accepted the defendant's evidence that she was travelling at less than the posted speed of 50 km/ h, and did not see Mr. Sheng until he was beside her and about to come into contact with the driver's side or left mirror of her car. She was unable to take evasive action, and the outside mirror struck the plaintiff's left hip and threw him to the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trial judge found that it was not unreasonable in the circumstances for the plaintiff to have been focusing his concentration on the eastbound traffic, and that he had been in the unmarked crosswalk as defined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He then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standing motionless in dark clothing, and the defendant was facing the steady stream of headlights from eastbound traffic. Nonetheless, the plaintiff was there to be seen in an unmarked crosswalk, and the defendant did not see him. In my opinion, this is a case that falls within the authority of Cerra v. Bragg, </w:t>
      </w:r>
      <w:hyperlink r:id="rId824" w:history="1">
        <w:r>
          <w:rPr>
            <w:rFonts w:ascii="arial" w:eastAsia="arial" w:hAnsi="arial" w:cs="arial"/>
            <w:i/>
            <w:color w:val="0077CC"/>
            <w:sz w:val="20"/>
            <w:u w:val="single"/>
            <w:shd w:val="clear" w:color="auto" w:fill="FFFFFF"/>
            <w:lang w:val="en-US" w:eastAsia="en-US" w:bidi="ar-SA"/>
          </w:rPr>
          <w:t>[1980] B.C.J. No. 536</w:t>
        </w:r>
      </w:hyperlink>
      <w:r>
        <w:rPr>
          <w:rFonts w:ascii="arial" w:eastAsia="arial" w:hAnsi="arial" w:cs="arial"/>
          <w:color w:val="000000"/>
          <w:sz w:val="20"/>
          <w:lang w:val="en-US" w:eastAsia="en-US" w:bidi="ar-SA"/>
        </w:rPr>
        <w:t>, a decision of Mr. Justice Fulton of this court, dated April 22, 1980, unreported. Vancouver Registry number B790322.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had the statutory right-of-way pursuant to s. 181(1)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now 179(1), [1996] R.S.B.C., chapter 318.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plaintiff's dark clothing rendered him harder to see, that is not in itself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Having proceeded to the middle of the intersection reasonably and looking to the eastbound traffic flow in order to negotiate the balance of the crossing in safety, I do not think that the plaintiff was negligent in failing to observe the approach of westbound traffic, including the plaintiff. Had he done so, he could only have avoided the risk which he faced by retreating back to the north curb or attempting to dodge the traffic coming at him both ways in the middle of the intersection.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law does not impose that obligation upon him. His passage across the westbound lane was safe when he made it. It may be that the eastbound motorists are the real culprits in this case for failing to yield the right-of-way to the plaintiff, but that does not assist the defendant. She had the statutory duty to yield the right-of-way, and she failed to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 sympathize with the circumstances in which the defendant found herself, I must find her one hundred percent liable for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This plaintiff had entered the crosswalk in safety and was waiting for a gap in the traffic so that he could complete his crossing. In general, the duty on a motorist codified in s. 179(1)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to yield the right-of-way to a pedestrian and permit the pedestrian to assume that duty will be observed and traffic will yield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Mrs. Guitierrez also relies on </w:t>
      </w:r>
      <w:r>
        <w:rPr>
          <w:rFonts w:ascii="arial" w:eastAsia="arial" w:hAnsi="arial" w:cs="arial"/>
          <w:i/>
          <w:color w:val="000000"/>
          <w:sz w:val="20"/>
          <w:lang w:val="en-US" w:eastAsia="en-US" w:bidi="ar-SA"/>
        </w:rPr>
        <w:t>Suedat v. Kara</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2014 BCSC 1837</w:t>
        </w:r>
      </w:hyperlink>
      <w:r>
        <w:rPr>
          <w:rFonts w:ascii="arial" w:eastAsia="arial" w:hAnsi="arial" w:cs="arial"/>
          <w:color w:val="000000"/>
          <w:sz w:val="20"/>
          <w:lang w:val="en-US" w:eastAsia="en-US" w:bidi="ar-SA"/>
        </w:rPr>
        <w:t>, where the plaintiff had made "a substantial entry" into a marked crosswalk when she was struck in a marked cross-walk by a motorist making a left hand turn. Justice G.P. Weatherill summarized the applicable law at paras. 16 to 20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Once a pedestrian has safely entered a crosswalk, absent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pedestrian's part that could mislead a motorist into thinking he or she could proceed safely, the pedestrian may assume that motorists will yield the right of way to them and will share no responsibility if struck in the crosswalk (</w:t>
      </w:r>
      <w:r>
        <w:rPr>
          <w:rFonts w:ascii="arial" w:eastAsia="arial" w:hAnsi="arial" w:cs="arial"/>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pedestrian in a crosswalk must be proven by the defendant on the balance of probabilities.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Wallace J.A. stated at page 120: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w:t>
      </w:r>
      <w:r>
        <w:rPr>
          <w:rFonts w:ascii="arial" w:eastAsia="arial" w:hAnsi="arial" w:cs="arial"/>
          <w:color w:val="000000"/>
          <w:sz w:val="20"/>
          <w:u w:val="single"/>
          <w:lang w:val="en-US" w:eastAsia="en-US" w:bidi="ar-SA"/>
        </w:rPr>
        <w:t>The onus is on the defendants to establish that the plaintiff knew or ought to have known, that the defendant driver was not going to grant her the right-of-way, and that, at that point of time, the plaintiff could reasonably have avoided the accident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Suedat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Pedestrians in crosswalks are not required to exercise "extreme vigilance" to ensure they won't be struck (</w:t>
      </w:r>
      <w:r>
        <w:rPr>
          <w:rFonts w:ascii="arial" w:eastAsia="arial" w:hAnsi="arial" w:cs="arial"/>
          <w:i/>
          <w:color w:val="000000"/>
          <w:sz w:val="20"/>
          <w:lang w:val="en-US" w:eastAsia="en-US" w:bidi="ar-SA"/>
        </w:rPr>
        <w:t>Jung v. Krimmer</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(1990), 47 B.C.L.R. (2d) 145</w:t>
        </w:r>
      </w:hyperlink>
      <w:r>
        <w:rPr>
          <w:rFonts w:ascii="arial" w:eastAsia="arial" w:hAnsi="arial" w:cs="arial"/>
          <w:color w:val="000000"/>
          <w:sz w:val="20"/>
          <w:lang w:val="en-US" w:eastAsia="en-US" w:bidi="ar-SA"/>
        </w:rPr>
        <w:t xml:space="preserve"> (C.A.), leave to appeal ref'd </w:t>
      </w:r>
      <w:hyperlink r:id="rId829" w:history="1">
        <w:r>
          <w:rPr>
            <w:rFonts w:ascii="arial" w:eastAsia="arial" w:hAnsi="arial" w:cs="arial"/>
            <w:i/>
            <w:color w:val="0077CC"/>
            <w:sz w:val="20"/>
            <w:u w:val="single"/>
            <w:shd w:val="clear" w:color="auto" w:fill="FFFFFF"/>
            <w:lang w:val="en-US" w:eastAsia="en-US" w:bidi="ar-SA"/>
          </w:rPr>
          <w:t>[1991] S.C.C.A. No. 36</w:t>
        </w:r>
      </w:hyperlink>
      <w:r>
        <w:rPr>
          <w:rFonts w:ascii="arial" w:eastAsia="arial" w:hAnsi="arial" w:cs="arial"/>
          <w:color w:val="000000"/>
          <w:sz w:val="20"/>
          <w:lang w:val="en-US" w:eastAsia="en-US" w:bidi="ar-SA"/>
        </w:rPr>
        <w:t xml:space="preserve"> (S.C.C.)).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pedestrian, the defendant must show more than inattention. A defendant must also establish (1) at what distance the pedestrian should have realized from the speed of the approaching vehicle it was not going to yield; (2) it would it have been possible for a pedestrian to avoid being impacted; and (3) that a reasonable person in the circumstances of the plaintiff should have taken evasive action to avoid the impact: </w:t>
      </w:r>
      <w:r>
        <w:rPr>
          <w:rFonts w:ascii="arial" w:eastAsia="arial" w:hAnsi="arial" w:cs="arial"/>
          <w:i/>
          <w:color w:val="000000"/>
          <w:sz w:val="20"/>
          <w:lang w:val="en-US" w:eastAsia="en-US" w:bidi="ar-SA"/>
        </w:rPr>
        <w:t>Foreman v. Mortz</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2001 BCSC 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Farand v. Siedel</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2014 BCCA 26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fact that the plaintiff was wearing dark clothing and using a dark umbrella is not evidence in and of itself that she was contributorily negligent. She was entitled to wear whatever colour and clothes that was appropriate that evening and there was no evidence that her failure to wear light clothing would have prevented being struck (</w:t>
      </w:r>
      <w:r>
        <w:rPr>
          <w:rFonts w:ascii="arial" w:eastAsia="arial" w:hAnsi="arial" w:cs="arial"/>
          <w:i/>
          <w:color w:val="000000"/>
          <w:sz w:val="20"/>
          <w:lang w:val="en-US" w:eastAsia="en-US" w:bidi="ar-SA"/>
        </w:rPr>
        <w:t>Achilleos v. Nix</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2000 BCSC 1422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plaintiff was in a marked crosswalk, although probably running. The left front of the defendant's vehicle struck the plaintiff who was moving from the defendant's right to left. The plaintiff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support of his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Covvey relies on </w:t>
      </w:r>
      <w:r>
        <w:rPr>
          <w:rFonts w:ascii="arial" w:eastAsia="arial" w:hAnsi="arial" w:cs="arial"/>
          <w:i/>
          <w:color w:val="000000"/>
          <w:sz w:val="20"/>
          <w:lang w:val="en-US" w:eastAsia="en-US" w:bidi="ar-SA"/>
        </w:rPr>
        <w:t>Furness v. Guest</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2010 BCSC 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Rahal v. Bonk</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[1993] B.C.J. No. 2350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Krause v. McFall</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[1997] B.C.J. No. 2371</w:t>
        </w:r>
      </w:hyperlink>
      <w:r>
        <w:rPr>
          <w:rFonts w:ascii="arial" w:eastAsia="arial" w:hAnsi="arial" w:cs="arial"/>
          <w:color w:val="000000"/>
          <w:sz w:val="20"/>
          <w:lang w:val="en-US" w:eastAsia="en-US" w:bidi="ar-SA"/>
        </w:rPr>
        <w:t xml:space="preserve">. In response to the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Mrs. Guitierrez relies on </w:t>
      </w:r>
      <w:r>
        <w:rPr>
          <w:rFonts w:ascii="arial" w:eastAsia="arial" w:hAnsi="arial" w:cs="arial"/>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[1968] S.C.J. 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Traynor v. Degroot</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 xml:space="preserve"> at paras. 12 to 14, </w:t>
      </w:r>
      <w:r>
        <w:rPr>
          <w:rFonts w:ascii="arial" w:eastAsia="arial" w:hAnsi="arial" w:cs="arial"/>
          <w:i/>
          <w:color w:val="000000"/>
          <w:sz w:val="20"/>
          <w:lang w:val="en-US" w:eastAsia="en-US" w:bidi="ar-SA"/>
        </w:rPr>
        <w:t>Ng v. Nguyen</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2008 BCSC 1830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Balzer v. Defreitas</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[1989] B.C.J. No.1322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propose to summarize all of the authorities, because each case depends on its particular set of facts. What the authorities emphasize is that the applicable statutory provisions impose a very high standard of care on drivers approaching a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Guitierrez testified that she looked left and right before she entered the crosswalk, and then left and right again before walking on the south portion of the crosswalk. She saw no cars and continued on her way. She was just past the half-way point when she felt a vehicle hit her and she fell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Mr. Boyce which was unchallenged, amounts to this: Mrs. Guitierrez was walking and was at least half-way through the crosswalk when at the same time Mr. Covvey continued making his left hand turn. In one or two seconds he struck her. She was in the middle of the south side of the crosswalk and was struck "straight on" by the front of the van between the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Covvey testified that the details of the accident are fuzzy because it happened in a split second or blink of an eye. He testified that Mrs. Guitierrez dropped her umbrella, put her hands on her hips, struck his hood with her hand and fell down. Beyond that, he cannot give any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Covvey relies on the evidence of Winston Chow, senior traffic engineer with the City of Vancouver, relating to the timing sequence of the lights at the intersection. Mr. Chow testified that the walk sign is on for a minimum of 23 seconds, the amber light for southbound traffic is 3.5 seconds, and when the amber light is engaged, the pedestrian signal sign for the West 8th Avenue crosswalk has a do not walk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Covvey argues that the court has to decide who is "more credible": he or Mrs. Guitierrez. She claims that she entered the crosswalk when the pedestrian walk sign came on, but any reasonable person could clear the crosswalk in 23 seconds. Mr. Covvey argues that he turned left on an amber light in which case the crosswalk sign would be "do not walk". He further argues that Mrs. Guitierrez was crossing the road under an umbrella, looking straight ahead, and is unable to explain why she did not see his van before she was struck. She therefore failed to keep any lookout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do not accept Mr. Covvey's argument that Mrs. Guitierrez ought to have jumped backwards in order to avoid being struck. There is no such duty on her part. I also do not accept that once she stepped into the crosswalk she somehow had an obligation to constantly look around for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Covvey suggests that Mrs. Guitierrez looked at him and slapped the hood of his van before falling down. I find it is more likely that by the time he saw Mrs. Guitierrez, it was too late for him to take evasive action. In a blink of an eye he saw her and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Mr. Covvey states that he began making his left hand turn on an amber light, I find that many of his answers amounted to a guess or an assumption on his part. I prefer the evidence of Mr. Boyce and Mrs. Guitierrez and wherever there is a conflict between the evidence of Mr. Covvey and their evidence, I prefer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Mrs. Guitierrez was walking -- not running or jogging -- through a marked crosswalk when the pedestrian crossing sign allowed pedestrians to walk. She was past the middle of the crosswalk and in the middle of the east-bound lane when she was struck straight on by Mr. Covvey's van. She was there to be seen, and Mr. Covvey is fully responsible for not exercising due care and attention by failing to see her until it was too late. Accordingly, I find him fully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month after the accident, Mrs. Guitierrez was in a lot of pain from her neck down to the palm of her left hand and thumb. Her lower back and her left leg and right hip hurt. She could not lie down because of the pain, she could only sit for short periods of time, and standing was very difficult. She only left home to see her family physician and attend physiotherapy. She could not care for the household on her children who were then 9 and 13 years old. Mr. Guitierrez stepped in and took care of the children by taking them to school, picking them up, and making their lunches. He also started doing the cooking, the dishes, the laundry, making the beds, shopping for groceries, and nearly all of the chores that his wife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Guitierrez testified that before the accident, generally every day after work his wife would go shopping for groceries or for whatever they needed. After the accident, he had to do the grocery shopping alone. But he "just grabbed" whatever they needed when he was in the produce department. His wife complained about the fruits and vegetables he brought home: they were rotten or somehow not right. Because of the poor produce he bought, on the weekends when he was not working, they took the bus to go shopping together so that she could select the fruits and vegetables.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Guitierrez continued to do the housework and to look after the children in 2011. He accompanied Mrs. Guitierrez on all of her doctors' appointments, except when he worked during the day, in which case her friend Jane Cobbler took her to her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Within the first month of the accident Mrs. Guitierrez became afraid to leave the house. She said that she felt her life was not safe on a street. Mr. Guitierrez said that his wife was very sad, very worried, and felt like her life was worthless. As a family they used to enjoy going to the park and to the mall. After the accident, Mrs. Guitierrez was not only afraid to leave the house, she was afraid to cross a street without him or the children. She was afraid to take public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Guitierrez says that she remains scared or frightened to cross a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first month or two following the accident, when Mrs. Guitierrez had any place or appointment she needed to attend, whether it was the Insurance Corporation of British Columbia (ICBC) to make her statement, various treating physicians or other appointments relating to her injuries, she was driven by Jane Cobbler, who also helped her with English language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the first year following the accident, Mrs. Guitierrez attended various therapies including physiotherapy and acupuncture. She saw an occupational therapist, and a kinesiologist who showed her how to do exercises at home and at the community centre where she did pool exercises for her lower back, knee, and leg. She saw the kinesiologist regularly over five and a half months in 2011. She also saw Dr. Heather Underwood, a physiatrist, on four occasions in 2011, and followed her advice to exercise. She continues to see Dr. Underwood on a fairly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Working at Creekside, Mrs. Guitierrez was entitled to group benefits because she worked full-time: eight hours a day, five days a week. The group benefits include a weekly income benefit to a maximum of 17 weeks, long term disability benefits, prescription drugs, vision care, dental plan, medication, and other benefits for herself and her family. However, to qualify for group benefits, Mrs. Guitierrez had to be actively at work full-time. On or about October 31, 2011 Mrs. Guitierrez was "cut off' from her group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Between August 2011 and March 2012, Mrs. Guitierrez had 18 sessions with Dr. Natacha Ferrada, a registered psychologist who speaks Spanish. According to the report of the psychologist, Dr. William J. Koch, Dr. Ferrada helped Mrs. Guitierrez by "develop[ing] an exposure hierarchy related to crossing small streets, and [on] January 11, 2012, began exposure to crossing larger streets, so that [she] was eventually able to travel to her therapy sessions on her own in late January 2012." Mrs. Guitierrez's therapy with Dr. Ferrada also included passive relaxation, breathing exercises, visualization, mood management, and pain management. By February 2012, Dr. Ferrada wrote that Mrs. Guitierrez's mood was 40 percent better, she was sleeping better, and feeling less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Before October 31, 2011, when Mrs. Guitierrez was cut off from her fringe benefits, she, her husband, and their two children went to the dentist every six months for regular check-ups. Without the dental benefits, the family could not afford to see the dentist. It was only in June 2014 that Mrs. Guitierrez took her daughter to the dentist because she was in pain. Her daughter needed to have "some filling" but because the cost was $250, her daughter has not had her teeth filled. When Mrs. Guitierrez had dental benefits, her group coverage provided her with $2,000 towards her son's braces. Her daughter now needs braces but the family is unable to afford to pay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ICBC paid for Mrs. Guitierrez's physiotherapy treatments, her sessions with Dr. Ferrada, the occupational therapist, the kinesiologist, and the cost of the community centre where Mrs. Guitierrez did her swimming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Despite all of the therapies and exercise, Mrs. Guitierrez still suffered from pain, numbness, and tingling in her left hand. Her hand was weak, and she could not even hold a cup. Her left shoulder was weak, and she was unable to stand up or sleep properly because of the pain, particularly on her left side. She was tired all of the time and had no energy. Her evidence about her pain symptoms is corroborated by her husband, Jane Cobbler, and the medical evidence which I will outline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Before the accident Mrs. Guitierrez enjoyed cooking for her friends. She no longer has friends over for dinner. She no longer socializes with her friends as she did before the accident. She testified that she does not know why. Sometimes her friends will call her, but she does not feel like answering their call or talking to them. Before the accident, she and her husband took the children to the movies, and sometimes to the aquarium, the park, or to the malls. They usually went out every weekend. It was not until around July 2011 that Mrs. Guitierrez was able to go out to see a movie.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March 14, 2012, at the request of ICBC, Mrs. Guitierrez was examined by Dr. Iain G. Dommisse, an orthopaedic surgeon. Following receipt of Dr. Dommisse's report dated March 22, 2012 which stated that Mrs. Guitierrez was not disabled from working, ICBC stopped paying her wage loss benefits of approximately $1200 a month, stopped paying for all of her various therapies, including Dr. Ferrada, and informed her that she had to return to work by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Guitierrez therefore last saw Dr. Ferrada on March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Guitierrez said that she did not return to work in May 2012 because she was still in a lot of pain. She returned to work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Jane Cobbler and Mrs. Guitierrez have known each other for 10 years. Their sons attend the same school, are the same age, and are now in grade 12. Ms. Cobbler and Mrs. Guitierrez met when their sons were in grade 3 and attended weekly catechism classes which continued for four years until their sons were in grade 7. Neither woman has family in Vancouver and became fairly close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Jane Cobbler testified that she helped drive Mrs. Guitierrez to her appointments, sometimes dropping her off and picking her up, and at other times helping her with her English language difficulties when dealing with the ICBC adjuster, the kinesiologist, or Dr. Underwood. The only thing Ms. Cobbler said that she could not help Mrs. Guitierrez with after the accident was with the cooking because she cannot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Cobbler testified that before the accident, she never observed Mrs. Guitierrez to have any physical problems or difficulties; she appeared healthy. After the accident, her left side became "problematic". She could not raise her left arm, carry anything, and she complained about pain in the left side of her body. She complained that she could not sleep because of the pain, and she could not lie down on her left side. Even now, she cannot fully lift her left shoulder: "I can boogey; she can't boogey".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Cobbler testified that she was aware that the accident affected Mrs. Guitierrez emotionally. She became fearful of what was going to happen in her life, fearful about going outside, fearful of crossing the street or taking public transit. Ms. Cobbler testified that in 2011 she encouraged Mrs. Guitierrez to "gingerly" try getting back into her daily routine, and not be afraid. In 2012, she told Mrs. Guitierrez to take her phone number, take the bus, go to work, call her if she could not make it, and she would come and get her. She encouraged her to practise crossing the street, not to freeze in the middle of the street when a car was turning, and to take public transit. Ms. Cobbler said that it was difficult for Mrs. Guitierrez, but she made the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Cobbler saw Mr. Guitierrez take over the cooking and the cleaning. She testified that Mrs. Guitierrez could not even stand up to make dinner for her family. When Mr. Guitierrez was at work, the children who were then 9 and 13 years old, pitched in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Cobbler testified that she was "not in agreement" when Mrs. Guitierrez returned to work because she was still not physically strong enough, and her left shoulder was still giving her problems. She told Mrs. Guitierrez that if she had to return to work, she should take baby steps and not push it. She also told Mrs. Guitierrez to tell her supervisor if she was having pain when she was at work, so that she would not damage her shoulder any further. Ms. Cobbler went so far as to call someone at Creekside about Mrs. Guitierrez's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Cobbler observed Mrs. Guitierrez after her return to work. Standing at work caused pain in her knee, the pain in her knee became more intense at night, and after work she has pain in her lower back and increased pain in her left shoulder and wrist. The most striking difference between Mrs. Guitierrez before and after the accident is her "physicality". Her strength has diminished as a result of the accident, and even now, she cannot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Cobbler also testified that Mrs. Guitierrez is no longer as social as she was before the accident. When their sons were in elementary school, Ms. Cobbler was president of the parents' association. They had a monthly gathering where each parent was required to bring their "cultural food" for a potluck dinner -- except for Ms. Cobbler because she cannot cook. Mrs. Guitierrez always brought a dish for the dinner, but after the accident she no longer brought a dish, and she could not tell Mr. Guitierrez how to prepare a dish. After the accident, Mrs. Guitierrez no longer did volunteer work for the school.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Mrs. Guitierrez began a graduated return to work on November 21, 2012. She worked four hours a day, three days a week, for around three months. She then increased her hours to five hours a day, three days a week. She did that for a couple of months before increasing her schedule to six hours a day, three days a week. At the time of trial she was working seven hours a day, four days a week. She claims that she has been unable to return to work full-time because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Mrs. Guitierrez testified that she finds her pain at work "very hard" because she can no longer stand like she did before the accident. Standing causes her lower back and neck to hurt even more, and wrapping the sandwiches causes her hand to "hurt so much". She is no longer able to pull or lift the large trays of sandwiches, lift or carry the containers of food, or lift, assemble, and disassemble the cutting machine. Her co-workers help her whenever she needs help, but after standing for just one hour, she feels as if her back is broken. She needs to walk around and work at different work stations, rather than work as she did before the accident or as the job requires: standing for eight hours a day in the cold room with only a 30-minute break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Mrs. Guitierrez says that at the end of her work schedule she cannot leave work right away because she is so tired and her lower back, neck and shoulder hurt so much that she must do some stretching exercises for 10 minutes or so before she is able to start her transit ride home. To get home she takes a bus from Annacis Island to 22nd Avenue where she catches the Sky Train to Commercial and Broadway where she takes the Broadway bus to Fraser Street, and walks two blocks home. It takes her at least one hour to get home, and that is only when there is no traffic on Annacis Island. She is paid $13.61 an hour plus an additional 15 cents an hour for working inside the cold room. Because she is not working a full eight-hour day, she is not entitled to any group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Josephine Cutz has been employed by Creekside since 1993, and is currently a production supervisor. Mrs. Cutz and Mrs. Guitierrez are married to brothers -- or as Mrs. Cutz put it, "she's my brother-in-law's wife". Mrs. Cutz visited Mrs. Guitierrez "a few times" at her home before she returned to work. Whenever she visited, Mrs. Guitierrez sat in a chair, and she always talked about flashbacks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time of the accident, Lilian Fajardo was Mrs. Guitierrez's supervisor, but Ms. Fajardo went on maternity leave, and Mrs. Cutz became and remains Mrs. Guitierrez's supervisor. However, Mrs. Cutz observed Mrs. Guitierrez working in the plant before the accident of December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are four supervisors at the same level as Mrs. Cutz. There are other supervisors but they supervise other areas of the plant. There are four first cooks who report to Mrs. Cutz, and Mrs. Cutz reports to the plant manager. There are nearly 100 employees working at the Creekside plant. Approximately 30 to 40 percent of the employees work in the cold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Mrs. Cutz testified that before the accident, Mrs. Guitierrez was able to assemble, disassemble, and sanitize the heavy slicing machine, lift containers weighing up to 25 pounds, prepare sandwich fillings, and work standing beside the conveyer belt assembling, wrapping, and labelling the sandwiches. There are two to seven workers working and standing by the conveyer belt making and assembling sandwiches, and the number of workers depends on the number of items there are in the different types of sandwiches and wraps.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Mrs. Guitierrez worked 40 hours a week in the cold room, or eight hours a day, with a paid 30 minute break. She worked overtime ranging from 15 minutes to three to four hours, depending on the production day. If overtime is required to meet the production demands, employees in the position of Mrs. Guitierrez are required to work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Before the accident, Mrs. Guitierrez had annual performance reviews, and she was considered a valued employee. She was committed to her work, she was a very happy employee who was pleasant to work with, and there were no complaints about her from any of her co-workers. However, no performance reviews have been carried out since she has returned to work following the accident because she is not working full-time. After nearly two years, she has still not returned to her regular duties or her regular 40 hours a week and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Cutz testified that although Mrs. Guitierrez's hours of work have increased, her work performance "hasn't changed that much." She is unable to perform her work as she did before. She is no longer a very happy employee. She no longer wants to talk much, and when she does talk, she always talks about the accident, and at times she becomes very emotional.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Cutz testified that Mrs. Guitierrez is not able to do "much standing". She would normally have to stand in one place for a minimum of one hour, but she cannot stand that long. A few times a day, she needs to walk around before returning to her "work place". She is also not doing all of the work she did before the accident, but is "doing really light job": putting ingredients in a sandwich, sometimes labelling the sandwiches, but she is no longer able to keep up with the speed of production, she has problems working with her hands, but tries her best. Her co-workers must help her to lift and move heavy things like the sandwich trays which have 40 sandwiches on each tray, the trays need to be stacked, and each tray weighs between 5 to 10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Cutz testified that from time to time, they encourage Mrs. Guitierrez to return to work full-time, but she cannot work more than she is currently working, and every two months they receive a note from her doctor's office that she is not able to work any additional hours. It means that overtime is no longer available to her, because she cannot work the regular eight hours a day. Before the accident, there was opportunity for Mrs. Guitierrez to be promoted to first cook or team leader, but that opportunity no longer exists because she is unable to work even regular hours, let alone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Cutz said that there are many employees at Creekside who are not working full-time, but Creekside requires full-time employees. Creekside expects employees on a graduated return to work program to return to their regular full-time work, and Mrs. Guitierrez is their "longest employee" who has not returned to work full-time. I took from Mrs. Cutz's evidence that she meant that no other employee at Creekside has taken as long as nearly two years before they were able to return to their regular full-time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What is clear from Mrs. Cutz's evidence is that at some point Creekside will have to determine whether they will allow Mrs. Guitierrez to continue working only seven hours a day "and not performing as before", or whether they will terminate her employment. Whether she is kept on as an employee or let go "depends on my boss", the plant manager. I gained the impression from the tone of Mrs. Cutz's evidence and her demeanor, that she was concerned with whether Mrs. Guitierrez will continue to have employment at Creekside for an indefinite period of time, or whether she stands to lose her employment because she is unable to perform the regular job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Cutz was not challenged in cross-examination about Mrs. Guitierrez's work performance or her observations of Mrs. Guitierrez's ability or inability to fully perform the normal requirements of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Mrs. Guitierrez was asked what kind of job she could do, if she lost her job at Creekside. She answered that she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Paula L. Iriarte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Iriarte practises family medicine and speaks Spanish. She attended university and graduated from medical school in Buenos Aires in 1995. She has practiced family medicine in British Columbia since 2005. She has been treating Mrs. Guitierrez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Iriarte prepared a report dated September 6, 2013 and an addendum report dated October 30, 2014. Mrs. Guitierrez attended the offices of Dr. Iriarte on a very frequent basis following the accident, and I think it is necessary to review the dates and some of the assessments because they relate to Dr. Dommisse's opinion on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Mrs. Guitierrez attended Dr. Iriarte's office on December 8, 2010, the day following the accident. She was seen by Dr. Iriarte's colleague Dr. Nasreen Ismaily. The clinical records disclose that Mrs. Guitierrez was tearful and crying and explained to Dr. Ismaily that the van stopped immediately after striking her on the right hip and she fell onto her left side and hit her left hip, left shoulder and left knee. She had three abrasions on her left knee and limited range of motion in her neck, left shoulder and arm. She was diagnosed with moderate whiplash with acute stressors. Dr. Ismaily recommended physiotherapy, massage therapy, Naproxen,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Mrs. Guitierrez saw Dr. Iriarte on December 14, 2010. She complained of neck, left arm, and low back pain since the accident. She also complained of left knee pain, numbness in her left arm and left hand which radiated into her left digits. The range of motion of her left shoulder revealed abduction (she could not lift her arm sideways) and internal rotation (she could not put her arm behind her back and touch her scapula) were restricted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Mrs. Guitierrez was next seen by Dr. Iriarte or Dr. Ismaily on January 7, 14, 20, February 2, and February 22, 2011. On February 22 she reported that she could move her left shoulder better, although she did not have full functioning. She had been feeling numbness in her left arm. The pain in her lower back and left buttock was a little better, but she noticed pain going down her left leg when she walked. She had limited movement of her left knee and problems straightening her leg out. She had problems sleeping, experienced flashbacks and nightmares about the accident, and being on the road, loud noises, and travelling by car, aggravated her anxiety. Trazodone (50 mg) was recommended to help her sleep, and an anti-inflammatory medication Celebrex, for her low back pain. Dr. Iriarte diagnosed Mrs. Guitierrez as suffering from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Mrs. Guitierrez was next seen on March 17, 24, 30, April 14, May 5, May 26, June 3, June 30, June 30, July 27, August 4, and 25, 2011. Throughout those visits, she complained of knee pain, especially when standing, left arm pain, and low back pain. She also complained of neck and left shoulder pain radiating into her fingers and weakness in her hands. On August 25, 2011 Dr. Iriarte assessed her as suffering from post-traumatic stress disorder and recommended psychotherapy with a Spanish speaking counsellor Dr. Ferrada.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Guitierrez was next seen on September 10, 28, and October 17, 2011. On October 17, 2011 she stated that she was anxious and pressured the way the kinesiologist was relating to her. The kinesiologist was seeing her at home twice a week, and she was seeing Dr. Ferrada once a week. She was also seeing the occupational therapist and Dr. Underwood. Dr. Iriarte diagnosed Mrs. Guitierrez as suffering from significant anxiety or generalized anxiety disorder. She was counselled on stress management, and prescribed Paroxetine for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Mrs. Guitierrez saw Dr. Iriarte on October 25, November 14, and December 15, 2011. During all of her visits in 2011 her complaints were for symptoms related to the accident. By the end of 2011 she was still having difficulty sleeping, she was still fearful of walking on main streets, and she still had complaints of pain relating to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2012 Dr. Iriarte saw Mrs. Guitierrez on January 27, and on February 9 when she complained of left knee pain, left shoulder and arm pain, left wrist and left thumb pain. She was seen on April 5, May 2, and May 9, 2012 and was diagnosed as suffering from major depression with anxiety and post-traumatic stress disorder. She was seen on May 31, June 9, 21, July 5, 17, August 1, 15, and 27 when Dr. Iriarte diagnosed her as suffering from chronic pain, major depression, and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was seen on September 12, 26, October 10, 24, November 20, 27, December 7, 2012. On November 20, Dr. Iriarte gave her a note indicating that she could return to work. When she saw her on November 27, she was continuing to have anxiety and was attending counselling. On December 7 she reported that she was having neck and low back pain from standing at work for four hours. She had left thumb pain from using her thumb at work. She also reported taking 15 minute breaks after working 2 hours. She told Dr. Iriarte that Dr. Underwood had recommended that she use a heating pad during her breaks, and that she wear special orthotics. When she was seen on January 22, 2013 she reported that she felt happier, her depression was improving (likely from the medication), she was still scared crossing busy streets, her neck, left shoulder and left arm pain still bothered her at work, but she was coping.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Throughout the rest of 2013, Mrs. Guitierrez saw Dr. Iriarte at least once a month until she wrote her report of September 6, 2013. When she last saw Mrs. Guitierrez on August 28, 2013, she had ongoing left sided neck pain that radiated into her left arm and left wrist, low back pain from work, and her left knee pain was aggravated when using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January 24, 2014 Mrs. Guitierrez had a CT scan performed on her lumbar spine. In her report dated October 30, 2014, Dr. Iriarte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review of Mrs. Guitierrez medical chart and her Lumbar spine CT report listed herein, my previous opinion remains unchanged. However, it is now also my view that Mrs. Guitierrez is also suffering from lower spine spondylosis.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Spondylosis is a chronic and degenerative condition that can be caused or aggravated by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Mrs. Guitierrez had never consistently [complained] of low back pain. Since the accident Mrs. Guitierrez has presented with ongoing intermittent neck, left shoulder pain, left hand, low back pain and left knee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Guitierrez's function remains partially impaired and she continues to work modified duties as a result of her injuries. She continues to suffer from low back pain which aggravates by the end of the day after standing all day at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expect the need for any surgical treatment in the future and I would advocate for Mrs. Guitierrez to maintain an active approach to her injuries with exercises consisting of stretching, strengthening and low impact cardiovascular such as swimming in order to improve her core muscle strength and to avoid deconditioning.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recommend that she continues to follow up with her Physiatrist, Dr. Heather Underwood for opinion regarding further management options and long term prognosis [regarding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Iriarte testified that Mrs. Guitierrez's symptoms are now chronic. She did not work for two years because of pain and the "emotional component". The CT scan shows mild spondylosis which could be caused by the accident, but there is no way of knowing because there was no imaging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Heather Underwood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Heather Underwood is a physiatrist specializing in physical medicine and rehabilitation. She saw Mrs. Guitierrez a total of 14 times between June 29, 2011 and April 22, 2014, and prepared an expert report dated August 21, 2014. She saw Mrs. Guitierrez three times in 2011, four times in 2012, three times in 2013, twice in 2014 before she wrote her report. After writing her report, she also saw Mrs. Guitierrez in October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Underwood opines that Mrs. Guitierrez suffered soft tissue injuries of her neck and periscapular region from the December 7, 2010 accident. Kyphotic posturing, that is, the rounding or slouching of her shoulders exacerbated her symptoms. Her resulting low mood and anxiety likely prolonged her symptoms which are further exacerbated by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Underwood also opines on the following injuries, which she says were caused by the accident: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thumb pain -- Mrs. Guitierrez had no difficulties with her left hand or wrist pain before the accident when she is reported to have fallen on her left hand. Since the accident she has complained of discomfort in her left hand. During assessments she has consistently reported pain in her left thumb. A thumb splint was prescribed on December 1, 2011 and she reported improved symptoms. She could not wear the splint when she returned to work in November 2012 because she needs to use her hands to wrap sandwiches. Her thumb and hand symptoms worsened when she worked in the cold room at work. Dr. Underwood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[Mrs. Guitierrez] has received a soft tissue injury involving the tendinous structures leading to de Quervain's tenosynovitis. De Quervain's tenosynovitis involves a tenosynovitis of the sheath or tunnel surrounding the two tendons abductor (pollicis longus and extensor pollicis brevis) that control the thumb. Unfortunately Mrs. Guitierrez['s] occupation involves repetitive movements of the hand and exposure to cold, which is likely further leading to continuation of her symptoms. She is continuing to utilize her thumb spica splint with some benefit.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 Mrs. Guitierrez had no significant difficulties with low back pain before the accident. She has reported low back pain since her initial assessment on June 29, 2011. She has myofascial pain involving the lumbar spine and buttocks as a result of the accident. Her work, which requires her standing for prolonged periods, exacerbates her low back pain.</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pain -- Mrs. Guitierrez had no ongoing difficulties with her left knee before the accident. Since the accident she has increasing discomfort with her left knee when walking, particularly walking up stairs or kneeling at church. The patellar grind test was positive. The testing and symptoms are in keeping with patellofemoral syndrome: the patellar or kneecap is not tracking properly, so it is painful for her to walk upstairs, do squats, lunges, or lean on the kneecap.</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 Dr. Underwood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her mood and anxiety did significantly impact her musculoskeletal injuries in that she was quite fearful of reinjuring herself. Her ability to attend therapies in an independent manner was reduced due to her fearfulness of being in the community alone, either walking or on public transportation. She also had the added complexity of having English as a second language and some translation was required for understanding her injuries. More ideally, all of her therapeutic interventions would have been received in Spanish in order to optimize her understanding of the rehabilitative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Underwood's prognosis for Mrs. Guitierrez is detailed: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Guitierrez continued to have chronic musculoskeletal pain. Although she has made gains when provided with a very supportive environment and performing a regular exercise routine, she continues to report pain in the same regions as she did during our initial assessment (June 29, 201 I). She is having some relief with the use of a thumb spica splint at the end of her work day, a patellar brace to assist with patellar tracking as well as a soft lumbar support. She recognizes that these should only be utilized on an intermittent basis. She continues to require a regular heating and stretching regimen and use of such devices as exercise balls, exercise rolls and attendance of a water-based exercise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Work</w:t>
      </w:r>
      <w:r>
        <w:rPr>
          <w:rFonts w:ascii="arial" w:eastAsia="arial" w:hAnsi="arial" w:cs="arial"/>
          <w:color w:val="000000"/>
          <w:sz w:val="20"/>
          <w:lang w:val="en-US" w:eastAsia="en-US" w:bidi="ar-SA"/>
        </w:rPr>
        <w:t xml:space="preserve"> - At my most recent assessment (April 22, 2014) Ms. Gutierrez was working seven hours, four days per week in her occupation at Creekside Custom Foods. Unfortunately this occupation requires prolonged standing as per the occupational therapy report on workplace assessment. She is required to work in a cold environment which she finds exacerbates her hand pain. Intermittent overhead activities also exacerbates her neck, periscapular and shoulder pain. She does report that her colleagues are assisting her with particularly aggravating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unlikely that she will successfully return to full-time duties five days per week. I would recommend that she have a day off mid work week in order to have some relief of her symptoms. She is at risk for intermittent flares of her pain, which may lead to lost work (approximately once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Counseling</w:t>
      </w:r>
      <w:r>
        <w:rPr>
          <w:rFonts w:ascii="arial" w:eastAsia="arial" w:hAnsi="arial" w:cs="arial"/>
          <w:color w:val="000000"/>
          <w:sz w:val="20"/>
          <w:lang w:val="en-US" w:eastAsia="en-US" w:bidi="ar-SA"/>
        </w:rPr>
        <w:t xml:space="preserve"> - She will continue to require monitoring by her family physician with regards to her mood. She continued to be on medications for mood and pain at the time of my most recent assessment. Pain and mood affect each other and flares of pain will increase her risk of decreased mood. Access to counseling for mood is recommended if she has a flare of pain particularly if she is absent from work. Ideally a counselor would be Spanish-speaking. I will leave full comment with regards to the frequency which this will be required to experts in psychology or psychiatry.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Orthotics</w:t>
      </w:r>
      <w:r>
        <w:rPr>
          <w:rFonts w:ascii="arial" w:eastAsia="arial" w:hAnsi="arial" w:cs="arial"/>
          <w:color w:val="000000"/>
          <w:sz w:val="20"/>
          <w:lang w:val="en-US" w:eastAsia="en-US" w:bidi="ar-SA"/>
        </w:rPr>
        <w:t xml:space="preserve"> - Ms. Guitierrez has had some pain relief with the use of orthotic devices and new shoe wear. Orthotics will be expected to require replacing every two to three years. Shoe wear should be replaced at least every 6 months. A patellar tracking brace has assisted with Ms. Guitierrez knee pain. Replacement of her brace will depend on the frequency which she wears the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Housekeeping/Home maintenance</w:t>
      </w:r>
      <w:r>
        <w:rPr>
          <w:rFonts w:ascii="arial" w:eastAsia="arial" w:hAnsi="arial" w:cs="arial"/>
          <w:color w:val="000000"/>
          <w:sz w:val="20"/>
          <w:lang w:val="en-US" w:eastAsia="en-US" w:bidi="ar-SA"/>
        </w:rPr>
        <w:t xml:space="preserve"> - Ms. Guitierrez would likely require some assistance with heavier housekeeping activities (e.g. spring cleaning) and household maintenance. It is my understanding her husband is assisting her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Underwood goes on to state that Mrs. Guitierrez does better overall when a physician follows up with her on a regular basis, and that Mrs. Guitierrez's left thumb has de Quervain's chronic tenosynovitis. Due to her chronic symptoms, a trial of prolotherapy may improve or exacerbate her symptoms. Dr. Underwood also recommends that Mrs. Guitierrez try to obtain and use heated gloves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October 8, 2013, Dr. Underwood wrote a letter to Mrs. Guitierrez's employer stating that her only recommendation for modified duties were that Mrs. Guitierrez avoid reaching above shoulder level at work as she will be at risk for reinjuring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cross-examination the defendant suggested to Dr. Underwood that in arriving at her opinion, she relied on Mrs. Guitierrez's history, particularly her subjective complaints of anxiety, pain, and discomfort. In answer, Dr. Underwood replied: "I'm not taking health care for a ride and not treating things that aren't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the defendant also suggested to Dr. Underwood that the only things affecting Mrs. Guitierrez's ability to work were (a) her symptoms of physical discomfort which have been prolonged because of her mood symptoms; and (b) her inability to life overhead. In response, Dr. Underwood indicated that Mrs. Guitierrez's work environment negatively affects her discomfort and ability to work. Mrs. Guitierrez works in a cold environment and she has muscular pain. Muscles are like elastic bands: if it is cold and you stretch them, they snap; if it is warm, they adapt. Muscles stretch better in warm temperatures. Muscles can do more if they work in a warm environment rather than in a cold environment like the cold room. Another factor that negatively affects the pain symptoms in Mrs. Guitierrez's hand and thumb is the repetitive nature of her work on the food assembly line. Her job requirement of constant standing on a concrete floor also increases her back pain. Mrs. Guitierrez's pain symptoms would be different -- and not as bad -- if she worked by sitting in a nice comfortable chair in a nice warm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Dr. Underwood testified that Mrs. Guitierrez is still reporting some improvement some three and a half years after the accident, and the hope is for continued improvement as her mood improves, she never moved from her opinion that it is unlikely that Mrs. Guitierrez will successfully return to full-time employment of five days a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J.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William J. Koch has been a registered psychologist since 1982. He is also a clinical full professor in the Department of Psychiatry, Faculty of Medicine, and Adjunct Professor in the Department of Psychology at the University of British Columbia. His resume is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Koch assessed Mrs. Guitierrez on July 3, 2014 and prepared a detailed 34-page (excluding his curriculum vitae) expert report dated July 25, 2014. The report was served by defence counsel on plaintiff's counsel 83 days before trial. Plaintiff's counsel requested that Dr. Koch be produced at trial for cross-examination. Just before trial, defence counsel indicated that he no longer intended to rely on Dr. Koch's report because it would add nothing to Dr. Iriarte's report that Mrs. Guitierrez suffers from post-traumatic stress disorder, stress, and anxiety. I nevertheless concluded that counsel for Mrs. Guitierrez was allowed to cross-examine Dr. Koch on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preparation for his report, Dr. Koch reviewed extensive clinical records of various treating family physicians and specialists, mental health records of the treating psychologist, MSP and PharmaNet records, hospital records, and the BC Ambulance Service Report dated December 7, 2010 relating to the accident. On July 3, 2014, with the assistance of a Spanish interpreter, he interviewed Mrs. Guitierrez for four and a half hours, including 30 minutes of "behavioural observation" when he, Mrs. Guitierrez, and the interpreter went for a walk around his North Vancouver office. Because she is not sufficiently fluent in English, Mrs. Guitierrez did not complete any psychological tests, but Dr. Koch conducted a "semi-structured diagnostic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Koch's opinion is that Mrs. Guitierrez suffers from four separate mental health conditions:</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(PTSD);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(GAD);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depressive disorder (PDD);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symptoms disorder, primarily pain (SDD).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Mrs. Guitierrez's PTSD -- including her fear of walking on the street, or what Dr. Koch refers to as her restrictions on mobility -- probably arose from the motor vehicle accident. Her GAD likely predated the accident, but has not been significantly influenced by the accident, except for increased financial pressures from not working and the impact of the teachers' strike on Mr. Guitierrez's ability to work at the Vancouver School Board. Her PDD was temporarily aggravated by her soft tissue injuries and the restrictions on her mobility from her PTSD. Her SSD likely pre-dated the accident, but her injuries from the accident led to a broader range of pain related somatic complaints. Other factors that may contribute to Mrs. Guitierrez's diffuse psychological distress include a miscarriage in early 2010, possible exposure to civil war violence in Guatemala, and more importantly, being a non-English speaking immigrant.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Relating to his diagnosis of PTSD, Dr. Koch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open-ended question about her main concern at this time, Ms. Guitierrez responded "fear of walking in the street", especially those streets that are very busy with traffic. Lots of traffic noise results in her "getting anxious and fearful." She reported that she still has episodes of being fearful on the street and was previously housebound from this fear.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reported currently suffering upsetting dreams of "being hit" by a car and will wake up distressed and take up to 1 hour to return to sleep. Her bad dreams sometimes wake her husband. By her report, these dreams were occurring almost nightly for some time following the subject MVA in 2010 and decreased in frequency near the end of 2013. Five to 6 times a week, when at home, she [suffers] flashbacks of a car coming toward her. These last about 10 minutes. These flashbacks were more frequent through the end of 2013 and have decreased in frequency since that time. She attributes her improvement in this regard to a group therapy she attended in 2013. She reported daily episodes of distress when crossing intersections or if near heavy car traffic. She reportedly "feels insecure -- feels like not safe." In the past through approximately 2012, this was more disabling with her frequently refusing to leave the house because of this fear. When exposed to car traffic in this fashion she reports trembling and feeling her heart race.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reported attempting to distract herself from MVA memories by listening to music, changing conversational topics, and distracting herself from such thoughts. She reports being avoidant of leaving the family home by herself (will have her husband or children with her), avoids some cross-walks, and in particular avoids the cross-walk where the accident happened.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she endorsed reduced recreational interests (shopping, hosting dinner parties), she attributed this to her fear so that she "cannot shop by myself", and to her physical limitations. She reported some reduction of emotional response -- "takes effort to laugh, somewhat withdrawn in her marital relationship). Bearing in mind that this interview was conducted through an interpreter and so may under-represent Ms. Guitierrez's emotional difficulties.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easily startled and reported startling to "shouting in the streets", to bells and doors closing at work, and to "squealing brakes." It takes about 5 minutes to calm herself after startling. She further reported significant concentration problems noting that she "cannot read any longer", but indicated that this does not pose a problem in her work. She dated her concentration problems to the subject MVA.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estimate of her worst PTSD symptoms extending into 2012 and 2013 was a score of 69, which is a very high score and consistent of a DSM-VI diagnosis of PTSD. It suggests some minor improvement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Ms. Guitierrez's complaints of fear of pedestrian travel, I obtained her consent to walk by and across some local streets in the Lower Lonsdale neighbourhood of North Vancouver. This is an urban area with both low and high traffic areas and traffic light controlled intersections as well as uncontrolled intersections. During these 20 to 30 minutes of walking, Ms. Guitierrez typically lagged behind the interpreter and me, which she explained as secondary to her back pain. As well, she was frequently hesitant to enter a crosswalk and when I stopped briefly in the middle of a cross-walk crossing Esplanade (a moderately busy street), she exclaimed (in Spanish) and then sped up to clear the intersection. When I asked her to walk on the curb adjacent to car traffic passing on Esplanade, she could not bring herself to do this. Overall, these observational data are consistent with an individual with a significant fear of walking near motor vehicle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Koch explained what he meant by the word "secondary": Mrs. Guitierrez walked a short distance behind him and the interpreter. When he asked her why, she said that her back was hurting. However, he was of the impression that was not the sole reason for her lagging behind. He was of the view that she was hesitant because she wanted him and the interpreter to walk ahead of her and act as human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Koch testified that the average person who has psychological therapy has around a 70 to 80 percent chance of remarkably reduced symptoms, but only 70 to 80 percent of patients recover. Mrs. Guitierrez is less than an optimal candidate for treatment because "she has a lot of strikes against her": she suffers from other mental health conditions, she has a number of physical health complaints, she is less educated than the average person, she is living in a different culture than what she was raised in, and she has English language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Koch considered the following prognostic signs in his prognosis for her recovery:</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positive signs include:</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supportive husband;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partially benefited from very competent psychological treatment by Dr. Ferrada;</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nearly full-time employment;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use undue or excessive amounts of analgesics or sedatives.</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negative signs include:</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very limited social support despite having lived in Canada for 18 years; her lack of fluent English likely contributes to her low social support;</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problems with anxiety and somatic complaints are very long standing and therefore harder to treat; and</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limited formal education may adversely affect her ability to benefit from psychological treatment or education interventions.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Koch concluded that her overall prognosis for improving is guarded if she does not continue to receive psychological counselling, and that her prognosis for recovering from PTSD is more positive if she continues to receive psychological treatment from Dr. Ferrada. He recommends sending Mrs. Guitierrez back to Dr. Ferrada for 20 more sessions of cognitive behavioural therapy for PTSD and hopefully benefit from reduced anxiety and fear, and increased mobility.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Ian G. Dommisse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Dommisse is an orthopaedic surgeon who was asked by ICBC in March 2012 to examine Mrs. Guitierrez, review a number of documents, and answer a number of specific questions. The records he reviewed were provided to him by the ICBC adjuster and were limited to physicians' clinical records ending in 2011, and VGH Emergency records and ambulance crew report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report dated March 22, 2012 to ICBC, Dr. Dommisse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her left wrist and hand reveals mild puffiness of her left thumb extensor tendons. She also had increased pain with active left thumb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her left knee reveals no effusion. There is no jointline tenderness nor any ligament laxity. She has a minimal patellofemoral click with knee extension movements. There is no pain with this click.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his examination of Mrs. Guitierrez's left knee, Dr. Dommisse testified that when he examined her knee, he extended her knee and applied resistance to her knees to determine whether doing so elicited pain. In his report, he states that there was "no pain" on knee extension movements. However, Mrs. Guitierrez testified that when Mr. Dommisse examined her "...he was twisting my knee" and it caused her pain. After his examination of her knee, "...I can't walk because I have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Under the heading Opinion, Dr. Dommisse answers the following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your specific questions:</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Whether the insured has suffered an injury and, if so, whether the insured's injury was caused by this motor vehicle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Guitierrez sustained a Grade II strain of her cervical and thoracolumbar spine as a result of the Accident. She also sustained an abrasion/contusion to her left knee. Ms. Guitierrez also sustained a soft tissue injury to her left shoulder as a result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Guitierrez has clinical evidence of left thumb extensor tendonitis. I am uncertain as to whether this tendonitis is related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reasonable duration of total disability given the patient's injury and job duties.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have anticipated that Ms. Guitierrez would have been off work for four months following her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Recommendations you may have with respect to current treatment and the need for any future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Ms. Guitierrez should discontinue the use of her left knee brace as soon as possible. I would anticipate that her left wrist brace could probably be discontinued with 1-2 months from the present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Guitierrez should maintain her own active, independent exercise program in order to preserve flexibility of her cervical and thoracolumbar spine as well as to preserve strength of her cervical, shoulder and upper extremities. Strengthening of her core, trunk and abdominal muscles as well as lower extremity strengthening on an independent basis would be appropriate. It would be appropriate for Ms. Guitierrez to have heat, ultrasound and mobilization for her left wrist and thumb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Dr. Dommisse also testified that he was not certain that Mrs. Guitierrez's left thumb extensor tendonitis was related to the accident. However, the evidence establishes that Mrs. Guitierrez had no left thumb complaints until immediately following the accident. In his report Dr. Dommisse lists the documents that he reviewed, including the Ambulance Crew Report. According to the report of Dr. Koch, the BC Ambulance Service report of December 7, 2010 indicates that after the accident, Mrs. Guitierrez complained of pain in her left knee, left wrist and </w:t>
      </w:r>
      <w:r>
        <w:rPr>
          <w:rFonts w:ascii="arial" w:eastAsia="arial" w:hAnsi="arial" w:cs="arial"/>
          <w:i/>
          <w:color w:val="000000"/>
          <w:sz w:val="20"/>
          <w:lang w:val="en-US" w:eastAsia="en-US" w:bidi="ar-SA"/>
        </w:rPr>
        <w:t>left thumb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Dommisse's opinion is limited by the fact that he saw Mrs. Guitierrez only once, he conducted his assessment through an interpreter, and it does not consider her mental health at the time of the accident or any psychological injuries she suffered as a result of the accident, and their impact on her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disagree with Dr. Dommisse's opinion that Mrs. Guitierrez could have returned to work within four months of the accident, that is, by April 7, 2011. His opinion does not accord with Mrs. Guitierrez's complaints of pain, does not accord with Dr. Iriarte's clinical findings on April 14, 2011 that Mrs. Guitierrez was suffering symptoms of soft tissue injuries in her neck, back, and left knee, and does not accord with Dr. Iriarte's assessment in the spring of 2011 that Mrs. Guitierrez was not fit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Similarly, the ICBC's decision that Mrs. Guitierrez had to return to work by May 2012 does not accord with Dr. Underwood's assessment or with Dr. Iriarte's assessment in May 2012 that she continued to suffer not only from physical complaints, but from major depression with anxiety, and post-traumatic stress disorder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prefer the evidence and opinions of Drs. Iriarte and Underwood to the opinion of Dr. Dommisse and give his opinion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Mrs. Guitierrez seeks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General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Past Wage Loss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Future Wage Loss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Loss of Homemaking Capacity</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Future Care Costs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In Trust claim</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Special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$7,884.89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$334,884.89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contends that the court should only award Mrs. Guitierrez the following damages: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13" type="#_x0000_t75" style="width:386.25pt;height:114pt">
            <v:imagedata r:id="rId843"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An award of for general or non-pecuniary damages is to compensate Mrs. Guitierrez for her pain, suffering, loss of enjoyment of life and the amenities of life. The factors (some overlapping) that the court should consider when assessing general damages are outlined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or mental abilities;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Mrs. Guitierrez refers to the following case authorities where the award for general or non-peculiar damages ranges from $50,000 to $100,000: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Lourenco v. Pham</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2013 BCSC 2090</w:t>
        </w:r>
      </w:hyperlink>
      <w:r>
        <w:rPr>
          <w:rFonts w:ascii="arial" w:eastAsia="arial" w:hAnsi="arial" w:cs="arial"/>
          <w:color w:val="000000"/>
          <w:sz w:val="20"/>
          <w:lang w:val="en-US" w:eastAsia="en-US" w:bidi="ar-SA"/>
        </w:rPr>
        <w:t>: the plaintiff was a pedestrian crossing the street when she was hit on the left side by the defendant's vehicle while she was in the intersection. Her major injuries were headaches, neck pain and back pain from the shoulders to her upper and mid back, as well as post-traumatic stress symptoms. Despite physiotherapy and active rehabilitation, she continues to experience pain in her neck and upper back almost 3.5 years since the accident. Award: $50,000.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Atwater v. Reese</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2009 BCSC 370</w:t>
        </w:r>
      </w:hyperlink>
      <w:r>
        <w:rPr>
          <w:rFonts w:ascii="arial" w:eastAsia="arial" w:hAnsi="arial" w:cs="arial"/>
          <w:color w:val="000000"/>
          <w:sz w:val="20"/>
          <w:lang w:val="en-US" w:eastAsia="en-US" w:bidi="ar-SA"/>
        </w:rPr>
        <w:t>: the plaintiff was walking when she was struck by the defendant's vehicle. She suffered a soft tissue injury for the next two years that caused pain in her left hip and thigh and would occasionally radiate into her left foot and lower back. She also suffered from interrupted sleep. Her work activities as a waitress aggravated her discomfort. She was unable to perform her pre-accident levels of activity. Award: $50,000.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Bulatovic v. Siebert</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2013 BCSC 240</w:t>
        </w:r>
      </w:hyperlink>
      <w:r>
        <w:rPr>
          <w:rFonts w:ascii="arial" w:eastAsia="arial" w:hAnsi="arial" w:cs="arial"/>
          <w:color w:val="000000"/>
          <w:sz w:val="20"/>
          <w:lang w:val="en-US" w:eastAsia="en-US" w:bidi="ar-SA"/>
        </w:rPr>
        <w:t>: the plaintiff was a pedestrian crossing the street on a rainy afternoon when she was hit on the right side by the defendant's vehicle and knocked to the ground. She had pain in her right arm and shoulder one week after the accident which affected her work. Plaintiff tried several treatments such as massage therapy and physiotherapy. At the time of trial, she continued to suffer problems with her right hand, numbness and sometimes pain into the shoulder and arm, as well as headaches and sleep disturbance. Award: $65,000.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the 49 year old plaintiff suffered injuries to her neck and upper back that persisted from the date of the accident up to trial. Her symptoms prevented her from completing her homemaking tasks, and had a negative effect on her personal relationships, especially with her children and husband. Award: $85,000.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the 49 year old plaintiff suffered from chronic neck and back pain, and headaches which persisted from the time of the accident up to the trial. His injuries and chronic pain affected his relationships and made him irritable. There was a finding that the injuries to his neck and back were unlikely to improve and might possibly worsen. Award: $85,000.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the 55 year old plaintiff suffered from chronic neck pain that radiated to his upper left trapezius muscle. The prognosis was guarded for complete resolution. Award: $75,000.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the 28 year old plaintiff experienced pain to her neck, shoulders, and headaches caused by her neck pain. Her symptoms were most acute in the first six months and remained acute for 16 months. She received chiropractic treatments, massage therapy, and acupuncture to treat her injuries. There was a finding that the plaintiff would continue to improve but it was not predicted to be symptom free. Award: $75,000.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Charlebois v. Vandas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2004 BCCA 356</w:t>
        </w:r>
      </w:hyperlink>
      <w:r>
        <w:rPr>
          <w:rFonts w:ascii="arial" w:eastAsia="arial" w:hAnsi="arial" w:cs="arial"/>
          <w:color w:val="000000"/>
          <w:sz w:val="20"/>
          <w:lang w:val="en-US" w:eastAsia="en-US" w:bidi="ar-SA"/>
        </w:rPr>
        <w:t>: a jury verdict of $110,000 was upheld. The Court of Appeal described it as on the high side, and inferred that the jury must have found that three years after the accident the plaintiff suffered chronic pain in the neck, shoulder blades and lower back, tinnitus, vertigo and occasional nausea, affecting the plaintiff's quality of life.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Whyte v. Morin</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the plaintiff was 40 years old at the time of the accident in April 2004. She had two children. She suffered wrist and lower back injuries from a previous motor vehicle accident. She had recovered and was in good health at the time of the subject accident. She suffered neck and upper back injury. She returned to work as a legal secretary, but eventually had to take a month off work. She had not taken significant time off work. She has continued work through the pain to bring in an income to her family. The Court found that she will make a substantial recovery within a few years. Award: $80,000.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Suedat v. Kara</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2014 BCSC 1837</w:t>
        </w:r>
      </w:hyperlink>
      <w:r>
        <w:rPr>
          <w:rFonts w:ascii="arial" w:eastAsia="arial" w:hAnsi="arial" w:cs="arial"/>
          <w:color w:val="000000"/>
          <w:sz w:val="20"/>
          <w:lang w:val="en-US" w:eastAsia="en-US" w:bidi="ar-SA"/>
        </w:rPr>
        <w:t>: the 42 year old plaintiff was struck and injured in a crosswalk. Her life before the accident was replete with challenges, including psychological conditions, making her vulnerable and eccentric. She was also the primary caregiver for her youngest child who required 24 hour a day care; but she worked. The accident caused her post-traumatic stress disorder, inability to focus or concentrate, pain in her right ankle, pelvis and uterus, the left side of her body, back and neck. Award: $ 50,000.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 relies on the following authorities where the award of general or non-pecuniary damages ranges between $25,000 and $31,000: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Currie v. McKinnon</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2012 BCSC 698</w:t>
        </w:r>
      </w:hyperlink>
      <w:r>
        <w:rPr>
          <w:rFonts w:ascii="arial" w:eastAsia="arial" w:hAnsi="arial" w:cs="arial"/>
          <w:color w:val="000000"/>
          <w:sz w:val="20"/>
          <w:lang w:val="en-US" w:eastAsia="en-US" w:bidi="ar-SA"/>
        </w:rPr>
        <w:t>: the plaintiff was rear-ended and sustained mild to moderate soft tissue injuries to his neck and upper and mid back. He took three weeks to a month off work then moved to a more sedentary job. He had substantially recovered within a year with occasional neck and back pain to the date of trial, 5 years post-accident. Award: $22,000.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the plaintiff, a passenger in a motor vehicle accident, sustained multiple soft tissue injuries and was off work for 1.5 months. She made some recovery within one year but continued to suffer some pain and headaches for about 2 1/2 years before she suffered a serious injury in a slip and fall. Award: $25,000.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2012 BCSC 1814</w:t>
        </w:r>
      </w:hyperlink>
      <w:r>
        <w:rPr>
          <w:rFonts w:ascii="arial" w:eastAsia="arial" w:hAnsi="arial" w:cs="arial"/>
          <w:color w:val="000000"/>
          <w:sz w:val="20"/>
          <w:lang w:val="en-US" w:eastAsia="en-US" w:bidi="ar-SA"/>
        </w:rPr>
        <w:t>: the plaintiff was rear-ended, suffered multiple mild to moderate soft tissue injuries, largely recovered within six months and had some mild intermittent ongoing symptoms. Award: $25,000.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the plaintiff sustained a moderate soft tissue injury to the neck and mid-back and mild soft tissue injury to the lower back. He was off work for four months. He experienced significant recovery by two and a half years after the accident and continued with intermittent pain to the date of trial, with pain expected to last for some unknown period. Award: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Every case of course depends on its own unique set of facts, and the defendant relies on cases where the plaintiffs' injuries and consequences of the accident were not as serious as those sustained by Mrs. Guitierrez.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Mrs. Guitierrez may have suffered from generalized anxiety and a persistent depressive disorder before the accident, but she was able to function well at home, at work, and socially. As a result of the accident she now suffers from significant post-traumatic stress disorder and chronic pain which is exacerbated by her work. Post-traumatic stress disorder, along with her pre-existing psychological problems, her lack of fluent English, lack of social support, and limited education have made the recovery from her physical injuries much more difficult than they would in someone else, but the defendant must take his victim as he finds her. He cannot argue that Mrs. Guitierrez should recover or ought to have recovered like most other persons. She is, as Dr. Koch states, less than an optimal candidate for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Suedat v. Kara</w:t>
      </w:r>
      <w:r>
        <w:rPr>
          <w:rFonts w:ascii="arial" w:eastAsia="arial" w:hAnsi="arial" w:cs="arial"/>
          <w:color w:val="000000"/>
          <w:sz w:val="20"/>
          <w:lang w:val="en-US" w:eastAsia="en-US" w:bidi="ar-SA"/>
        </w:rPr>
        <w:t>, the plaintiff was vulnerable and had a number of long standing emotional health issues when she was struck in a crosswalk by a vehicle. The accident triggered post-traumatic stress disorder. Mr. Justice G.P. Weatherill stated at paras. 61-63 and 81-82: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Due to her psychological make-up, the plaintiff was a vulnerable individual who was extremely susceptible to decompensation after a traumatic event such as the Accident. I find that the Accident has exacerbated the plaintiff's pre-Accident psychological condition. But for the Accident the plaintiff would not likely have suffered the psychological disorders diagnosed by Dr. Patel.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She has met the onus of establishing that the Accident triggered her psychological disorder: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plaintiff was described by Dr. Eichhorst as eccentric. I agree that is an appropriate characterization of her presentation. However, she is who she is and the fact that she has reacted to the events of December 7, 2010 in a manner that many would consider unusual does not, necessarily, make her claim illegitimate. If her symptoms are genuinely felt and she is not consciously exaggerating or feigning -- and I find that to be the case -- she is entitled to compensation for the losses she has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effect the Accident has had must be measured on how it has affected her, and not how it may have affected the average individual. The defendant is not entitled have a perfect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Although by many standards the Accident would be considered relatively minor, I find that the Accident has had a significant impact on the plaintiff and will continue to have an impact on her until her mental health issues have been addressed. Given the long-standing pre-Accident history of mental health issues, I find that she would have had issues with her mental health continuing into the future in any event of the Accident. The Accident exacerbated her mental health condition and has made her less functional than she would otherwise have been. Taking these factors into account, I assess her damages under this head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Considering all of the evidence and the authorities, I consider an award of $75,000 in general damages for Mrs. Guitierrez to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Mrs. Guitierrez claims wage loss from the time of the accident on December 7, 2010 to her return to work on November 21, 2012. Her hourly rate was $13.68 an hour until December 29, when it increased to $13.71, and to $13.76 an hour on January 12, 2013. Based on a four year average, she also claims $2,500 annually for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Her claim for past wage loss is $88,364.76, before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argues that Mrs. Guitierrez's wage loss claim should be limited to four months on the basis that she ought to have returned to work within four months of the accident. In maintaining that position, the defendant relies on the report of Dr. Dommisse, the clinical records of Dr. Iriarte which have repeated references to "intermittent" symptoms, and argues that Mrs. Guitierrez is generally not a credible witness and exaggerates her complaints of anxiety when crossing streets. The defendant also argues that the calculations for her claim are based on a 40-hour a week work week, which is contrary to Mrs. Guitierrez's evidence that she worked 7.5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Mrs. Guitierrez testified that she was paid 30 minute break, which means that she was paid for eight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Mrs. Guitierrez to be an honest and truthful witness, and that she reasonably could not have returned to work earlier than November 21, 2012. I therefore award her past wage loss in the amount of $80,500 net of taxes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Mrs. Guitierrez advances a claim for future wage loss of $137,000.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law relating to future wage loss or loss of future earning capacity is well known: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34 to 37, and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Mrs. Guitierrez bases her claim for future wage loss on a mathematical approach using the multipliers provided by Christiane Clark of Associated Economic Consultants Ltd. Ms. Clark prepared a report providing actuarial income multipliers adjusted for survival, but not for other positive or negative contingencies of life and the labour market. The survival-adjusted present values of future income from the date of trial to Mrs. Guitierrez's 65th, 66th, or 67th birthday is calculated at the following rates: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Trial Date to Age 65: $18,123 per $1,000 of annual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Trial Date to Age 67: $19,452 per $1,000 of annual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Trial Date to Age 70: $21,334 per $1,000 of annual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Clark's report also included the approximate value of non-wage benefits, including Canada Pension Plan, Workers' Compensation Board, and Employment Insurance premiums. On average, employers in the Province spend about 10.3 percent of gross payroll on non-taxable non-wage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Mrs. Guitierrez claims for loss of fringe benefits. The defendant argues that she is not entitled to anything for loss of fringe benefits because she has proved no loss. As I understand the defendant's argument, it is that Mrs. Guitierrez could have proved her loss if she had paid for dental expenses to the extent those expenses would have otherwise been covered by her group benefits dental plan. But she incurred no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Mrs. Guitierrez has suffered a loss as a result of the loss of her group benefits. Just using the dental plan as an example: without the dental plan, she and the eligible members of her family cannot afford to see the dentist, or pay for the dentist, or in the case of her son, she and her husband are unable to afford the maximum $2,000 orthodontic fees, which would be covered by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Mrs. Guitierrez advances her future wage loss claim on the basis that she will work until retirement at age 67, but only be able to maintain her current work hours at 28 hours a week. Therefore her future loss is (40 - 26 =) 12 hours a week, or (12 x 52 =) 624 hour annually, excluding overtime. Based on her current hourly rate rounded up to $14 an hour, the annual loss is $7,950, or $8,000 which results in an earnings approach loss of $163,000. The figure is "adjusted for positive and negative contingencies" to arrive at $122,394, which is then increased by $15,860 or 13 percent for fringe benefits resulting in $137,860 or $137,000 as the amount of Mrs. Guitierrez's future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consider 13 percent for non-wage benefits too high. Ms. Clark's report states that the cost of various insurance and pension plan benefits to the employer can be used to approximate the values of the benefits to some employees. However, the figure of 10.3 percent of gross payroll for non-taxable non-wage benefits includes, Workers' Compensation Board benefits, employment insurance premiums, and Canada pension plan premiums, and the percentage of payroll cost differs by industry, ranging from 5.8 percent in the retail trade and consumer services industries to a high of 18.1% in the "primary product manufacturing industry". There is no evidence that Mrs. Guitierrez has lost her Workers' Compensation Board, employment insurance or Canada pension plan benefits, except to the extent that she is working less than a 40 hour week. There is no evidence of the cost of Creekside's cost of the group benefits, and doing the best I can, I award her 5 percent of the $122,394 which she claims as lost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again argues that Mrs. Guitierrez is exaggerating all of her symptoms; she is capable of working full-time; she is not entitled to anything for lost income earning capacity, there is no medical evidence that Mrs. Guitierrez will not recover. I disagree. Dr. Iriarte could only go so far as to say that she hoped Mrs. Guitierrez will recover. Dr. Underwood states that it is unlikely that Mrs. Guitierrez can ever return to full-time work, and Dr. Koch's prognosis for her recovery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that Mrs. Guitierrez suffers from chronic musculoskeletal pain in her neck, shoulder and low back, patellofemoral syndrome in her left knee, de Quervain's tenosynovitis in her left thumb, and post-traumatic stress disorder as a result of the accident. Her pre-existing psychological disorders, and her post-traumatic stress disorder have exacerbated her physical symptoms. Her prognosis for improving her mental health problems is guarded if she does not receive appropriate psychological treatment, which is in turn limited by her lack of English fluency, formal education, or job skills. I find that there is a real possibility that she will be unable to return to work a full eight hours a day or 40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little doubt that before the accident, Mrs. Guitierrez was limited in her ability to obtain employment except for generally lower level unskilled jobs: her first job in Canada was as a factory worker and her current work is as an assembly line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argues that there is no real possibility that she will lose her current job because Mrs. Cutz is her sister-in-law, she has a voice in the decision making process and she will not let her sister-in-law get fired. However, that proposition was never put to Mrs. Cutz in cross-examination and is also contradicts Mrs. Cutz's evidence that the decision whether Mrs. Guitierrez will be kept in her current job is a decision that will be made by the plant manager and that she has no role in that decision. As I stated earlier, I could not help but gain the impression from Mrs. Cutz's demeanour and the tone of her voice, that there is a real and possible risk that Mrs. Guitierrez may not be kept on with Creekside even though she has worked for the company for some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Mrs. Guitierrez is not a person who has voluntarily withdrawn from the workforce. She and her husband work hard and there are financial pressures for them to both work. There is also a possibility that she will find other employment, and it may be in what Dr. Underwood calls a "warm environment", but at this time there is no way of knowing.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understand the defendant's argument that only 30 to 40 percent of the employees at Creekside work in the cold room, and that as the shift differential works out to $6 a week, less than what it is Mrs. Guitierrez claims, there should be no award under this heading. I am not certain whether the defendant is suggesting that Mrs. Guitierrez should find work at Creekside other than in the cold room. That was never put to her or to Mrs. Cutz. It may be that the other employees are office workers, sales persons, truck drivers, or in other positions for which Mrs. Guitierrez is wholly unsuited.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Mrs. Guitierrez is to be put in a position she would have been but for the accident as far as money can do that. Her capacity to earn income has been negatively affected by the accident. In this case her past earnings are a factor to take into consideration, recognizing that the assessment of damages is not simply a matter of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Clark, the economist, was asked questions on cross-examination relating to labour market contingencies and retirement. She testified that retirement is a very personal and takes into account personal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Apart from Canada Pension Plan, neither Mr. or Mrs. Guitierrez have a pension plan, they are of very modest means, they both work as hard as they can, they worry about finances, and there is a real and substantial possibility that Mrs. Guitierrez will work to age 67, if she is able to, but for the accident. She was never asked the question of how long she intended to work, and I am left to determine that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For loss of future earnings, including loss of fringe benefits, I award Mrs. Guitierrez $128,515.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contends that nothing should be awarded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contends that Mr. and Mrs. Guitierrez told different and conflicting stories of who does what at home. He argues that Mrs. Guitierrez testified that she did all of the housework before the accident, while Mr. Guitierrez testified that he did some of the vacuuming. Mrs. Guitierrez testified on examination for discovery that "...in the kitchen I prepare what can be made in the fastest time" and that she was not using recipes but "making hotdogs or cooking an egg". At trial she added that she was cooking noodles. Mr. Guitierrez testified that his wife was only preparing sandwiches and cereal. The defendant is splitting hairs. Husbands and wives often do not see eye to eye on their respective contribution to the cooking, housework or the care of their children. Whether Mrs. Guitierrez is making hotdogs or sandwiches, preparing cereal or cooking an egg: it is consistent with her evidence that she is not using recipes -- meaning that she is no longer preparing traditional "cultural dish" such as she used to bring to the monthly parents' association potluck dinner, or preparing meals like she used to for the family, but preparing "what can be made in the fastest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law relating to loss of homemaking capacity is set out in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74. What is being compensated is the loss of homemaking capacity, and it does not matter that the work is being performed by others in the family because of the accident. The evidence establishes that Mrs. Guitierrez can no longer cook like she used to, or do housework like she used to. She needs help with heavier housekeeping activities and maintenance. I consider an award under this heading at $7,000 to be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Mrs. Guitierrez relies on Dr. Iriarte's report that to avoid deconditioning, she should maintain exercises such as stretching, strengthening and low impact cardiovascular exercises such as swimming. She also relies on the recommendation that she continue to follow up with Dr. Underwood, and Dr. Koch recommends that Mrs. Guitierrez return to Dr. Ferrada for 20 more sessions of cognitive behavioural therapy for her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Mrs. Guitierrez claims future care costs of $10,000 based on the average of special damages incurred over the last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list of special damages totalling $7,884.92 includes $3,042.13 for prescriptions, $3,235 for physiotherapy, and the balance of $1,607.79 consists of various items, including custom orthotics ($523.97), knee brace ($114.07), Yellow Cab ($117), and other items such as a neck pillow, foam roller, and heated gloves. There are no amounts in her claim for special damages that relate to the cost of exercises or attending a community centre, Dr. Ferrada, or Dr. Underwood.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can only assume that because Dr. Underwood is a physician, her fee would be covered by the provincial medical services plan. The defendant argues that Mrs. Guitierrez paid no fee to Dr. Ferrada, and that she will incur no fee for attending Change Pain, but there was no evidence in that regard. Following closing arguments, I invited counsel to respond to the argument of the defendant regarding the fee of Dr. Ferrada.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received a written response dated February 18, 2015 from counsel for Mrs. Guitierrez (with a copy to counsel for the defendant) that both counsel have determined that Dr. Ferrada did not charge Mrs. Guitierrez a fee because her counselling fees were paid by ICBC as part of Mrs. Guitierrez's Part 7 benefits. A review of the records of ICBC by both counsel disclose that Dr. Ferrada charged ICBC a fee of $160 a session for a total of 21 sessions for a total cost of $3,360. Counsel also confirmed that Dr. Ferrada is not affiliated with the Change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no doubt that as a result of the accident, Mrs. Guitierrez will incur future care costs including the cost of prescriptions, attending a community centre so that she can swim and exercise, custom orthotics every two to three years, and attending psychological counselling with Dr. Ferrada. Doing the best I can with the evidence, and considering the fee charged by Dr. Ferrada, I award Mrs. Guitierrez $7,000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Mrs. Guitierrez advances an in trust claim of $5,000 on the basis that for the past four years and for the foreseeable future, her husband will be providing support to her. The defendant notes that in the trust claim it has not been pleaded (see </w:t>
      </w:r>
      <w:r>
        <w:rPr>
          <w:rFonts w:ascii="arial" w:eastAsia="arial" w:hAnsi="arial" w:cs="arial"/>
          <w:i/>
          <w:color w:val="000000"/>
          <w:sz w:val="20"/>
          <w:lang w:val="en-US" w:eastAsia="en-US" w:bidi="ar-SA"/>
        </w:rPr>
        <w:t>Star v. Ellis</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Both parties rely on the factors to be considered in assessing an in trust claim as set out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863"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What must also be considered is the reasonableness of the claim, and any other compensation Mrs. Guitierrez is receiving. She is being awarded $7,000 for loss of housekeeping capacity, and the evidence establishes that Mr. Guitierrez has stepped in and taken care of many of the housekeeping tasks. However, Mr. Guitierrez's services are not necessary for the care of Mrs. Guitierrez (as opposed to the care of the household) because of her injuries, and it cannot be said that the services Mr. Guitierrez provides are over and above what would be expected from a family relationship. To award Mrs. Guitierrez an in trust claim on the basis that Mr. Guitierrez now does some of the household tasks that she did before the accident, and at the same time, award her loss of housekeeping capacity, amounts to double accounting. I decline to make an award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Special damages are agreed at $7,884.92.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Mrs. Guitierrez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General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Past Wage Loss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Future Wage Loss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$128,515.00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Loss of Homemaking Capacity</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Future Care Costs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In Trust Claim</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Special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$7,884.92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$305,899.92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Mrs. Guitierrez is also entitled to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corrigendum to my Reasons for Judgment dated March 10,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paragraph 135, the phrase "subject to taxes" is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Kaler v. Lee, [2016] B.C.J. No. 1278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22-26, 29 and March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M121689, M147328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2016 BCSC 1125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Srvegeet Kour Kaler, Plaintiff, and Shih Jan Jeff Lee and Vai Keong Lei and Wan Lok and Kar Lok, Defendants And between Srvegeet Kour Kaler, Plaintiff, and Yun Chau Norman Kam and VW Credit Canada, Inc. Credit VW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2" w:name="Keywords_37"/>
      <w:bookmarkEnd w:id="362"/>
      <w:r>
        <w:rPr>
          <w:rFonts w:ascii="arial" w:eastAsia="arial" w:hAnsi="arial" w:cs="arial"/>
          <w:b/>
          <w:color w:val="000000"/>
          <w:sz w:val="20"/>
          <w:lang w:val="en-US" w:eastAsia="en-US" w:bidi="ar-SA"/>
        </w:rPr>
        <w:t>Damages — Physical and psychological injuries — Physical injuries — Body injuries — Back and spine — Neck — Soft tissue — Fibromyalgia or chronic pain — Psychological injuries — Cognitive impairment — Considerations impacting on award — Degree of impairment — Age of claimant — Determination of damages for injuries arising from motor vehicle accidents — Plaintiff was awarded $120,000 in non-pecuniary damages, $39,674 for past loss of earning capacity and $100,000 for loss of future earning capacity — 57-year-old plaintiff was hit from behind in three motor vehicle accidents — She suffered mild soft tissue injuries to neck and back — She developed chronic myofascial pain — She had mild psychological and cognitive symptoms — Plaintiff's quality of life deteriorated dramatically.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Loss of earning capacity — Non-pecuniary loss — Determination of damages for injuries arising from motor vehicle accidents — Plaintiff was awarded $120,000 in non-pecuniary damages, $39,674 for past loss of earning capacity and $100,000 for loss of future earning capacity — 57-year-old plaintiff was hit from behind in three motor vehicle accidents — She suffered mild soft tissue injuries to neck and back — She developed chronic myofascial pain — She had mild psychological and cognitive symptoms — Plaintiff's quality of life deteriorated dramatically.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3" w:name="Case Summary_35"/>
            <w:bookmarkEnd w:id="3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motor vehicle accidents. The 57-year-old plaintiff was hit from behind in three motor vehicle accidents, two in 2010 and one in 2012. She suffered mild soft tissue injuries to her neck and back in the first accident. The second aggravated those injuries and the third further exacerbated them. She developed chronic myofascial pain. Her most significant symptom now was constant and intense neck pain. Her prognosis was poor. She had mild psychological and cognitive symptoms secondary to the pain. At the time of the first accident, she was settling into a new career as a sexual abuse therapist and establishing a private counselling practice; deeply involved in the community; caring for her grandson, home and garden; and enjoying time with family and friends. She had done very little private counselling since the second accident and her work performance as a therapist had deteriorated due to her symptoms.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4" w:name="Holdings of Court_30"/>
            <w:bookmarkEnd w:id="364"/>
            <w:r>
              <w:rPr>
                <w:rFonts w:ascii="arial" w:eastAsia="arial" w:hAnsi="arial" w:cs="arial"/>
                <w:color w:val="000000"/>
                <w:sz w:val="20"/>
                <w:lang w:val="en-US" w:eastAsia="en-US" w:bidi="ar-SA"/>
              </w:rPr>
              <w:t>HELD: The plaintiff was awarded $120,000 in non-pecuniary damages, $39,674 for past loss of earning capacity, $100,000 for loss of future earning capacity, $19,696 for cost of future care, $10,000 for loss of housekeeping capacity and $14,230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quality of life deteriorated quite dramatically because of the injuries. She had suffered significant pain and discomfort for almost six years and it was unlikely to improve. She had psychological symptoms. Her involvement with family and friends was significantly impaired and her participation in community organizations diminished. Her vibrant, joyful, outgoing personality and drive to participate in the world around her was seriously dampened. She would have further developed her private practice absent the injuries. She was much more vulnerable to losing her job as a therapist, given the likelihood that she would continue to suffer the symptoms that she had now and the decline in her job performance, but her commitment to the profession and positive relationships lessened the risk. It was probable that she would miss time from work. The risks amounted to a pecuniary loss equivalent to 15 per cent of her salary. The award for cost of future care included amounts for a lifelong fitness pass and massage 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5" w:name="Legislation Cited_27"/>
      <w:bookmarkEnd w:id="3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Act, R.S.B.C. 1996, s. 231,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Appendix C, Appendix C, Schedule 3, s. 2(1)(a)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6" w:name="Counsel_39"/>
      <w:bookmarkEnd w:id="3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D.S. Jarrett.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7" w:name="Judgment_39"/>
      <w:bookmarkEnd w:id="367"/>
      <w:r>
        <w:pict>
          <v:line id="_x0000_s121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PRIOR TO THE ACCIDENTS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LAY WITNESSES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Michael Kates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Naz Tirandzian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David Quirke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Asef Javan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Amin Javer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Lisa Caillier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William Craig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Sundeep Thinda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 AND RELIABILITY OF THE PLAINTIFF'S EVIDENCE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Options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Collingwood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8" w:name="M.L. FLEMING J._0"/>
            <w:bookmarkEnd w:id="368"/>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"Sargie" Kaler seeks damages for injuries suffered in three motor vehicle accidents, two of which occurred in 2010 and the third in 2012. Each accident involved the vehicle she was driving being hit from behind. The second accident was much more serious than the other two. The defendants have admitted liability for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for non-pecuniary damages, past and future loss of earning capacity, loss of housekeeping capacity, the cost of future care and special damages, arising from multiple soft tissue injuries, chronic pain and cognitive and psychological symptoms secondary to her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dispute the scope and extent of the plaintiff's injuries. They acknowledge the plaintiff suffered some soft tissue injuries in the first two accidents but take the position she was or ought to have been substantially recovered within six months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now 57. She was 51 and 53 when the accidents occurred. She has lived in North Vancouver most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Kaler is one of eight siblings, part of a large Indo-Canadian family. At sixteen she left high school, travelled to India with family members and entered into an arranged marriage. She returned to Canada and was later followed by her husband. Her daughter Kelly was born in 1977 and her son Hardy about a year or so later. The plaintiff remained at home with the children until the early 1980's. At that point she completed some training and began to work as an assistant in a medical office where she remained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Tragically Kelly was murdered in 1997. The family was devastated. At the time the claimant was not working because she had been injured in an accident. She never went back to the medical office. Her son developed an addiction to heroin. Her husband began to drink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Consumed by grief Mrs. Kaler eventually sought counselling. With the help of therapy, she found the strength to not only carry on but to make remarkable changes. She also coped with ongoing adversity. Mrs. Kaler's husband died. In 2002, Hardy's girlfriend who was also heroin addicted gave birth to their son Dyelan. By that time, Hardy had begun to turn his life around. He and Dyelan lived with Mrs. Kaler and she provided for most of his care. When Dyelan was two she became his joint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age of 38, the plaintiff went back to school, attending Capilano College for about two years. She then completed an arts degree at Simon Fraser University with a double major in women's studies and psychology while working in the university's child care centre. She enrolled in a graduate program in counselling psychology at the Adler Institute. During that program she completed a practicum at an agency called Options working as a family counsellor. In 2007 she received her Master degree in Counselling 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graduating, Mrs. Kaler bought a strata property from the doctor she had worked for prior to Kelly's death, and opened a private counselling business called Collingwood Counselling Centre, her plan being to provide clinical counselling to women. Her friend and former classmate Rosalin Pemberton also became involved, renting an office where she operated her own counselling practice. Both women began seeing clients in 2008. In May 2009 the plaintiff was hired by Options to work as a sexual abuse therapist with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first accident on March 27, 2010 Mrs. Kaler was working four days a week at Options and about two days a week in her private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accidents, the plaintiff was active in the women's movement and the Indian community. In addition to attending marches and rallies, she was very involved with a number of community organizations, among them a South Asian women's organization called the India Mahaila Association ("IMA"). The plaintiff was a board member, participated in a number of subcommittees, organized large events for the association and attended other events involving IMA and other organizations. She was also very involved with Vancouver Rape Relief where she participated in a number of different ways. In addition, the plaintiff devoted a great deal of time to her temple where she started a family resource centre and a tax clinic for seniors and people with low incomes. She helped to prepare the communal meal before the religious services on Sunday morning. Further, during the two years prior to the first accident the plaintiff was an active member of the educational committee for the BC Play Therapy Association, again organizing and participating in various speaking/educational events for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Kaler has lived in the same home in North Vancouver since about 1990. Prior to the accidents she ran the household, which meant grocery shopping, meal preparation, laundry and cleaning, describing herself as very organized and particular about how things should be done, especially cleaning. She was an avid gardener tending to her flower and vegetable garden and most of the yard work. She always had a large dog or her son did, that she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Around 2008, Hardy married a woman named Kaye from England. He and his wife lived in the plaintiff's home. The plaintiff is a vegetarian. She cooked for herself every day and for the family at least twice a week. She continued to do most of the cleaning although Kaye helped, she also prepared non-vegetarian meals for herself, Hardy and Dyelan and walked the dog. Kaye and Hardy did their own laundry. Kaye also began to help Dyelan with his homework. Otherwise the plaintiff continued to provide for most of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enjoyed spending time with friends, long walks and hikes and reading both on her own and with her grandson. The plaintiff described herself as close to her five sisters. Typically they saw each other every weekend. There were also many get togethers with extended family. The plaintiff enjoyed Indian dancing at family celebrations.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2009, the plaintiff and her cousin Preet Pal went to India for a few months. They celebrated her 50th birthday there, visited the Golden Temple, and did a lot of shopping and sight-seeing. They also stayed in the villages. She had no difficulty managing the physical demands of travelling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first accident occurred on March 27, 2010. The plaintiff was driving to the temple on Ross Street with two passengers in her son's car. They were stopped at a red light while heading southbound on Boundary Road when the car was hit from behind. She described the impact as a jolt. The plaintiff was wearing a seatbelt. She remembered being surprised by the accident. She and the other driver exchanged information at the scene. She could not recall whether his car was damaged, but she did remember observing some damage to the rear bumper on her son's car and an indent on the license plate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also could not remember precisely when she first noticed any symptoms after the accident, but she did see her family physician Dr. Kates about them and recalled some difficulty with her neck and hip, irritation in her low back on the right side, and a headache. Dr. Kates referred her to physiotherapy and to Dr. Quirke, her former G.P. for some adjustments to her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accident occurred on the weekend. The plaintiff missed a half day of work on the following Monday. Just before the second accident she said she was almost recovered and was able to do all the activities she had done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Just before the second accident, on the morning of July 6, 2010, the plaintiff was driving to work alone along Highway One headed eastbound. Traffic ahead of her slowed very quickly. She recalled being relieved she was able to come to a complete stop without hitting the car in front of her when suddenly her car was hit from behind. The impact was "huge". The vehicle was damaged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described being confused about what was happening during the accident. What she remembers next is lying back in the driver's seat looking at the ceiling of the car. She could smell gas. When she undid her seat belt, she could not get up so she slid forward and turned off the ignition. She was able to recall a fireman knocking on the car window. He asked her to open the door and she thought, whether she always drove with her door locked. Again she described feeling dazed and confused. Ultimately the fireman covered her with a thick heavy blanket and broke the driver's side window. She was extracted from the vehicle with the Jaws of Life. The plaintiff's next memory is of lying on a spinal board and then a stretcher with a collar around her neck. She was taken to Royal Columbian Hospital ("RCH") by ambulance. She struggled to remember any phone numbers when asked by the paramedic. The plaintiff said that at the scene she could not lift her legs although she could move her fingers and toes. Her face and head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remained at RCH until the late afternoon. She underwent some scans. The plaintiff recalled telling the doctor her face hurt. She thinks her head also hurt, along with her neck and low back. She remembered clearly that she felt like vomiting and was provided with medication for pain and nausea. She also recalled having to urinate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 brother drove her home from RCH. She took the medication she was given but she had trouble sleeping because of the pain. Everything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saw Dr. Kates as soon as she could. She also continued to attend appointments with Dr. Quirke and Naz Tirandzian the physiotherapist. Around the same time she began to receive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asked about the early effects of the second accident, the plaintiff said she had trouble standing or walking for any length of time. She was not able to do any housework. She found she could not wash the dishes or her hair; lifting her arms was difficult. Walking upstairs was a "huge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her injuries and symptoms included a small cut on her left ear, pain in the left side of her face and jaw, pain in the left side of her neck that extended into her left shoulder, both arms were weak, and a feeling of pins and needles in her hands and feet. When she took a deep breath she felt pain in her spine, and "something going on" with her left hip extending into her left foot. She continued to have trouble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asked which symptoms were the most significant, she could not say, stating her head, face, jaw, neck and back were all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her direct examination, the plaintiff was asked to rate the severity of her symptoms shortly after the second accident, on a scale of one to ten, with ten being the most severe pain imaginable. She described intermittent pain and pressure at the back of her head as a nine, and when it was present she found she had to lie down on the floor for five minutes; intermittent pressure behind the left eye, more on the brow which was a nine when present; sensations in the left ear that were not painful, pain in the left side of her face that was also a nine, left sided jaw pain that was an eight, pain in the left side of her neck extending into her left shoulder that was a nine, both of her arms hurt, and the left arm was bruised a day or two later; her left arm hurt more than the right to the level of an eight or nine, she experienced pins and needles in her right arm and discomfort rated at a five if she lifted it over her head, in addition to the left hip extending into the left foot issue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started a graduated return to work in September 2010. She was working full-time by late November or early December 2012. She found the physical demands of working with younger children difficult, such as getting up off the floor and aspects of play therapy such as sword fighting or having her arms handcuffed behind her back. Over time she began to focus on providing therapy to older children and 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second accident the number of hours the plaintiff spent at her private practice diminished. She stopped looking for clients and gave most of her referrals to Ms. Pemberton. If the referral involved a Punjabi speaking woman, the plaintiff would see her perhaps once and then attempt to find another therapist for her. She described herself as physically unable to do as much or to sit for extended periods and the pain interfered with her ability to concentrate on the needs of the client. She also struggled to do the research she saw as necessary, describing her mind as not clear and strong enough to read and take in the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her graduated return to work, the plaintiff did provide approximately seven hours of therapy between August 6 and September 4, 2010 to an extremely vulnerable and highly symptomatic Punjabi speaking women by speaker phone from her home. The client's children had been murdered by her husband in front of her and then he attempted to kill her by slitting her throat. The plaintiff recalled a court case related to the crimes or some critical event approaching. The plaintiff had first met the client in 2009 at the hospital recovering from her injuries. She would not speak to anyone else. Understandably, the plaintiff felt a strong obligation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described the significant impact of her injuries on other aspects of her life including her volunteer work. She found herself without the capacity to stay in meetings and to physically assist with organizing activities and events. She stopped attending IMA board meetings for about a year and a half. At the temple she was unable to pray or sit on the floor, needing a wall to lean against. She stopped helping with the preparation of the communal meal on Sunday mornings for an extended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Between July and November 2010, Mrs. Kaler hired a cleaner who also prepared some vegetarian meals for her. Otherwise her daughter-in-law took over the cooking and dishes and helped in other ways. The plaintiff found she still could not stand for long and had trouble lifting pots. She also could not manage the grocery shopping on her own. In November she started to do some things for herself but continued to struggle and enlisted her son or her grandson to help her with grocery shopping in particular. Her daughter-in-law continued to help with cleaning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fall of 2012, the plaintiff went to India. Dr. Kates wrote a note indicating the plaintiff would require assistance getting on and off the plane. She had trouble managing her luggage and struggled to carry her handbag and place it in the overhead compartment. As the plane was landing, first in Japan and then in India, she experienced unbearable pain in her head; almost as though it was going to explode. After she arrived she found she could not see out of her left eye. She arranged to attend an eye clinic and underwent laser surgery which she understood was to correct a detached retina. She continued to experience immense pressure in her head while in India. An MRI was done. When she flew back to Canada she had the same experience of unbearable pressure in her head during the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Right before the third accident in November 2012, some of the plaintiff's symptoms had reduced or resolved but others persisted. She continued to experience pressure in the back of the head once or twice a week; the pain would intensify until she lay down for a short time. The pressure behind her left eye continued but was not as frequent. The pain in the left side of her face and jaw was still there. She was not able to recall with much certainty how much either of those symptoms had improved. The plaintiff rated the pain in her neck and left shoulder as a five to six and her left arm a seven to eight. She said her right arm by then was fine or maybe a two. The pins and needles sensation in her hands had continued every day for six months, but after that came and went depending on how her neck and back were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August 2012, Dr. Kates referred the plaintiff to Dr. Craig a physiatrist for the assessment and treatment of her ongoing symptoms. Shortly before then, Dr. Kates prescribed Gabapentin for pain which made her drowsy. She testified that on one occasion she fell asleep in front of a child at work after taking it. In cross-examination she insisted she had reported the incident to Dr. Kates and immediately stopped taking the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Craig has provided her with trigger point injections to assist with neck, shoulder and back pain which she continues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third accident occurred on November 8, 2012. The plaintiff was stopped behind a "semi" on the on ramp to the Pattullo Bridge when her vehicle was "bumped" from behind. She described the impact as a jolt that was hard enough to bring down the paper work held by the visor. The plaintiff did not feel any symptoms at the scene. After speaking with the other driver, she drove to work where she developed a headache. In her direct examination she testified she did not think the third accident aggravated her other injuries although she rated ongoing neck and shoulder pain as higher than it was just beforehand and she missed three days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underwent sinus surgery on October 2, 2014. She returned to work six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some point after the third accident, the plaintiff went on a driving trip to Oregon with her friend Claudia for ten days. She found it difficult, in particular sitting in the car. They stopped every two to four hours. The plaintiff preferred to stay at the beaches and walk while Claudia engaged in a range of activities. When Claudia persuaded her to ride a small bus in the sand dunes, her symptoms were significantly aggravated. More recently the plaintiff travelled to Las Vegas for a family wedding. She said she did not have much stamina and was not up for lots of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she continues to suffer from ongoing symptoms although many are less intense or frequent. She has not experienced the feeling of pressure in the back of her head for the past six months, before then she rated it at three instead of nine out of ten, her rating shortly after the second accident. Her face no longer hurts. Her jaw pain is about a three - she has the urge to open it and turn it which I observed her doing while testifying. Her left eye is no longer painful. Her neck pain remains her most significant symptom. The plaintiff described it as always there and rated it at about seven out of ten. She said the injections Dr. Craig provides hold it together for ten days to two weeks. Her left shoulder continues to be irritating; she has good and bad days. On a bad day it is at seven out of ten. Her ability to use her left arm remains restricted. She said it hurts when she puts it behind her back. If she does nothing with it, it is okay. Her right arm is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also testified to experiencing memory issues after the second accident, although she said they are better now than when she first went back to work. She described having trouble putting names to faces or even recognizing people at all and completing phone numbers. She also described feeling foggy and dazed after the second accident. In cross-examination she was able to recall Dr. Kates providing her with a mental status examination at some point in response to her own concerns about "early dementia" which she passed. She said she told Dr. Kates she was familiar with the test having studied it school. Mrs. Kaler said her mind is feeling clearer this year, although she is not 100% there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Kaler loves her job at Options although she continues to restrict her practice to older children. Working with teens allows her to move around and she does not have to get down on the ground or engage in play fighting. She also testified she finds the sitting required for record keeping and other tasks difficult, particularly since Options switched to a computer program after the third accident. As a result she is required to spend much more time on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continues to own and operate Collingwood, but she has essentially discontinued her private practice, stating she cannot sit and concentrate or "take it all in". She explained she has to remain seated for an hour and the neck pain in particular is not conducive to working therapeutically.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said she continues to have difficulties with some basic activities. She still finds it hard to get up from kneeling in prayer at the temple; although she is able to cook, she finds pulling and pushing things while cleaning a problem, as well as carrying the laundry basket on the stairs. She also continues to struggle lifting heavy items while grocery shopping. The plaintiff remains less involved with her volunteer work and goes out less with friends. She no longer has a garden - her son and grandson have taken care of the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Kaler testified her family would say her personality has changed dramatically. They complain to her that she is very irritable, cranky and short. She fears she is particularly so with Dyelan, stating he calls her cranky granny. She finds she is not able to do as much with him and instead relies on his help around the house. She acknowledged being irritable with Hardy and suggested her daughter in law Kaye cannot stand her. The plaintiff testified she has never been involved in caring for Hardy's two younger children given the oldest, her granddaughter was born the day of the second accident. Hardy and his family moved to England recently. Mrs. Kaler indicated Hardy and his four year old child were staying with her at the time of the trial and the plaintiff described having a four year old in the house as intolerable. She said she seem to be unable to adjust to changes coming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said she has tried her very best to follow the advice she has received from the medical professionals who have treated her. From the outset she has only wanted to get better. She performs the exercises her physiotherapist provided and walks 40 minutes each day. In the past she has attended yoga, tried aquafit and worked with a personal trainer again as recommended. In cross-examination she said she stopped going to yoga after her sinus surgery because Dr. Javen told her not to do anything that put pressure on her sinuses.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number of the plaintiff's friends and family members testified about the negative changes they have observed in her since the accidents, corroborating aspects of her own evidence. Her supervisor Nancy Orlikow at Options also testified to problems with her performance or functioning at work since the accidents and particularly more recently, that went beyond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of these witnesses described the plaintiff's remarkable enthusiasm, energy and passionate commitment to helping others prior to the accidents. Hardy spoke of his mother as the glue that kept the family together, meaning she was the person extended family members went to with their problems. He described her as a great parent who ran the household, worked full-time and cared for him and his sister with apparent ease. She was also very involved in their activities, coaching his sister's baseball team. After his son was born she did almost everything for Dyelan. They shared a very close relationship, reading together every night for hours until Hardy would tell them it was time for Dyelan to go to bed. She was an enthusiastic gardener. Before the accident he and his family enjoyed spending time with his mother, sharing meals together and watching television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cousin Ms. Pal said the plaintiff was fun loving, outgoing, and always encouraging. They saw each other often. Ms. Pal corroborated the plaintiff's evidence regarding their three month trip to India, describing the trip as physically demanding and the plaintiff as having no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friend Teng Fong met the plaintiff when they were both mature students at Capilano College in 1999. According to Ms. Fong, the plaintiff was very eager to learn, very caring, and helpful to everybody. Around 2005 Ms. Fong returned to Hong Kong, after she applied to immigrate to Canada. She came back each summer to visit friends and then returned permanently in 2009. She and the plaintiff remained friends. In 2009 Mrs. Kaler asked her to help at Collingwood counselling. Ms. Fong rejected the offer of pay and has done the plaintiff's bookkeeping ever since. She described the plaintiff as very active, always visiting friends and relatives or working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Navinder Lal has known the plaintiff for 10 or 15 years. They met when the plaintiff joined the board of IMA. They saw each other not only at board meeting but also at rallies, women's events and the temple. Overtime they became friends. Ms. Lal described the plaintiff as a very active member of the board, who was always there to help. In addition to attending monthly meetings, she was the "VP" of education and victim services, she organized educations events for members and responded to phone calls coming in from women in need, visiting them in the community and taking them to other agencies, at times. She also sat on subcommittees, and would assist in organizing and executing other events. Ms. Lal described the plaintiff as bubbly, lively, full of energy and a go getter. She remembered how excited the plaintiff was about opening her own private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high school friend Tracy Smith testified the two of them participated in a wide range of activities together before the accidents including two to three hour hikes in Lynn Canyon, long walks, dinners, movies, concerts and music festivals.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Rosie Pemberton met the plaintiff about ten years ago while they were both completing counselling practicums. She too described the plaintiff as outgoing and vibrant, adding that she was "so good with clients and so positive". Ms. Pemberton explained that during their practicums they talked about starting a counselling business together. After the plaintiff bought the strata property, she invited Ms. Pemberton to rent space. Collingwood opened for business in August 2008. She said business was slow in the beginning but it started to change in 2009. She testified the plaintiff was receiving lots of client referrals before the accidents. At first Ms. Pemberton spent one or two days a week there, now she provides counselling at least two days a week, seeing between two and five clients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After the summer of 2010 the plaintiff was in obvious pain and referred many clients to Ms. Pemberton. She estimated earning about $5,000 in net business income per year from her counselling practice charging between $80 and $90 per hour. She indicated the rent she has paid for the space has varied over the years from $250 to $500, and currently she pays $400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All of these witnesses described very similar, significant changes in the plaintiff after the second accident. In their own words, each of them testified that she became irritable, easily frustrated, unpleasant to be around and far less engaged with the world around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Hardy indicated his mother's patience is not the same and she seems frustrated by her limitations. He said her negative mood brought a lot of tension to the home. It became easier to avoid her by staying in the downstairs part of the house. Ultimately he and his wife decided to move out and she and the children are now living in England. He had been living there too and plans to return with Dyelan "once his paper work" arrives.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Hardy described the plaintiff as cranky and short tempered with Dyelan although she relies on his help with groceries and around the house. He now cuts the grass and carries the laundry basket for her. Hardy said he finds it hard to talk to his mother about anything, although they used to be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Pal and Ms. Lal both indicated the plaintiff does not have as much energy and is reluctant to make plans. As a result they both see her much less often. The plaintiff has not been to Ms. Pal's home since the second accident. Ms. Lal said the plaintiff is now "not with it" and no longer looking to the future. Ms. Pal described the plaintiff as having become introverted. Although she still attends family events, she is the first to leave and no longer participates in Indian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Smith's evidence was similar. The two women socialize less and there are no more hikes or long walks. She was the only witness who testified about the plaintiff being very aware and unhappy about the fact she is irritable. Ms. Smith described buying tickets for a special event to celebrate the plaintiff's birthday which she then missed because she lost her car keys at work. Ms. Smith indicated this is not something that would have happened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Lal testified to the plaintiff's difficulties at board meetings. It is apparent she has trouble sitting for long, tires quickly and is easily agitated. Ms. Lal explained some of the board members can be difficult and the plaintiff now becomes really frustrated with them, whereas before she would have been the one "to ease the way". The plaintiff has little involvement with subcommittees and she is no longer responsive to victim service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Tong also gave evidence the plaintiff is easily irritated and less patient since the accidents. She also described her as more forgetful. As her bookkeeper Ms. Tong keeps track of business expenses. Part of her role is to gather up the plaintiff's receipts and provide them to the accountant. Prior to the accident Ms. Tong would ask for them once or twice. Now she has to remind the plaintiff three or four times. Ms. Tong has also observed the plaintiff's apparent discomfort after the accidents, describing her as frequently changing position, using cushions for support and being unable to lift supplies for the business which they shop for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Orlikow supervises Mrs. Kaler and the other counsellors who work for Options. She testified to hiring the plaintiff in 2009 despite her relative lack of experience, because she made a very positive impression and was South Asian. Ms. Orlikow was struck by her candour and saw a real need for a Punjabi speaking counsellor who would perhaps make the broader South Asian community feel comfortable seeking help at the agency. By the time of the second accident, the plaintiff was still learning but was very eager and conscientious. She had completed a great deal of additional training and still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Orlikow described some of the complexities involved in the job of a sexual abuse therapist to children. The work can be quite technical. For example, it is important the therapy does not compromise a related criminal investigation. There is also a great deal of collateral work involved that includes supporting and assisting the child's family, liaising with police, social workers, medical professionals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Orlikow stated the plaintiff's reputation has always been very good and described her as raising the bar for other counsellors at the agency, pointing in particular to the extraordinary level of advocacy she provides to her clients and their families. Thanks to her, the program's South Asian clientele has grown.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Orlikow corroborated the plaintiff's evidence that play therapy with young children can be quite physical, explaining that traumatic themes often emerge through the play during counselling sessions which they act out. The children have access to costumes, figurines, props, and blow up dolls to punch. Sword fighting, being handcuffed and playing or crawling on the floor is part of the job. She confirmed the plaintiff's client composition changed because she found working younger children too physical and getting up off the floor too difficult. Ms. Orlikow also testified all of the therapists spend lots of time sitting at a desk using a computer and completing paper work. She indicated the combination is physically demanding. Ms. Orlikow said the plaintiff made her aware of different medications she was taking and did report not liking the side effects of some because they made her feel sleepy and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the plaintiff's return to work in the fall of 2010, Ms. Orlikow recalled the plaintiff dealing with many pain related issues and "doing" the work was hard for her. Ms. Orlikow has observed some deterioration in the plaintiff's functioning and job performance, describing her as "having a spaciness", being more forgetful and lapsing in her attention to detail. For example, Mrs. Kaler accepted a referral as part of a special project that was not yet up and running, despite being instructed not to do so. After that she approached the payroll department about how to get paid for her work on the special project. Both errors were a matter of her forgetting as opposed to ignoring instructions. She was and always is very apologetic about making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Orlikow testified the plaintiff also makes repeated errors on documents such as time sheets which have been previously reviewed with her. Since the accidents Options has converted from paper files to computer records. Although the plaintiff knows how to use the computer, she has trouble remembering what forms to use and how to track the latest decision. The plaintiff tends to fall really behind in her "paperwork" and then has to spend big chunks of time catching up. Ms. Orlikow specified this is problematic because progress notes about clients should be on the computer system within a couple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Orlikow said she was startled by a very recent fundamental error made by the plaintiff that involved her calling a client's teacher without written authorization. Since then, she and the plaintiff have discussed reducing her hours of work because of her limitations. Weighing against these issues and her physical limitations are the very positive relationships Mrs. Kaler shares with her clients which Ms. Orlikow recognizes as a really important part of successful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Orlikow also said it is helpful that she can have frank, difficult conversations with the plaintiff about her concerns but in hindsight she thinks Mrs. Kaler's limitations have been normalized and allowed to slide because she is so likeable, earnest and passionate about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Orlikow explained that funding for the program comes largely from the Ministry of Children and Family Development pursuant to an annual contract. There is always the potential the contract will not be renewed or the level of funding reduced, which happened previously when funding for an intake counselling position was eliminated in favour of another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Ms. Orlikow was challenged about the relatively positive performance reviews the plaintiff has received since the accidents. She acknowledged the content of those reviews, explained they involve a great deal of self-evaluation but did not change or qualify any of her evidence about the concerns she has regarding the plaintiff's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discussion of the medical evidence below, I have included some details about the plaintiff's subjective symptoms. This is a case where the medical professionals have made some ongoing objective findings related to the plaintiff's reported symptoms. However the court's assessment of the plaintiff's credibility and reliability remains material to the weight to be given to the medical opinions to the extent they depend upon her subjective reporting. Much like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the defendants' position regarding the plaintiff's credibility derives significantly from what they say is, or is not found, in the clinical records. They spent a great deal of time cross-examining the plaintiff and the medical professionals about many entries in the clinical records. In addition to arguing there are inconsistencies between the plaintiff's testimony and her subjective reporting or absence of reporting, the defendants ask the court to admit any inconsistent aspects of her "statements" contained in the records, for their truth pursuant to the admissions exception to the hearsay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response to the suggestion the plaintiff failed to report particular symptoms described in her evidence at trial, until well after the accidents, the plaintiff asked the court to consider the timing of consistent subjective complaints set out in some of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While prior consistent statements are inadmissible to prove the truth of a statement, they may be admissible as part of the narrative or to rebut the allegation of recent fabrication. The challenge is to distinguish between "using narrative evidence for the impermissible purpose of 'confirm[ing] the truthfulness of an allegation'" and "using narrative evidence for the permissible purpose of showing the fact and timing of a complaint, which may then </w:t>
      </w:r>
      <w:r>
        <w:rPr>
          <w:rFonts w:ascii="arial" w:eastAsia="arial" w:hAnsi="arial" w:cs="arial"/>
          <w:i/>
          <w:color w:val="000000"/>
          <w:sz w:val="20"/>
          <w:lang w:val="en-US" w:eastAsia="en-US" w:bidi="ar-SA"/>
        </w:rPr>
        <w:t>assist in assessing</w:t>
      </w:r>
      <w:r>
        <w:rPr>
          <w:rFonts w:ascii="arial" w:eastAsia="arial" w:hAnsi="arial" w:cs="arial"/>
          <w:color w:val="000000"/>
          <w:sz w:val="20"/>
          <w:lang w:val="en-US" w:eastAsia="en-US" w:bidi="ar-SA"/>
        </w:rPr>
        <w:t xml:space="preserve"> truthfulness or credibility", </w:t>
      </w:r>
      <w:r>
        <w:rPr>
          <w:rFonts w:ascii="arial" w:eastAsia="arial" w:hAnsi="arial" w:cs="arial"/>
          <w:i/>
          <w:color w:val="000000"/>
          <w:sz w:val="20"/>
          <w:lang w:val="en-US" w:eastAsia="en-US" w:bidi="ar-SA"/>
        </w:rPr>
        <w:t>McWilliams' Canadian Criminal Evidence</w:t>
      </w:r>
      <w:r>
        <w:rPr>
          <w:rFonts w:ascii="arial" w:eastAsia="arial" w:hAnsi="arial" w:cs="arial"/>
          <w:color w:val="000000"/>
          <w:sz w:val="20"/>
          <w:lang w:val="en-US" w:eastAsia="en-US" w:bidi="ar-SA"/>
        </w:rPr>
        <w:t xml:space="preserve"> (4th ed. (loose-leaf)), at pp. 11-44; </w:t>
      </w:r>
      <w:r>
        <w:rPr>
          <w:rFonts w:ascii="arial" w:eastAsia="arial" w:hAnsi="arial" w:cs="arial"/>
          <w:i/>
          <w:color w:val="000000"/>
          <w:sz w:val="20"/>
          <w:lang w:val="en-US" w:eastAsia="en-US" w:bidi="ar-SA"/>
        </w:rPr>
        <w:t>R. v. Ellard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2008 BCCA 341</w:t>
        </w:r>
      </w:hyperlink>
      <w:r>
        <w:rPr>
          <w:rFonts w:ascii="arial" w:eastAsia="arial" w:hAnsi="arial" w:cs="arial"/>
          <w:color w:val="000000"/>
          <w:sz w:val="20"/>
          <w:lang w:val="en-US" w:eastAsia="en-US" w:bidi="ar-SA"/>
        </w:rPr>
        <w:t xml:space="preserve">, at para. 85 and 86 as cited in </w:t>
      </w:r>
      <w:r>
        <w:rPr>
          <w:rFonts w:ascii="arial" w:eastAsia="arial" w:hAnsi="arial" w:cs="arial"/>
          <w:i/>
          <w:color w:val="000000"/>
          <w:sz w:val="20"/>
          <w:lang w:val="en-US" w:eastAsia="en-US" w:bidi="ar-SA"/>
        </w:rPr>
        <w:t>Brissette v. Cactus Club Cabaret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2016 BCSC 459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Payer</w:t>
      </w:r>
      <w:r>
        <w:rPr>
          <w:rFonts w:ascii="arial" w:eastAsia="arial" w:hAnsi="arial" w:cs="arial"/>
          <w:color w:val="000000"/>
          <w:sz w:val="20"/>
          <w:lang w:val="en-US" w:eastAsia="en-US" w:bidi="ar-SA"/>
        </w:rPr>
        <w:t xml:space="preserve"> the court reviewed the limited purposes for which clinical records are admissible and the qualifications that apply to those portions that record statements by the plaintiff, regardless of the purpose for which they are admitted. Essentially the decision underscores the limited reliability of statements noted in clinical records, which are usually a brief summary or paraphrase of what the plaintiff actually said, reflecting the information that the doctor considered most pertinent to the medical advice or treatment being sought on that day. At para. 34 and following the decision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Michael Kates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Kates was the plaintiff's family doctor from 2005 or 2006 until the end of January 2015, when he left his full-time practice. He provided the plaintiff with ongoing medical care following all three accidents. At her request, he prepared a medical legal report prior to the third accident, dated June 19, 2012. He also testified as a fact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Kates noted the plaintiff had been involved in several previous motor vehicle accidents, with the last occurring in 2006. However, he did not treat her for any injuries related to those previous accidents or complaints of neck pain before March 27, 2010. He was also not aware of any prior restrictions in her ability to function at work or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report Dr. Kates provides a detailed review of the plaintiff's symptoms, his objective findings and his advice and treatment over time, in addition to his opinions about causation and prognosis. He testified quite candidly that what he records during or after any given visit varies, and he does not make a note of everything although he tries to include the important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His report indicates that the plaintiff reported the onset of headache two days after the first accident, which Dr. Kates attributed to muscle contraction. About two weeks later she complained of right low back pain aggravated by sitting at work which then persisted particularly in the sacroiliac area. Dr. Kates referred the plaintiff to a physiotherapist and Dr. Quirke, the plaintiff's former family doctor who has a specialized practice dealing with neck and back issues. Following the second accident she continued to see Dr. Quirke and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first visit with Dr. Kates after the second accident was on July 9, 2010. He writes that her pain was localized to her low back and the left side of the neck. The range of motion in her cervical spine was significantly reduced. The same was true of her lumbar spine. He advised her to rest from work and to continue physiotherapy. When he saw her three days later, she complained of pins and needles in her hands and feet. He noted significant spasm in her low back and neck. At her next appointment on July 23, 2010, the range of motion in her neck remained reduced with rotation, extension and lateral flexion. She continued to complain of left sided neck pain. He advised her to see a clinical counsellor for significant anxiety and frustration related to the accident which she did, testifying she was visibly anxious and tearful, as well as frustrated. She expressed feeling she had "lost control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Her anxiety symptoms seemed to be resolving by late October 2010 although she also experienced some anxiety on and off throughout 2011. Overtime, the plaintiff complained of poor sleep due to her neck pain. She reported some improvement in back pain and less so her neck pain. According to Dr. Kates, she described the neck pain as radiating into her jaw just below the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His report indicates that in October 2010 she was "still" complaining the pain in her left neck was radiating into the left side of her face. During his direct examination he confirmed this and indicated she had previously described left face pain although it is not noted in his clinical records. He testified she complained constantly of neck pain coming into the jaw area and she must have mentioned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Kates continued to note objective signs, namely some restrictions in the range of motion in her neck. On January 31, 2011 he found the range of motion was essentially normal with some tightness at the extremes of rotation and lateral flexion. She continued to report flare ups of neck and back pain. At the end of August 2011 Dr. Kates noted some restriction to rotation of the cervical spine, and tightness at the extremes but also with flexion and extension. In December 2011 he found decreased rotation to the right and decreased extension in the neck although lateral flexion was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February 2012 he found the range of motion in the plaintiff's neck was almost normal, but there was significant tightness with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May 2012 the plaintiff reported to him she was lying on the floor at work at 11 a.m. - when she has acute attacks of pain in her neck region she lies down because the pain keeps her from focusing.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he saw her on June 4, 2012 for the purpose of preparing his report, she reported symptoms of daily left sided neck pain which she described as sharp and progressing throughout the day and intermittent headaches typically localized at the base of her neck. Both her neck pain and headaches were exacerbated by prolonged sitting. She also continued to complain of some low back pain described as an ache brought on by prolonged waking or standing. Finally she complained of irritability, which varied with the severity of her symptoms on any given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Shortly after that, on July 9, 2012 he prescribed Gabapentin for pain. His clinical records state two days later the plaintiff reported the Gabapentin was very effective, but caused drowsiness so he reduced her dose. His records for September 25, 2012 specify the plaintiff reported the medication "affects her at work ... feels drugged out ... is taking it at night". In cross-examination Dr. Kates did not recall the plaintiff telling him the Gabapentin caused her to fall asleep at work in front of a client and said he would have made a note of such an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report Dr. Kates expresses the opinion that the first two accidents caused the plaintiff a "whiplash associated grade II" injury to her neck and lower back, meaning a musculoskeletal injury with objective symptoms including decreased range of motion and point tenderness, with the effects of the second accident being much more severe. Two years post-accident he viewed her symptoms as having plateaued. Because she was involved in previous motor vehicle accidents, he regarded her prognosis for further significant improvement as somewhat guarded. He opined that she would need to adapt her life style to cope with her ongoing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Regarding ongoing or future treatment, Dr. Kates' view was she may need physiotherapy or massage therapy from time to time for more significant exacerbations of pain which would probably occur. If her anxiety level increased, he recommended ongoing counselling from a "counselling psychologist". He also recommended she improve her general level of fitness and obtain the services of a personal trainer to provide a program for her. Finally he offered the opinion the plaintiff was much more susceptible to further injury and more significant injury if she were involved in another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Kates' opinion was not undermined in cross-examined, nor did his evidence point to any significant inconsistencies between the plaintiff's testimony and what he recalls her telling him about her symptoms and their impact. He confirmed the plaintiff told him at some point she could not work with little kids on the floor any longer, although he could not recall when. His records indicate she reported this to him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Kates specified the plaintiff's complaints of left sided neck pain radiating into her left shoulder and upper trapezius area set out in his notes for March 3, 2014 were not new. When he gave this evidence he pointed to the area above his left collarbone.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described the plaintiff as very compliant with his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Naz Tirandzian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Tirandzian is a physiotherapist employed by the CBI Sports Injury and Rehabilitation Centre who provided fact evidence about her observations and treatment of the plaintiff since April 2010. Her clinical records are also in evidence but quite difficult to decipher. It is clear however the plaintiff attended regular if not frequent appointments until December 2013 through a series of referrals by Dr. Kates.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Tirandzian testified about various objective findings she has made regarding the plaintiff's symptoms over time. At the first appointment the plaintiff complained of intermittent neck and back pain and that her neck felt tired by the end of the day. She also reported pain while the range of motion in her lumbar spine was being tested. Ms. Tirandzian found she had reduced mobility in her lower spine on the right side and increased muscle tone more on the right than the left, reduced mobility in the cervical spine and some reduction in the range of motion in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Tirandzian saw the plaintiff shortly before the second accident and described her as improving but not 100%. She continued to report low back pain. At her first visit after the second accident on July 14, 2010, the physiotherapist found restrictions in the plaintiff's cervical range of motion in particular and increased muscle tone and tenderness to palpation in the cervical and thoracic spine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Not long before the third accident, in late August 2012, the plaintiff still had ongoing left sided neck pain and low back pain and objective symptoms including some reduced rotation and reduced mobility in her cervical spine, reduced mobility in her thoracic spine and stiffness with extension and rotation in her lumbar spine as well as increased muscle tone in her neck and lower back with palpation.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the first visit following the third accident, Ms. Tirandzian found the range of motion in the plaintiff's neck and lumbar spine were reduced. She also found increased muscle tone in the thoracic, lumbar and buttock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Tirandzian continued to see the plaintiff until December 9, 2013. By then the plaintiff had improved but continued to have ongoing symptoms, particularly neck and low back pain. Ms. Tirandzian's notes indicate there were objective symptoms that day but I am not able to decipher precisely what they were. At that point Ms. Tirandzian discharged the plaintiff, because she saw her as unlikely to make further improvements through physiotherapy. She advised the plaintiff to carry on with the gym, home based exercises, yoga and trigger point injections provided by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returned for further physiotherapy in March 2015 after her family doctor referred her again. She was experiencing increased pain in her left shoulder and left sided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Throughout, Ms. Tirandzian encouraged the plaintiff to report improvements in her functioning and discouraged her from gauging her recovery based on pain. She also told the plaintiff to do what she could without flare ups. Ms. Tirandzian described the plaintiff as very determined to get better, very positive and compliant.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 Quirke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Quirke is a medical doctor and the plaintiff's former family physician who specializes in treating muscular-skeletal conditions, primarily through spinal manipulations and adjustments. He testified as a fact witness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Kates referred the plaintiff to Dr. Quirke after the first accident. He examined her on July 5, 2010 and made some objective findings. Extension in both hips was limited and there was tenderness over the right sacroiliac joint. She returned shortly after the second accident on July 13, 2010 and he found a significant change in her condition. She had minimal range of motion in her neck, her thoracic rotation was decreased and there was tenderness to palpation in her neck, more so, on the left. She complained of pain behind the left jaw and as well as pain with deep breaths. Dr. Quirke referred the plaintiff to massage therapy. In August 2010 she complained to him of left sided jaw pain and left ear pain and watering of the left eye and tingling in three fingers on her left hand and a decrease in facial pain. Dr. Quirke observed the drum in her left ear appeared to be bulging, indicating fluid behind the drum. Later in August she discussed a choking episode and again there is reference to facial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she reported some improvements over time, the plaintiff continued to complain to Dr. Quirke of left neck pain and aching in the left lower back. In cross-examination he denied that the left shoulder pain noted in his records for January 2012 was a new issue, testifying the pain she had experienced had always gone from the neck to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August 2011 Dr. Quirke ordered an x-ray of the plaintiff's sinuses. There appears to be no dispute it showed sinus dysfunction and sinusitis. He treated her with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Two years after the accidents, Dr. Quirke found the plaintiff had not progressed. He wrote to Dr. Kates and suggested he refer her to Dr. Craig, a physiatrist. He continued to see her however because she reported temporary relief from his manipulations. By July 2013 he still had not observed much change overall. Dr. Quirke has continued to treat the plaintiff as recently as January 2016. She was wearing a lumbar support that day but still complaining of lower back pain. He too described her as fully compliant.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Asef Javan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Javan has been the plaintiff's family doctor since Dr. Kates retired from his practice in late January 2015. At her request, he prepared a medical legal report dated November 24, 2015. He testified by way of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Javan saw Mrs. Kaler for the first time on February 23, 2015. She reported pain in her neck and lower back. The range of motion in her neck was normal but she had tenderness to palpation in her lower back. At a subsequent appointment he found tenderness in the left side of her neck and the upper lateral side of her back and infraspinatus muscle, as well as reduced range of motion in her left shoulder in May 2015. In June 2015 he administered the "MOCHA" test in response the plaintiff's concerns about her cognitive functioning. She scored 29 out of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met with her on October 22, 2015 to prepare his report. He writes her major concerns included long term left sided neck pain; left sided face pain which is better but her cheeks hurt on and off; vision change in her left eye resulting in detached retina after the "accident", left sided hip pain that is much better in general, left shoulder and left arm pain and memory effects, for example getting lost in a parking lot a few times, problems remembering names and forgetting numbers. On that day Dr. Javan found the range of motion in her shoulder had "declined" and was sore to move. He also found mild tenderness in the left side of her neck and the lateral side of her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Javan's first opinion is essentially the same as Dr. Kates', although it includes the third accident: the plaintiff suffered a grade 2 whiplash injury to her neck and lower back as a result of the accidents. He also offers the opinion that the third accident caused some new problems for the plaintiff which have worsened lately, namely left shoulder pain. He further opines the retina in her left eye detached and secondary to that she started experiencing pain in the left side of her face and left eye. He then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these later complication(sic) might have been related to the recent accident in November 2012. However it is hard to exclude the effect of previous accidents in developing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reference to migraines he writes further: "regarding her left sided facial and eye pain mostly related to post-traumatic migraine phenomenon, prognosis varies ...". Dr. Javan also expresses the view, due to the accidents, the plaintiff "might" have developed some acquired brain injury causing some memory problems and that "more expert advice is needed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are obvious problems with Dr. Javan's opinions about the nature of some of plaintiff's injuries and symptoms, as well as their cause. Firstly he essentially offers no explanation for them. Some of the opinions are at odds with the chronology and are unsupported by any clinical findings. For example, the left eye pain and temporary blindness the plaintiff experienced in India in 2012, apparently involved a detached retina but there is no admissible medical evidence before me regarding the assessment and treatment of her left eye at the time or any treatment since. The procedure she underwent in India to repair her left eye occurred before the third accident not after. Other evidence which I accept makes it clear Dr. Javan is simply wrong when he says her left sided facial pain was secondary to her detached retina, given she began to experience left sided facial pain shortly after the second accident. The plaintiff does not claim to have suffered a brain injury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preparing his report, Dr. Javan reviewed the clinical records of Dr. Kates and his report, as well as his own clinical records, consultation reports and testing results contained in his medical file. Nothing in the clinical records or the evidence of the plaintiff supports his reference to </w:t>
      </w:r>
      <w:r>
        <w:rPr>
          <w:rFonts w:ascii="arial" w:eastAsia="arial" w:hAnsi="arial" w:cs="arial"/>
          <w:i/>
          <w:color w:val="000000"/>
          <w:sz w:val="20"/>
          <w:lang w:val="en-US" w:eastAsia="en-US" w:bidi="ar-SA"/>
        </w:rPr>
        <w:t>migraine</w:t>
      </w:r>
      <w:r>
        <w:rPr>
          <w:rFonts w:ascii="arial" w:eastAsia="arial" w:hAnsi="arial" w:cs="arial"/>
          <w:color w:val="000000"/>
          <w:sz w:val="20"/>
          <w:lang w:val="en-US" w:eastAsia="en-US" w:bidi="ar-SA"/>
        </w:rPr>
        <w:t xml:space="preserv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Throughout his cross-examination Dr. Javan deferred almost reflexively to the expertise of medical specialists on most issues. It reached the point where he would not answer questions that might have involved an opinion about very basic medical issues. He also did not present well. He seemed tired, distracted and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For all of these reasons I give Dr. Javan's opinion evidence very little weight. I accept however his fact evidence about the objective findings he made while examining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Amin Javer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Amin Javer is a highly qualified Otolaryngologist with a subspecialty in nasal, sinus and skull based surgery who has published over 80 peer reviewed research papers, and several book and video chapters on sinus and skull based surgery. He teaches courses and lectures widely on diseases of the nose and sinuses and skull. Dr. Javer is the founder and director of the St. Paul's Sinus Centre and the co-research director of the division of Otolaryngology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December 21, 2012, the plaintiff was referred to Dr. Javer on an urgent basis. Her main concerns were increased left sided facial pain and pressure since the accidents in 2010, ongoing fatigue, reduced concentration, frustration and irritability and waking during the night. She complained to him of two episodes of syncope or fainting while she was visiting India in the previous year. The plaintiff reported no history of sinus problems prior to the accidents and there is no indication she was being treated for one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Javer reviewed an MRI done in October 2012 in India which showed inflammation in three of the four sinus cavities on the left side of the plaintiff's face. An x-ray done of her left sinuses on August 17, 2011 showed opacification of the left maxillary sinus. He was left with the impression she was suffering from chronic rhinosinusitis and fainting of unknown origin. He ordered a CT scan of her sinuses to investigate the opacification of the left maxillary sinus shown in a 2011 x-ray and the MRI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Javer saw the plaintiff again on May 3, 2013 to review the results. It revealed sinus disease in more than one sinus with a completely opaque left maxillary sinus and moderately opaque ethmoid sinuses bilaterally. He questioned whether the opacification was a mucocele that may be pushing on the left eye, explaining a mucocele or pocket can develop when a sinus is obstructed because it continues to produce mucus. He clarified that pressure from a mucocele on the eye could have serious consequences in addition to pain and pressure, such as pushing the eye outward, eruption into the eye and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this stage, Dr. Javer recommended the plaintiff undergo surgery to open all of the sinuses and in particular to drain the left maxillary sinus and decompress or remove the mucocele. Unfortunately the surgery did not occur until October 2014 because of a long wait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asked about the effect of the delay on the plaintiff, Dr. Javer said it prolonged her experience of facial pain but he also commented that chronic sinusitis is one of the worst chronic conditions - in addition to suffering from pain and discomfort, patients are very susceptible to depression and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During surgery he found what he described as a "very sick (maxillary) sinus" that had an intense inflammatory reaction secondary to extensive infection. He also found chronic diffuse inflammation throughout the other sinuses.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Javer testified it takes about 12 weeks for the sinuses to heal after surgery. Patients typically are away from work for three to six weeks. The plaintiff's sinuses healed well after surgery and all of the inflammation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His report sets out the opinion the second accident likely resulted in trauma to her nose and sinuses that caused some bleeding into the sinuses which then developed into a sinus infection and subsequent inflammation. Dr. Javer also writes the left sided facial pressure and pain the plaintiff experienced after the second accident were a direct result of trauma to her face during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direct examination, when asked to explain what trauma to the nose "would entail", Dr. Javer specified a blood vessel rupturing inside her sinuses and explained in a healthy 50 year even a very hard shake to the head can pop a blood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Javer's report makes it clear his opinion is based to a significant degree on the findings of CT scan done shortly after the second accident on July 6, 2010 at RCH, the CT scan he arranged for in 2013 and the difference between them. The first CT scan showed an air fluid level in the maxillary sinus and some opacity within the ethmoid sinuses but not the completely opaque left maxillary sinus and the moderate opacification found in both ethmoid sinuses in the subsequent CT scan. Dr. Javer's report describes these results as demonstrably different. He writes: "There is evidence of an air fluid level on the original CT, which then seems to have converted into an intense inflammatory and infection reaction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During his direct examination, Dr. Javer explained the presence of air fluid indicates an acute sinus condition with two or three possible causes: irrigation of the sinus, acute infection, or blood. Given the plaintiff had no history of sinus problems, and what he described as a "fairly intense" accident, he concluded the air fluid levels were consistent with bleeding in the maxillary sinus caused by a blood vessel that was injured or traumatized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Javer testified he was 99% sure a traumatic rupture to a blood vessel in the maxillary sinus started "this whole pathway down to her surgery". He referred to not only the CT scans, but also the 2011 x-ray and 2012 MRI results as presenting a "perfect"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During cross-examination, Dr. Javer confirmed his report did not mention the plaintiff hit her face in the accident or bruising on the left side of her body. While testifying he referred to the plaintiff as bruised in the accident based on something he had read in the medical records, however he made it very clear his opinion did not depend on her face or nose being struck or externally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Javer's evidence was not shaken during cross-examination, apart from agreeing the CT scan results from July 6, 2010 could be explained by an acute sinus condition. There is however no evidence to suggest she had an infection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Javer testified in the morning on February 26, 2016, finishing just before the morning break. When the trial reconvened after lunch, the defendants notified the court they were objecting to the admissibility of his evidence regarding the ruptured blood vessel on the grounds it was new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closing submissions the defendants argued Dr. Javer's opinion regarding the source of the blood in the sinus is inadmissible because it fell "outside the four corners of the report" citing </w:t>
      </w:r>
      <w:r>
        <w:rPr>
          <w:rFonts w:ascii="arial" w:eastAsia="arial" w:hAnsi="arial" w:cs="arial"/>
          <w:i/>
          <w:color w:val="000000"/>
          <w:sz w:val="20"/>
          <w:lang w:val="en-US" w:eastAsia="en-US" w:bidi="ar-SA"/>
        </w:rPr>
        <w:t>Expert Evidence in British Columbia Civil Proceedings</w:t>
      </w:r>
      <w:r>
        <w:rPr>
          <w:rFonts w:ascii="arial" w:eastAsia="arial" w:hAnsi="arial" w:cs="arial"/>
          <w:color w:val="000000"/>
          <w:sz w:val="20"/>
          <w:lang w:val="en-US" w:eastAsia="en-US" w:bidi="ar-SA"/>
        </w:rPr>
        <w:t xml:space="preserve">, 2nd ed. (Vancouver, The Continuing Legal Education Society of British Columbia, 2005) at p. 174 and </w:t>
      </w:r>
      <w:r>
        <w:rPr>
          <w:rFonts w:ascii="arial" w:eastAsia="arial" w:hAnsi="arial" w:cs="arial"/>
          <w:i/>
          <w:color w:val="000000"/>
          <w:sz w:val="20"/>
          <w:lang w:val="en-US" w:eastAsia="en-US" w:bidi="ar-SA"/>
        </w:rPr>
        <w:t>Lotocky et al v. Markle, et al</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2005 BCSC 1609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Lotocky</w:t>
      </w:r>
      <w:r>
        <w:rPr>
          <w:rFonts w:ascii="arial" w:eastAsia="arial" w:hAnsi="arial" w:cs="arial"/>
          <w:color w:val="000000"/>
          <w:sz w:val="20"/>
          <w:lang w:val="en-US" w:eastAsia="en-US" w:bidi="ar-SA"/>
        </w:rPr>
        <w:t>]. In the alternative, the defendants argued as a new opinion, it should be given little or no weight. They submit the only admissible opinion of Dr. Javer's is the one found in his report which they characterize as physical trauma to the plaintiff's face and nose during the second accident causing her sinus problems, an event they say did not occur, rendering his opinion of no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 agree with the plaintiff's submission that Dr. Javer's evidence regarding the burst blood vessel is not a new opinion about causation. Instead it specifies or clarifies his opinion that trauma to her nose and sinuses caused bleeding "into" the sinuses. Although the use of the word "into" as opposed to "in" may suggest the site of the bleeding is not inside the sinus, read in context, which includes the </w:t>
      </w:r>
      <w:r>
        <w:rPr>
          <w:rFonts w:ascii="arial" w:eastAsia="arial" w:hAnsi="arial" w:cs="arial"/>
          <w:i/>
          <w:color w:val="000000"/>
          <w:sz w:val="20"/>
          <w:lang w:val="en-US" w:eastAsia="en-US" w:bidi="ar-SA"/>
        </w:rPr>
        <w:t>absence</w:t>
      </w:r>
      <w:r>
        <w:rPr>
          <w:rFonts w:ascii="arial" w:eastAsia="arial" w:hAnsi="arial" w:cs="arial"/>
          <w:color w:val="000000"/>
          <w:sz w:val="20"/>
          <w:lang w:val="en-US" w:eastAsia="en-US" w:bidi="ar-SA"/>
        </w:rPr>
        <w:t xml:space="preserve"> of any reference to an externally caused injury, Dr. Javer's written opinion is simply ambiguous about the precise location of the injury that resulted in internal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Lotocky</w:t>
      </w:r>
      <w:r>
        <w:rPr>
          <w:rFonts w:ascii="arial" w:eastAsia="arial" w:hAnsi="arial" w:cs="arial"/>
          <w:color w:val="000000"/>
          <w:sz w:val="20"/>
          <w:lang w:val="en-US" w:eastAsia="en-US" w:bidi="ar-SA"/>
        </w:rPr>
        <w:t xml:space="preserve">, the court confirmed the authority of </w:t>
      </w:r>
      <w:r>
        <w:rPr>
          <w:rFonts w:ascii="arial" w:eastAsia="arial" w:hAnsi="arial" w:cs="arial"/>
          <w:i/>
          <w:color w:val="000000"/>
          <w:sz w:val="20"/>
          <w:lang w:val="en-US" w:eastAsia="en-US" w:bidi="ar-SA"/>
        </w:rPr>
        <w:t>Pedersen v. Degelder</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(1985), 62 B.C.L.R. 253</w:t>
        </w:r>
      </w:hyperlink>
      <w:r>
        <w:rPr>
          <w:rFonts w:ascii="arial" w:eastAsia="arial" w:hAnsi="arial" w:cs="arial"/>
          <w:color w:val="000000"/>
          <w:sz w:val="20"/>
          <w:lang w:val="en-US" w:eastAsia="en-US" w:bidi="ar-SA"/>
        </w:rPr>
        <w:t xml:space="preserve"> (S.C.) which provides when a report of an expert is tendered, his or her direct examination must be confined to questions that ask the expert to explain technical terms or clarify ambiguities found in the report. I do not regard the questions asked of Dr. Javer and the answers he gave during his direct examination as violating those limitations. He explained the meaning of air fluid levels and he clarified what the trauma was that caused bleeding into the plaintiff's sinuses. Further, although I found the defendant's expert report inadmissible because of entirely unexplained late service, it is clear they had the benefit of an Otolaryngologist's advice after receiving Dr. Javer's report. The defence did not object at the time Dr. Javer gave his impugned evidence. Rather they chose to wait until well after completing their own cross-examination before complaining, inconsistent in my view with the assertion they were caught off guard by the evidence he gave in his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circumstances I find all of Dr. Javer's testimony admissible.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Lisa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Caillier is a physiatrist who conducted an independent medical examination of the plaintiff on July 30, 2013 at the request of her counsel. The results of the assessment are set out in her report dated August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report includes a detailed discussion of the plaintiff's complaints at the time. Most notably the plaintiff reported ongoing headaches involving a "pressure-type sensation" involving the top of the neck and the back of the head, disrupted sleep due to pain, feeling very tired and more so as the day goes on, worsening memory, concentration and attention, constant left sided neck pain that increases when she is in meetings, at conferences, looking upwards at a screen and driving, sitting or standing for long periods, exercises and physiotherapy sessions, constant aching in her low back that changes in intensity with activity, irritability and frustration with pain, intermittent pins and needles and tingling that involves the left top of the shoulder blade region, and an aching pain that goes from the low back to the left buttock region with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terms of her functioning at the time, although the plaintiff was working at Options with older children, she described not doing much around the house, including very little cooking and no laundry because she is not able to lift the basket and manage the stairs, citing pain and reduced balance. The plaintiff reported her daughter in law was doing most of the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Caillier found the range of motion in her cervical spine restricted in extension to about 50% of normal. The plaintiff also reported discomfort across the lower back particularly on the left side while the range of motion in her lumbar spine was being tested. Facet loading worsened the pain. Extension was restricted to well below normal. The plaintiff reported tenderness to palpation across the back of the neck, in the cervical paraspinals, as well as in the upper trapezius and rhomboid muscles, more so on the left and overlying the left eyebrow and the maxillary sinus. Dr. Caillier noted mild tenderness to palpation in the left mandibular region and the left masseter muscle. The range of motion in her shoulders and elbows was normal and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Caillier offered the opinion the accidents resulted in or significantly contributed to the following conditions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OR ISSUES RELATED TO MVA NO. 1 DATED MARCH 27, 2010</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neck.</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injury involving the lower back.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OR ISSUES RELATED TO MVA NO. 2 DATED JULY 6, 2010</w:t>
      </w:r>
      <w:r>
        <w:rPr>
          <w:rFonts w:ascii="arial" w:eastAsia="arial" w:hAnsi="arial" w:cs="arial"/>
          <w:sz w:val="20"/>
          <w:lang w:val="en-US" w:eastAsia="en-US" w:bidi="ar-SA"/>
        </w:rPr>
        <w:cr/>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muscoligamentous injury involving the neck, upper back, mid-back and lower back regions.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any pre-existing symptoms attributable to the first motor vehicle accident of March 27, 2010 and particularly that of the neck. It is my opinion that, but for the second motor vehicle accident, she would not have the pain she currently has.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Fear and anxiety in vehicles.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sleep.</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off work and inability to return to work full-time until November 2010, which is reasonable given her symptomatic complaints.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ability to participate in activities of her choosing, whether recreational or around the home.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secondary to pain and altered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OR ISSUES RELATED TO MVA NO. 3 DATED NOVEMBER 8, 2012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Worsening symptoms attributable to the second accident, particularly in her neck and low back.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But for the second accident, Dr. Caillier believes the plaintiff would not have the pain that she currently has and although the third accident aggravated her symptoms, the majority are secondary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During the assessment, the plaintiff described facial pain, left eye flickering, and emotional and psychological symptoms. In her report, Dr. Caillier defers to an Otolaryngologist to discuss whether an abnormality found in the left maxillary sinus relates to the second accident and assumes there are no clinical records pertaining to facial pain immediately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She also writes the plaintiff's irritability and frustration appear to be related to pain and her inability to participate in her usual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Caillier found a number of other symptoms the plaintiff was experiencing to be unrelated to the accidents, among them balance difficulties, choking sensations, numbness and tingling in the left hand consistent with carpal tunnel syndrome, urinary frequency, plantar fasciitis in her left foot and left leg pain. With respect to choking sensations, she assumed the symptoms had been noticed until two to six months prior to her assessment. Dr. Caillier was provided with many of the plaintiff's medical records, including those of Dr. Quirke. She could not decipher his handwriting which reference complaints of a choking sensation shortly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 respect to ongoing headaches, which the plaintiff described as pressure type pain involving the top of her neck and the back of her head, Dr. Caillier's report indicates it is unlikely she will become pain free. Instead she will likely have ongoing intermittent headaches into the future but they are not likely to limit or restrict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Caillier found the plaintiff's disrupted sleep secondary to discomfort and accident related pain but also indicated there could be other causes that should be investigated. In cross-examination she agreed the plaintiff's report of feeling rested when she wakes in the morning was inconsistent with this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Most significant is Dr. Caillier's opinion the plaintiff suffers from chronic pain involving the soft tissues of the neck, upper back and lower back that is a direct result of the second accident. Although mechanical low back pain is possibly a component of her chronic pain, the majority of her symptoms relate to the soft 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Caillier views the plaintiff's prognosis for improvement as poor. At the same time she believes the plaintiff's pain can be better managed, but it is very unlikely she will become pain free. Dr. Caillier testified that typically chronic pain symptoms fluctuate in severity. Unpredictability is part of what makes the condition difficult. Although the plaintiff was trying to walk every day, attending the gym once a week and attending yoga, Dr. Caillier regarded physical deconditioning as perpetuating her pain and increasing her susceptibility and vulnerability to worsening pain when she is involved 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Caillier saw the plaintiff's symptoms of cognitive dysfunction including worsening memory, concentration and attention, as likely caused by pain, disrupted sleep, fatigue, headaches, irritability and frustration. With improved overall physical conditioning, lessened fatigue and improved sleep she predicted the plaintiff's cognitive functioning was 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Caillier recommended a pain management program that includes an exercise regime and increasing what the plaintiff does around the house to help her manage her symptoms better (perhaps lessening flares of pain), and improve her conditioning, endurance, and tolerance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Her recommendations include working with a kinesiologist twice a week for a month and once weekly for six weeks. At the time of the assessment, the plaintiff was not comfortable doing exercises at the gym on her own. The goal would be for her to learn a program of exercises and build self-confidence. Dr. Caillier also recommended six to eight sessions per year for the next two to three years with a kinesiologist to progress and troubleshoot, with the goal being the plaintiff will exercise three or four times a week on her own through a combination of pool and gym exercises as well as walking or cardiovascular exercise. Because she regards lifelong exercise as necessary, Dr. Caillier recommends permanent access to the gym and pool. She also recommended discontinuing physiotherapy and a re-referral to Dr. Craig for trigger point injections, particularly in the occipital and left sided neck areas to try and better manage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her report, Dr. Caillier found the plaintiff capable of working full-time. She described her decision to work with older children and teenagers as appropriate given the difficulties she has experienced being on the ground during play therapy. With improved management of her symptoms, Dr. Caillier said she may be able to return to that work. Although Dr. Caillier concluded the second accident caused a reduction in the plaintiff's ability to participate in household activities, she also said the plaintiff is capable of doing more than she realizes. In Dr. Caillier's opinion the plaintiff does not require household assistance and is capable of gardening, although she will likely need help with heavier yard clean up. Dr. Caillier suggested that while gardening the plaintiff should take breaks, kneel on a small stool and change her position. Dr. Caillier predicted the plaintiff's symptoms will flare, particularly with increased activity and during those times she should pace herself and prioritize what needs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Caillier's opinions were not undermined in cross-examination nor did her evidence support the defence suggestion that the symptoms and limitations the plaintiff reported to her were materially inconsistent with her testimony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Craig, the plaintiff's treating physiatrist also prepared a medical legal report at her request dated November 5, 2015. He comments on his assessment and treatment of the plaintiff over the past three years, as well as further treatment recommendations but not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His report indicates when he first met with the plaintiff in August 2012 she was reporting pain in the upper trapezius area and the back and side of the neck. She had twitching in her left upper shoulder, and a sensation of fatigue in her upper and mid back but not significant headaches. His examination found mild restrictions in her neck range of motion, and multiple trigger points in the muscles on the side of her neck and upper trapezius, as well as mild tenderness in left scapula which runs from the upper shoulder blade to the upper neck and the right upper trapezius. There was no significant restriction in her shoulder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Craig explained that trigger points in the muscles are focal areas of increased muscle tone that feel to the touch like a knot or tight band. They are painful and refer symptoms when pressed. They are an objective finding. While giving evidence he clarified the plaintiff's subjective symptoms were consistent with the trigger points he found. In cross-examination, he disagreed with the suggestion that psycho-social factors cause pain or would have an effect on the trigger points, although they can lower a person's pain threshold or affect their perception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After the first appointment, Dr. Craig formed the opinion the plaintiff's pain was primarily myofascial. He recommended she continue yoga because she was reporting some benefit from it. His goal was for her to work with a kinesiologist once her symptoms were better managed. He discussed a number of other therapies with her including trigger point injections and recommended she continue with Gabapentin, because it had helped her pain. In his direct examination he expressed the view that discontinuing the Gabapentin is medically reasonable when it causes side effects such as drowsiness and mental confusion. His report indicates she had found it sedating and it was causing some cognitive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Craig saw the plaintiff again on October 23, 2013. She had started working with a kinesiologist. She described pain in the back of her head, continued neck pain and a sensation of pins and needles in the left upper and posterior shoulder, as well as ongoing back pain. She was also reporting some cognitive issues. His impression remained that her pain was likely myofascial but she may also have left lower cervical facet arthropathy. He performed trigger point injections in her neck and shoulder girdle. At the next appointment on November 6, 2013 he performed further trigger point injections in her lumbosacral paraspinals and mid thoracic paraspinals. At a follow-up visit she reported the trigger point injections helped her neck and shoulder but not her back. He repeated the injections in December 2013 and she reported immediate improvement in her symptoms after her hip injection. Dr. Craig referred the plaintiff to Lions Gate Hospital for an injection into the left sacroiliac joint. He has continued to provide trigger points injections at further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His reports specifies when he examined her left shoulder in November 2014, her symptoms suggested a rotator cuff issue. In June 2015 she reported increased pain in her left upper arm and difficulty elevating her shoulder. He again suspected rotator cuff issues and ordered an ultrasound. Dr. Craig last saw the plaintiff on October 22, 2015 before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His current diagnosis is the plaintiff has chronic myofascial pain affecting her neck and shoulder girdle and low back and left hip. He views the headaches she reported as likely related to muscle tension in her neck and shoulder girdle and potentially lower left cervical facet 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cross-examination Dr. Craig agreed the normal range of motion found in the plaintiff's shoulder during his initial examination was inconsistent with the rotator cuff issue he identified later being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agreed that chronic pain symptoms including objective symptoms tend to vary over time and with activity levels. Fluctuations are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his report, Dr. Craig recommends the plaintiff's mood be further assessed. He found her very anxious and emotional during many of their visits. Based on her presentation, he suspects she has a concurrent mood disorder and writes that a combination of pain for over two years and concurrent mood issues is a poor prognostic factor. He describes the plaintiff as continuing to have "functionally" limiting pain. In cross-examination, Dr. Craig agreed he had not discussed with the plaintiff the impact of her pain on her functioning. He said however, having seen many, many patients with her symptoms; he would expect her to experience limitations in her ability to function. He sees her as capable of working at least part time at a sedentary job, as long as she can change positions regularly and does not have to maintain any awkward positions. He also sees her as capable of routine household tasks, but not heavier or more physically demanding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argue Dr. Craig's report should be given little weight because his opinions about the nature of her injuries and her functioning are based on his own examinations of the plaintiff, the clinical history she provided and a review of his own records, but not the accident related medical records or her pre-accident records. Bearing in mind the whole of the medical evidence, for the most part, I do not agree. Dr. Craig's opinion about the plaintiff's chronic myofascial pain is consistent with the opinions of Dr. Caillier and Dr. Kates. The plaintiff pre-accident history is of very limited significance here because Dr. Craig does not purport to offer any opinions about causation. His opinion is focused on the nature of the plaintiff's current injuries. To the extent he may have suggested that new symptoms such as reduced range of motion in the plaintiff's left shoulder could have been caused by the accident, I accept that portion of his evidence should be given very limited weight. Further where Dr. Craig's opinions are based on suspicions as opposed to what he views as likely, I have ignored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Sundeep Thinda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Sundeep Thinda is a registered psychologist who provided a medical-legal report regarding the plaintiff at her request dated November 13, 2015. He reviewed the reports of Drs. Caillier and Kates, as well as a consultation report prepared by Dr. Javan in preparing his report but not the plaintiff's clinical records or Dr. Craig's report. The plaintiff told Dr. Thinda she started experiencing emotional difficulties after the second accident, feeling increasingly frustrated and irritable because of pain and discomfort. She also reported she still becomes cranky and frustrated when she is experiencing pain related discomfort, as well as difficulty with her memory such as putting names to faces and recalling telephone numbers. She is frustrated by how her injuries limit her ability to do the activities she enjoyed prior to the accidents. According to Dr. Thinda, she also described agitation, loss of energy and fatigue as prominent symptoms. She identified left sided neck, low back and arm pain as causing her the most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Overall the plaintiff rated her average pain levels at rest or with minimal activity at three out of ten with an increase in pain and fatigue as the day progresses. She estimated experiencing flare-ups of pain about twice a month during which her pain rises to a seven or eight. She reported increased pain with activity or static postures at work but said she takes breaks and paces herself, describing her employer as understanding of her injuries. She told Dr. Thinda she has taken time off from work, for example the week before the assessment because she felt she needed the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was asked to complete a number of psychological tests to supplement the "clinical data" Dr. Thinda obtained from his interview with the plaintiff. Among them was the Personality Assessment Inventory ("PAI"). Dr. Thinda described this as a very hard test to fake. The plaintiff's responses showed a tendency to present herself in a more favourable light than the clinical picture would warrant, meaning she displayed a tendency to underreport her problems, or there was some suppressing going on. Other test results indicated she is experiencing symptoms of mild depression, her level of "trait anxiety" was normative when compared to similar aged females with a pain problem, but not as low as Dr. Thinda likes to see in patients he is treating. Her responses consistently showed no separate mood, anxiety or trauma related diagnosis. The WHODAS, which identifies perceived impairment levels related to mental and physical problems, suggested the plaintiff is experiencing clinically significant disability in some important areas of her life. She endorsed none to mild impairment in understanding and communicating, moderate impairment in "getting around"; mild to moderate impairment in self-care; none to mild impairment in getting along with people; moderate to severe impairment in life activities; moderate to severe impairment in work activities and moderate to severe impairment in her participation in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Thinda diagnoses the plaintiff as suffering from a mild persistent somatic symptom disorder (pain disorder) and a mild adjustment disorder with depressed mood. At p. 11 of his report he explains the diagnoses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predominant diagnosis is of a pain disorder (somatic symptom disorder) and a secondary diagnosis of adjustment disorder. The pain disorder is related to her pain problems, particularly the neck and low back, after the second 2010 MVC. She continues to report chronic pain and related limitations today. The somatic symptom disorder captures the fact that Ms. Kaler's chronic pain problems have become a primary focus of the experience of her daily functioning. She spends excessive time and energy devoted to her pain and pain symptoms in the day. The WHODAS results support the impact of pain related disability on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the persistence of her pain and the limitations Ms. Kaler perceives have negatively impacted her mood. She did not endorse symptoms suggestive of stand alone major depressive disorder or anxiety disorder, and it appears her emotional symptoms vacillate with her perceived pain levels. However her altered emotional experience due to the pain disorder is notable and best captured under the adjustment disorder diagnosis.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his opinion the plaintiff's psychological conditions were caused by the accidents, emphasizing the second accident. He clarifies that although she reports improvement in her emotional functioning since the end of July 2010 she continues to experience altered mood symptoms, effects on her cognitive functioning and limitations to her activities due to mood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Thinda predicts the plaintiff will continue to experience adjustment related mood difficulties due her ongoing experience of pain, citing Dr. Caillier's report and the opinion of Dr. Kates. He writes that he agrees with both doctors about her need for ongoing counselling to assist in coping with her chronic symptomology. Of course their recommendations were not the same. Dr. Kates recommended further counselling if her anxiety levels increased. Dr. Caillier recommended follow up with a counsellor regarding the plaintiff's frustration. I take from his evidence that he recommends the plaintiff participate in ongoing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Thinda's opinions were not undermined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submit the plaintiff's evidence was not credible given various external and internal inconsistencies. They also argue she is an unreliable and inaccurate historian with respect to the circumstances of the accidents, her capacity to work and her subjective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assessment of Mrs. Kaler's evidence is important to determining the cause, nature and extent of her injuries and symptoms: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4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at para. 186. They include the firmness of the witness's memory, the ability of the witness to resist the influence of interest in modifying his recollection, whether the witness's evidence harmonizes with independent evidence that has been accepted, whether the witness changes his evidence during direct examination and cross-examination (or between examination for discovery and trial) or is otherwise inconsistent in his recollections. Other factors that affect credibility are whether the witness's evidence seems generally unreasonable, impossible or unlikely, and the witness's demeanour. However truthfulness and reliability are not the same thing. A witness may sincerely believe that she is telling the truth but lack sufficient memory, cognitive ability or narrative capacity to give reliable testimony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para. 8;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At bottom, the question is whether the witness's evidence is consistent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Although the defendants are critical of the plaintiff's credibility, she struck me as entirely honest and sincere. In fact, she appeared to go out of her way to be candid, making it clear when she was not certain about something, whether or not it was in her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times, the plaintiff struggled to remember what happened when. Occasionally, she seemed to find it difficult to focus on the question she was asked, although it was apparent she was trying very hard to concentrate and respond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noted above, the plaintiff was cross-examined at length about her reported statements in clinical records. She was asked to accept a number of entries as accurately recording her subjective complaints. The plaintiff testified repeatedly and reasonably that she could not recall what she had said specifically on any given occasion and the records reflected the writer's interpretation of what she reported. She also expressed uncertainty about what it was Dr. Kates, in particular chose to record, indicating their appointments were very brief, but on many other occasions she accepted the entries were likely accurate. When asked whether she had been untruthful with the treating professionals, the plaintiff denied any dishonesty which I accept, but she also said she saw it as important to report positively on her progress. She believes having a positive outlook is important for her recovery and she has always wanted to do everything she could to help herself get better. She indicated that Ms. Tirandzian also told her it was important to focus on what was going well instead of the pain. Ms. Tirandzian's testimony confirms this. I note the plaintiff's evidence on this point is also consistent with Dr. Thinda's opinion about the results of her PAI testing which showed a tendency to under report problems, and plausibly explains why some of her other evidence about her cognitive and psychological functioning was more positive than the testimony of lay witnesses and Ms. Orlikow, along with some lack of 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Contrary to the defendants' submissions, the plaintiff's evidence is actually reasonably consistent with the clinical records when examined as a whole. Understandably, given the passage of time the amount of treatment she has received and the ongoing nature of many of her symptoms, as well as some difficulty with her memory, the plaintiff's testimony provides a less detailed account of her symptoms over time. Both the clinical records and her testimony chronicle however some improvement in her symptoms and functioning in the early stages and prior to the third accident and fluctuations in her symptoms over time. She testified to having good and bad days; on good days she could do much more than on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One of the inconsistencies alleged by the defendants between the plaintiff's clinical records and her testimony relates to her use of Gabapentin, a pain medication. As indicated above, the plaintiff testified she fell asleep in front of a young client at work when she was taking the medication which she reported to Dr. Kates and then stopped taking it. Dr. Kates said he did not recall her telling him this and he would have made a note of it. His clinical records indicate that she agreed to try the medication on July 9, 2012 and at her next appointment two days later he writes: "Gabapentin was very effective in controlling pain but has caused drowsiness ... will reduce to 100 mg and see if it is still efficacious". His note from August 10, 2012 is: "good response to Gabapentin ... taking 100mg ... sleeping better at night ... pain levels much improved ... will continue current regime". At the next appointment on September 25, 2012, his clinical record provides in part: "finds that the Gabapentin affects her at work ... feels drugged out ... is taking it at night ... currently on 100 mg ... suggest increasing to 200 mg at night ... has good days and bad days subjectively regarding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Caillier's report and evidence establish the plaintiff reported to her that although Gabapentin helped with some of the pain, it made her fall asleep including during a session with a client and so she elected not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Again I do not regard the plaintiff evidence as materially inconsistent with Dr. Kates' records. I take from her evidence she could not recall using Gabapentin for as long as she apparently did. I accept she fell asleep in front of a client while taking the medication. This likely occurred shortly before the September 2012 appointment and as a result she stopped taking the medication. There are no further references to Gabapentin in Dr. Kates' records and his notation about increasing the dose is at odds with the complaints about the medication he did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Although there were some inconsistencies between the plaintiff's evidence at trial and her examination for discovery, they were not nearly to the extent complained of by the defendants who were generally inclined to analyze her words far too literally. At times the plaintiff was queried about her discovery evidence in the absence of an inconsistency. When confronted with any real differences, the plaintiff was typically apologetic and provided responses and explanation that were reasonable and convincing. For example, at discovery the plaintiff gave evidence she would lie down and "go out" briefly to relieve pressure at the back of her head once a month or every three weeks but it used to be every day. At the trial she described lying down at work periodically. In cross examination she said it had never occurred every day, specifying that particular aspect of her discovery evidence was incorrect. She apologized.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I have already indicated much of the plaintiff's evidence about her level of functioning before and after the accident was corroborated by the remarkably consistent testimony of the lay witnesses all of whom I found to be credible. I was never concerned that any of them were providing anything other than a sincere and accurate account of their observations of the plaintiff. Very minor discrepancies between the evidence of Hardy and Ms. Pal regarding the plaintiff's role in the family prior to the accidents are well explained by their different vantage points. Having lived with his mother almost all of his life, Hardy was in a better position to see how family members sought out her advice and assistance. Although some uncertainty emerged from the evidence as whole regarding why and whether Hardy in particular had moved to England, the issue was not squarely put to him. Ms. Pal's testimony regarding Hardy's plans is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Having carefully examined the plaintiff's testimony in light of the evidence as a whole, I conclude that although the plaintiff has some difficulties with her memory, she was not only credible but also provided a generally reliable account of the injuries she suffered in the accidents and how they have affected her. Her evidence was largely consistent with the objective findings of the medical professionals, and important aspects of it were corroborated by the lay witnesses. In this context, her obvious candour and her readiness to acknowledge what she could not remember, leave me reasonably confident about the matters she did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plaintiff must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her injuries and the resulting losses (e.g.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at para. 363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The law does not draw a distinction between injuries that are psychological or physical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primary test for determining causation is known as the "but for" test, meaning the plaintiff bears the onus of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The plaintiff does not have to prove, however, the accidents were the only cause of her injuries. Instead she must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test for causation should not be applied too rigidly and is not the same as the more exacting standard that approaches scientific certainty in the medical context: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Causation is a practical question of fact best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Where a plaintiff claims for injuries suffered in more than one tortious events, it is necessary to determine whether the injuries are divisible or indivisible to ensure defendants are not held liable for injuries not caused by their wrongdoing. In this case however the parties have agreed the plaintiff's injuries are indivisible and there is no requirement to apportion damages amongst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Bearing in mind my assessment of the plaintiff's testimony, its content, and the evidence provided by the medical professionals regarding the plaintiff's ongoing objective symptoms, I reject the suggestion of the defendants that the opinion evidence of the plaintiff's experts is entitled to little or no weight. Instead, I largely accept the opinion evidence of Drs. Kates, Caillier, Javer and Thinda regarding the nature of the plaintiff's injuries, causation and, the plaintiff's prognosis as set out below. Regarding the latter and her present condition I accept most of the opinion evidence of Dr. Craig. I also accept the fact evidence provided by Dr. Javan.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therefore make the following findings of fact: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first accident, the plaintiff suffered mild soft tissue injuries to her neck and lower back, as well as headaches that were resolving and not limiting her functioning at the time of the second accident.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 aggravated those injuries.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 also caused significant injuries to the soft tissues in her neck, upper back, mid back and lower back regions, particularly on the left side caused significant ongoing pain, discomfort and other symptoms.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other symptoms included but were not limited to the pins and needles sensation she complained of in her hands and pain in the left hip and discomfort in both arms, the left more so than the right.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clinical records do not indicate the plaintiff reported specific arm symptoms after the second accident and there is no expert opinion evidence regarding the plaintiff's arm complaints, I accept her evidence that her left arm was bruised a day or two after the accident and she had significant pain and discomfort in both arms which made it difficult to raise them and to complete simple tasks such as washing her hair. The claim application she completed two days after the accident, referred to both arms and shoulders in the list of injuries she said resulted from the accident. The plaintiff testified she intended to circle the left rather than the right arm as an area of discomfort when she completed a form provided to her by Avita Massage Therapy on July 13, 2010. In any event the document is consistent with her assertion she experienced arm symptoms after the second accident. I also accept her evidence that over time her right arm's symptoms resolved but her left arm continued to bother her. I distinguish these symptoms from those Dr. Caillier relied upon to conclude the plaintiff may be suffering from carpal tunnel syndrome unrelated to the accident. I also distinguish them from the onset of reduced range of motion in her left shoulder in or about 2014.</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Caillier's 2013 report includes a very detailed discussion of the symptoms reported by the plaintiff at the time. The plaintiff described intermittent irritating pins and needles and tingling in the left top shoulder blade region but there is no mention of difficulties with either arm. Instead Dr. Caillier writes: "There is no pain which radiates from the neck into the arms". The clinical records of Drs. Kates, Javan and Craig do not indicate the plaintiff reported any arm symptoms after Dr. Caillier's report and so in the absence of any corroborating evidence, I am not able to conclude the plaintiff's current left arm symptoms are a result of the accidents.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is true of symptoms associated with the relatively recent onset of reduced range of motion in her left shoulder given the absence of opinion evidence as to its cause. To clarify, I accept Dr. Craig's opinion the plaintiff's chronic pain includes the shoulder girdle. Although he does not provide an opinion about causation, he began to treat the plaintiff about a year before Dr. Caillier prepared her report and his diagnosis of chronic pain is entirely consistent with the one she provides, as well as the evidence of Dr. Kates that the plaintiff's complaints of neck pain always involved her left shoulder, pointing to the left collar bone area. When the plaintiff was examined by Dr. Caillier on July 30, 2013, however, the range of motion in her shoulders and elbows was normal. Dr. Craig's first examination of her left shoulder about a year earlier found no restrictions but then some time later in November 2014, he found the "exam suggestive of an issue with the rotator cuff". His report indicates in June 2015 she reported increasing pain in her left upper arm and difficulty elevating her shoulder, in his view suggestive of the same issue. Dr. Javan found the plaintiff had normal range of motion in her left shoulder on February 23, 2015. On May 25, 2015 he observed it had "declined". He made the same finding on August 10, 2015.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soft tissue injuries to her neck, upper (including the shoulder girdle), and low back were further exacerbated by the third accident, particular in the left side of her neck and low back.</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her soft tissue injuries, the plaintiff developed chronic myofascial pain, felt most significantly in the left neck area and lower back but involving the soft tissues in the left side of her neck, upper back and or shoulder girdle and lower back region.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the plaintiff's evidence about her ongoing physical symptoms. Her most significant symptom now is constant and rather intense left sided neck pain. In making this finding I have not ignored Dr. Thinda's report which indicates she rated her </w:t>
      </w:r>
      <w:r>
        <w:rPr>
          <w:rFonts w:ascii="arial" w:eastAsia="arial" w:hAnsi="arial" w:cs="arial"/>
          <w:i/>
          <w:color w:val="000000"/>
          <w:sz w:val="20"/>
          <w:lang w:val="en-US" w:eastAsia="en-US" w:bidi="ar-SA"/>
        </w:rPr>
        <w:t>overall</w:t>
      </w:r>
      <w:r>
        <w:rPr>
          <w:rFonts w:ascii="arial" w:eastAsia="arial" w:hAnsi="arial" w:cs="arial"/>
          <w:color w:val="000000"/>
          <w:sz w:val="20"/>
          <w:lang w:val="en-US" w:eastAsia="en-US" w:bidi="ar-SA"/>
        </w:rPr>
        <w:t xml:space="preserve"> pain when at rest or with minimal activity at a three out of ten increasing to a seven or eight with flare-ups. Dr. Thinda is commenting on how she rated the pain from several areas, including her neck, low back, the left side of her body including her hip and her left arm. When asked specifically about her ongoing neck pain at trial she rated it as seven out of ten.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accept the evidence of Drs. Caillier, Craig, Kates that the plaintiff's prognosis is poor and she is susceptible and vulnerable to worsening symptoms and further injury in the event of further trauma to those areas. It was also Dr. Caillier's view the plaintiff's chronic pain can be better managed by a variety of means including further trigger point injections and specific forms of exercise to increase her strength and endurance. At the time she reported trying to walk every day, attending yoga twice a week, and attending the gym once a week with a kinesiologist. The plaintiff has continued to receive trigger point injections from Dr. Craig, she now walks 40 minutes each day, continues to perform home exercises provided by her physiotherapist and does significantly more work around the home than when she met with Dr. Caillier. Although I accept her recommendations, given the plaintiff's current symptoms, her ongoing participation in treatment and her activity level now, I am not confident better pain management will </w:t>
      </w:r>
      <w:r>
        <w:rPr>
          <w:rFonts w:ascii="arial" w:eastAsia="arial" w:hAnsi="arial" w:cs="arial"/>
          <w:i/>
          <w:color w:val="000000"/>
          <w:sz w:val="20"/>
          <w:lang w:val="en-US" w:eastAsia="en-US" w:bidi="ar-SA"/>
        </w:rPr>
        <w:t>significantly</w:t>
      </w:r>
      <w:r>
        <w:rPr>
          <w:rFonts w:ascii="arial" w:eastAsia="arial" w:hAnsi="arial" w:cs="arial"/>
          <w:color w:val="000000"/>
          <w:sz w:val="20"/>
          <w:lang w:val="en-US" w:eastAsia="en-US" w:bidi="ar-SA"/>
        </w:rPr>
        <w:t xml:space="preserve"> reduce flare ups or the intensity of her symptoms.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accidents, and the second accident in particular caused the plaintiff to suffer from intermittent headaches involving rather intense pressure in the back of her head and the top of the neck that have subsided in the last six or seven months. Accepting Dr. Craig's opinion that the headaches are likely related to muscle tension in her neck and shoulder girdle and Dr. Caillier's opinion about the prognosis for her headaches, I find there is reasonable likelihood they will reoccur intermittently, particularly during periods of increased symptoms in those areas.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 caused an injury to the plaintiff left maxillary sinus involving a ruptured blood vessel which led to the chronic sinus condition described by Dr. Javer. The injury and the resulting sinus condition caused the plaintiff significant pain and discomfort particularly in the left side of face. The chronic sinus condition was resolved surgically in October 2014 which she recovered from 12 weeks later.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accidents and the second accident in particular caused the plaintiff sleep disturbance that is secondary to her pain and discomfort. As a result of her disturbed sleep but just as importantly her ongoing pain, the plaintiff has and continues to suffer from fatigue.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evidence of Drs. Caillier, Kates, Craig and Thinda and the evidence of the plaintiff and the lay witnesses, I find the plaintiff has and continues to suffer from mild psychological and cognitive symptoms secondary to the pain, discomfort and fatigue experienced in relation to the injuries caused by the accidents. Her symptoms include ongoing irritability and frustration, acute symptoms of anxiety after the second accident and some ongoing symptoms of depression and anxiety including tearfulness and distress at times, as well as some problems with memory, attention, concentration and what Ms. Orlikow described as "spaciness" and Ms. Lal as the plaintiff being "not with it". I reject the defendants' suggestion the plaintiff's recent emotional symptoms are </w:t>
      </w:r>
      <w:r>
        <w:rPr>
          <w:rFonts w:ascii="arial" w:eastAsia="arial" w:hAnsi="arial" w:cs="arial"/>
          <w:i/>
          <w:color w:val="000000"/>
          <w:sz w:val="20"/>
          <w:lang w:val="en-US" w:eastAsia="en-US" w:bidi="ar-SA"/>
        </w:rPr>
        <w:t>due to</w:t>
      </w:r>
      <w:r>
        <w:rPr>
          <w:rFonts w:ascii="arial" w:eastAsia="arial" w:hAnsi="arial" w:cs="arial"/>
          <w:color w:val="000000"/>
          <w:sz w:val="20"/>
          <w:lang w:val="en-US" w:eastAsia="en-US" w:bidi="ar-SA"/>
        </w:rPr>
        <w:t xml:space="preserve"> her son's decision to move to England with Dyelan.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essential purpose of damages is to restore an injured plaintiff to her original position, meaning the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31 - 36.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defendants argue the plaintiff has failed to mitigate her damages by not complying with recommendations made by medical professionals to assist in her own recovery. The defendants' specific complaints are the plaintiff did not follow Dr. Caillier's recommendations, she stopped taking Gabapentin as prescribed and stopped attending yoga after her sinus surgery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It is well settled that a plaintiff in a personal injury action has a positive duty to act reasonably in mitigating her losses: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However once the plaintiff has proved the defendant's liability for her injuries, the defendants have to show she acted unreasonably and that reasonable conduct would have reduced or eliminated the loss.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Court articulated the principles regarding mitigation where a plaintiff has not pursued recommended medical treatment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Caillier testified she would not have discussed her recommendations with the plaintiff because she was conducting an independent medical examination. The plaintiff's evidence was she did not read the report and was unaware of what Dr. Caillier recommended until the trial, which I accept. The defendants argue it would be unfair for her lack of awareness to impact on the court's analysis of the mitigation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All of the plaintiff's treating professionals testified she was compliant if not fully compliant with their treatment, and eager to recover. The plaintiff gave no indication she is in any way opposed to what Dr. Caillier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addition to recommending the plaintiff do more at home, Dr. Caillier made various recommendations that would involve expense, including the cost of counselling, a kinesiologist, a gym and pool pass, and an ergonomic assessment of her desk at work. Up to the time of the trial the plaintiff has incurred significant expenses in relation to the assessment and treatment of her injuries that are included in her special damages claim. The defendants oppose most of those expenses, on the grounds she ought to have recovered from her injuries within six months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these circumstances I see no basis on which to conclude the plaintiff acted unreasonably by eschewing the treatment recommended by 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defendants have not established the plaintiff's decision to discontinue Gabapentin constitutes a failure to mitigate. Her job as a sexual abuse therapist involves a high level of responsibility and requires at the very least being alert and able to concentrate while meeting with clients, keeping records, and dealing with family members and other professionals. I have accepted her evidence that the medication caused her to fall asleep in front of a client on one occasion, in addition to the drowsiness and cognitive symptoms referred to in the clinical records. In any event, both Dr. Craig and Dr. Kates agreed it was medically reasonable for her to discontinue the medication in the face of those cognitive side effects and drowsiness.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There is no cogent evidence to support the suggestion the plaintiff's decision to stop attending yoga after her sinus surgery constituted a failure to mitigate. The defendants did little more than raise this as an issue. The evidence is Dr. Javer advised the plaintiff to suspend any activities that might put pressure on the sinuses after her surgery in 2015 temporarily. The plaintiff never returned to yoga after but she has continued to walk every day and to perform other recommended exercises at home each morning. Although there is some evidence Dr. Craig suggested she continue yoga because she reported some benefit from it, none of the medical professionals indicated it was unreasonable for her not to continue or the extent to which the yoga she was participating in would improve her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award should be fair and reasonable to both parties. Fairness is measured against awards made in comparable cases which offer a rough guide. Each case however calls for individualized assessment and must be decided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see also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seeks non-pecuniary damages in the range of $125,000 to $200,000, pointing to the serious impact of her chronic pain, her prolonged experience of facial pain followed by sinus surgery, and the impact of other symptoms including sleep disturbance, fatigue, mild cognitive dysfunction and emotional difficulties namely her pain related adjustment disorder and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defendants submit the plaintiff is entitled to an award in the range of $25,000 to $40,000 based on their position the second accident caused some soft tissue injuries that resulted in short term neck and back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Among the factors to be considered in determining the amount of an award for non-pecuniary damages are the plaintiff's age, the nature of the injury, the severity and duration of the pain, disability, emotional suffering, impairment of family, marital and social relationships, impairment of physical and mental abilities, loss of lifestyle and the plaintiff's stoicism which should not be penalized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Mrs. Kaler is now 57. There is no doubt her quality of life has deteriorated quite dramatically because of the injuries and symptoms caused by the accidents. For almost six years she has suffered from significant pain and discomfort that improved but plateaued some time ago and is unlikely to improve any further. The most she can hope for is better management of her pain. She has also been burdened by psychological symptoms arising from her acute injuries and then chronic pain including some anxiety, frustration, irritability, mild depressive symptoms, and some cognitive effects which may also abate if her pain is actually better managed. The plaintiff's involvement with friends and family has been significantly impaired and her participation in various community organizations has diminished; she struggles with pain and discomfort at work that prevents her from working with younger children which she loved.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At the time of the first accident, the plaintiff was flourishing - happily juggling the demands of an incredibly busy life. She was settling into a new career working a sexual abuse therapist and establishing her private counselling practice. She was deeply involved in the community, caring for her grandson, her home and her garden and enjoying time with family and friends. She had no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was and remains a tremendously giving, conscientious, hard working person. Her injuries and symptoms however have seriously dampened her vibrant, joyful, outgoing personality and her incredible drive to participate in the world around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considered the authorities provided to me by the parties. Given the nature and extent of the plaintiff's injuries and their impact, the authorities provided by defendants are readily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plaintiff relies on several cases that involve much more similar facts, among them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Cantin v. Petersen</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2012 BCSC 549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2014 BCSC 1898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Redmond</w:t>
      </w:r>
      <w:r>
        <w:rPr>
          <w:rFonts w:ascii="arial" w:eastAsia="arial" w:hAnsi="arial" w:cs="arial"/>
          <w:color w:val="000000"/>
          <w:sz w:val="20"/>
          <w:lang w:val="en-US" w:eastAsia="en-US" w:bidi="ar-SA"/>
        </w:rPr>
        <w:t>, the plaintiff was awarded $150,000 in non-pecuniary damages four years after the accident. Her injuries included soft tissue injuries, mechanical low back pain, left hip and buttock pain, sacroiliac strain, a flare-up of fibromyalgia, cervicogenic headaches and an adjustment disorder with depressive symptoms and anxiety including persistent moderate somatic symptom disorder (chronic pain) and reduced cognitive ability. Much like Mrs. Kaler, Ms. Redmond made extensive efforts to recover and continued to work despite ongoing significant pain. Her ongoing injuries and symptoms however were somewhat more serious. Certainly they had a more significant effect on her work performance and her intimate relationship. Further, for a year after the accident, Ms. Redmond's suffered from a major depressive disorder with suicidal ideation, which lifted but she continued to suffer from ongoing anxiety and depressive symptoms and remained susceptible to another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Cantin</w:t>
      </w:r>
      <w:r>
        <w:rPr>
          <w:rFonts w:ascii="arial" w:eastAsia="arial" w:hAnsi="arial" w:cs="arial"/>
          <w:color w:val="000000"/>
          <w:sz w:val="20"/>
          <w:lang w:val="en-US" w:eastAsia="en-US" w:bidi="ar-SA"/>
        </w:rPr>
        <w:t xml:space="preserve"> also involved a plaintiff who suffered from multiple injuries similar to Mrs. Kaler's but chronic pain that was more severe and disabling, leaving her incapable of competitive employment and no social life due to the emotional complications arising from the chronic pain. She too was awarded $150,000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Cumpf</w:t>
      </w:r>
      <w:r>
        <w:rPr>
          <w:rFonts w:ascii="arial" w:eastAsia="arial" w:hAnsi="arial" w:cs="arial"/>
          <w:color w:val="000000"/>
          <w:sz w:val="20"/>
          <w:lang w:val="en-US" w:eastAsia="en-US" w:bidi="ar-SA"/>
        </w:rPr>
        <w:t xml:space="preserve"> the plaintiff was awarded non-pecuniary damages of $150,000 for a chronic pain condition and an adjustment disorder that significantly affected her day to day activities. As I read the case, she too remained more disabled from performing many activities at work and around the home than Mrs. Kaler.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Bearing in mind the authorities I have been given, the accident related injuries and symptoms Mrs. Kaler has suffered and continues to suffer from, as well as the sinus surgery, and applying the factors identified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conclude that an award of $120,000 is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Claims for past and future loss of income capacity are subject to the same legal test. The plaintiff must demonstrate that the injuries suffered in the accidents and the resulting symptoms have impaired her ability to earn income and there is a real and substantial possibility her diminished earning capacity has or will result in a pecuniary loss. The onus is not a heavy one but must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Where a plaintiff establishes a real and substantial possibility of a hypothetical event, the event must be given weight according to its relative likelihood and compensation must be awarded on an estimation of the chance that the event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With reference to past loss of earning capacity, the Court of Appeal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put the matter this way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other words, hypothetical events including those in the past will be considered as long as there was or is a real and substantial possibility they would occur, and not mere speculation. However the burden of proof relating to actual past events is a balance of probabilities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27). Although a claim for past loss of income is often characterized as a separate head of damages, it is a component of the loss of earning capacity, being a claim for the loss of the value of the work that the injured person was unable to perform because of the injury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69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plaintiff is entitled to compensation based on what she would have, not could have, earned but for the injuries caused by the accidents: see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In general, the value of the plaintiff's capacity to earn is equivalent to the value of the earnings she would have received, in the past or the future, had the tort not been committed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plaintiff may prove the amount of the past or future loss of earning capacity using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Both are correct. The capital asset approach is often more appropriate where the pecuniary loss is not easily measured. Either way, the court must endeavour to quantify the financial harm accruing to the plaintiff over the course of her working career taking into account relevant and realistic negative and positive contingencies: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183. The assessment is an exercise of judgment, not a mathematical calculation, firmly grounded in the particular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describes a discrete two-step process for determining past and future loss of earning capacity claims: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first determine whether, as a result of the injuries sustained in the accident(s), the plaintiff's past and future earning capacity has been or will likely be impaired, such that there has been an actual loss of income in the past and/or a real and substantial possibility of a loss of income in the future;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then the court must then determine the amount of past loss that has been incurred to the date of trial and, on a present value basis, assess the amount to be awarded for any possible future financial loss (at para. 393).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first step determines entitlement and the second, quantum.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plaintiff's claim for past loss of earning capacity includes wages, lost vacation pay and pension earnings from Options and the loss of opportunity to develop her private counselling practice and earn more business income through Collingwood Counselling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Specifically, the plaintiff seeks $18,532.65 in lost gross earnings from Options during five time periods which she identifies and calculates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6 to September 6, 2010 - $4,404.39 (as set out in Certificate of Earnings completed for ICBC)</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GRTW [Graduated return to work] in September to the end of November 2010 is the difference between the total hours ought to have been worked (65.5 X 8 pay periods = 524 hours) minus the regular hours worked (409.25). This is 524 - 409.25 = 114.75 x $30.91 = $3,546.92.</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Sick February 2-4, 2011 for a total of 23 hours x $30.91=$710.93.</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MVA #3 took off November 13-15, 2012 as sick for a total of 8.75 hours x 3 days x $30.91 = $811.39.</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also claims wage loss for the time she took off due to her sinus surgery from October 2 to November 12, 2014. She missed 210 hours x $31.84 = $6,696.40.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calculates vacation pay during those same periods at a rate of $7.692% - $1,242.03 and loss of pension contributions at a rate of $6.99% - $1,129.59.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seeks $30,000 in relation to the loss of business income from Collingwood.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Based on their view of her injuries, the defendants take the position the plaintiff is entitled to an award of $4,500 an amount equal to one month of employment income from Options. They have not challenged however her calculation of her gross wage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Given my findings of fact, I have no difficulty concluding the plaintiff's capacity to earn past income was impaired by the injuries and symptoms caused by the accidents, namely physical pain and discomfort as well as fatigue, as well as secondary psychological symptoms. It is abundantly clear the plaintiff started her gradual return to work after the second accident as early as her injuries and symptoms would allow. I reject the defendants' suggestion that the seven hours she spent providing therapy by speaker phone to an extremely vulnerable private client prior to her graduated return to work at Options, suggests she was capable of returning to her regular work schedule sooner. I accept by the time the plaintiff returned to full time hours at Options, she continued to struggle with significant pain and discomfort which over time caused her to lessen the physical demands of the job by focusing on providing therapy to older children and taking unclaimed holiday or flex time when her symptoms worsened. Having found the third accident exacerbated the plaintiff's neck and back injuries, I accept her three day absence from November 13 to 15, 2012 was due to pain and discomfort caused by the accidents. Having found the second accident caused the injury to her sinus which resulted in the need for surgery, I also accept she missed six weeks of work while recovering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was not able to remember however whether the wages she lost in February 2011 were because of her accident related injuries. Without any evidence to establish the reason for her absence, I am left to conclude that this particular aspect of her claim is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sum, I accept the plaintiff's past gross wage loss calculation with the exception of her claimed wage loss in February 2011. Mrs. Kaler is also entitled to her lost vacation pay and pension amount, resulting in the amount of $17,717.20 (gross).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Collingwood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Regarding the loss of opportunity to earn income from Collingwood, the plaintiff argues that but for the injuries and symptoms caused by the accidents, her private practice would have continued to grow and she would have earned significantly more business income which she estimates at $30,000 based on Ms. Pemberton's estimate of her annual earnings from counselling services of at least $5,000 per year. I agree the income Mrs. Kaler would have earned from her own counselling services would have increased, but the measure of the pecuniary loss must also take into account the business expenses incurred and realistic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Mrs. Kaler started the business in 2008. Her income from counselling service increased in 2009 and the first half of 2010. In 2009 the plaintiff began to receive referrals from the Crime Victim Assistance Program (CVAP). Ms. Fong testified in cross-examination the plaintiff was at Collingwood on Saturdays and Mondays but saw clients mostly on Saturdays and occasionally on weekday evenings,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submit that any reduction in the plaintiff's income from Collingwood after the first two accidents is because she was mostly counselling only one client referred by CVAP and not as a result of any reduction in her earning capacity. The defendants also argue that any drop in the hours the plaintiff spent at Collingwood was due to her busy schedule at Options.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testified that before the second accident other agencies had contacted her, including the RCMP about referrals to her private practice. In addition, some of the invoices for counselling services she provided after the second accident were for individual clients not referred by the CVAP. I accept Ms. Orlikow's evidence that the plaintiff quickly became well respected for her work and was drawing in members of the South Asian community, previously unserved by the agency. In addition to her reputation as a therapist, the plaintiff had very strong ties to a number of community organizations that provided services to women and children in need as well as the South Asian women's community. Ms. Orlikow testified she herself has a private practice and it is common for clinical counsellors to supplement their employment incomes in this way because their salaries are not particularly remunerative. I have no trouble accepting that in addition to the CVAP referrals continuing, there would been a reasonable demand for a Punjabi speaking female therapist with experience in trauma counselling, and Mrs. Kaler in particular. Her intention was to further promote and develop the business when the accidents happened. She was highly motivated and very determined. However she had no plans to leave her job at Options and so, as excited as she was about Collingwood her plan was to more fully develop a part time private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Since the second accident, the plaintiff has done very little private counselling. The invoices suggest she last saw a client through Collingwood on April 30, 2012. I accept her injuries, followed by chronic pain and mild psychological and cognitive symptoms have prevented her from working any more than she has. The plaintiff has continued to "run" the business with the assistance of Ms. Tang. The plaintiff's only source of business income since 2012 has been the rent paid by Ms. Pemberton and I expect she will cease operating Collingwood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quantifies the past loss of earning capacity in relation to Collingwood based on Ms. Pemberton's estimate that she earns a net income of at least $5,000 per year from counselling services charged at an hourly rate of $80-$90. Her primary expense in relation to her counselling practice, however, is rent which she pays to the plaintiff. The most she has paid is $500 per month which amounts to far less than the business expenses paid by the plaintiff which have varied from year to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find that absent the injuries and symptoms caused by the accidents, Mrs. Kaler would have further developed her part time private practice resulting in higher revenues from her counselling services. Based on the evidence of Ms. Tang, Ms. Pemberton, Ms. Orlikow and the plaintiff, I assess the plaintiff's past loss of income from Collingwood, as an element of her past loss of earning capacity, as follows: I find the plaintiff would have earned counselling income for the second half of 2010 equal to what she earned in the first half. The invoices from Collingwood demonstrate she earned $5,520 in counselling income in the first half of 2010. Accordingly, I assess her loss of counselling income from Collingwood for 2010 by deducting the $2800 she actually earned during that time from the $5,520 she would have earned, and so I find the loss of past counselling revenue for 2010 was $2,720. Her tax return for that year shows business income of $14,975 (including rent). Her net business income was -$4,407, indicating business expenses of $19,382. Consequently even with the additional counselling income she would have earned there is no pecuniary loss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Taking a conservative approach and given she spent approximately 35 hours per week working at Options, I estimate that from 2011 onward, the plaintiff would have provided four one hour private counselling sessions per week on average, 48 weeks of the year at an average rate of $85.00 per hour, which results in gross revenue from counselling services of $16,320 per year. A document prepared by Ms. Tang indicates Ms. Pemberton paid between $200 and $250 in rent in 2011 with the total amount being $2,800. Mrs. Kaler actually earned $610 from counselling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Pemberton testified that the rent she has paid to Mrs. Kaler has range from $250 to $500 per month and she is presently paying $400. The plaintiff's tax returns indicate she received $2950 in 2012 and $4800 in 2013 and 2014 in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have deducted 20% from my estimate of Mrs. Kaler's counselling revenues based on the realistic positive contingency she would have provided more counselling weighed against the realistic negative contingencies including cancellations, non-payment of fees, illness, as well as the provision of pro bono services which I have no doubt Mrs. Kaler would have been called upon to provide. I then add to that amount the rental income she received. I have not deducted an amount for negative contingencies from the rental income because there is no evidence Ms. Pemberton has missed payments. From that figure I deduct Collingwood's actual annual expenses, to determine her gross business income from 2012 to 2014. I have also deducted the actual revenues Mrs. Kaler earned in 2011 and 2012 for counselling services from she would have earned. Mrs. Kaler's evidence did not address the rent she received or the business expenses she incurred in 2015 and so I have averaged the expenses for 2011 through 2014 for that year. Absent evidence regarding Mrs. Kaler's business income in 2015, I have adopted the calculation of her future loss of earnings from Collingwood described below. This results in annual gross revenues, expenses and total earnings but for the accident as set out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19" type="#_x0000_t75" style="width:432.06pt;height:130.52pt">
            <v:imagedata r:id="rId88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plaintiff is entitled to recover damages for her net past income loss only. I trust the parties can agree upon the amount of income tax payable from the plaintiff's lost gross earnings from Options and Collingwood in determining the precise amount of her award for past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Just as with past loss of earning capacity claim, a plaintiff must prove there is a real and substantial possibility her diminished earning capacity will result in a future pecuniary loss. The standard of proof regarding future and hypothetical events is not a balance of probabilities. Again, a plaintiff is entitled to be compensated for the real and substantial possibilities of loss, quantified by estimating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Evidence of ongoing pain may be sufficient to ground a substantial possibility that pain will adversely affect a plaintiff's future ability to work,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 Similarly, the fact that Mrs. Kaler now earns more from her job at Options than she did at the time of the accidents, does not preclude her from an award for loss of future earning capacity. It is not a loss of earnings, but rather a loss of earning capacity, a capital asset for which compensation is being made: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Dr. Caillier's opinion was the plaintiff is capable of working full-time at her current job. However she agreed flare ups were to be expected and may very well interfere with work from time to time. Further, this aspect of her opinion focused on Mrs. Kaler's physical capacity. She did not have the benefit of the evidence which I have accepted about the </w:t>
      </w:r>
      <w:r>
        <w:rPr>
          <w:rFonts w:ascii="arial" w:eastAsia="arial" w:hAnsi="arial" w:cs="arial"/>
          <w:i/>
          <w:color w:val="000000"/>
          <w:sz w:val="20"/>
          <w:lang w:val="en-US" w:eastAsia="en-US" w:bidi="ar-SA"/>
        </w:rPr>
        <w:t>impact</w:t>
      </w:r>
      <w:r>
        <w:rPr>
          <w:rFonts w:ascii="arial" w:eastAsia="arial" w:hAnsi="arial" w:cs="arial"/>
          <w:color w:val="000000"/>
          <w:sz w:val="20"/>
          <w:lang w:val="en-US" w:eastAsia="en-US" w:bidi="ar-SA"/>
        </w:rPr>
        <w:t xml:space="preserve"> of cognitive and psychological symptoms on her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Caillier regarded the plaintiff's decision to focus on older children as reasonable but opined she may be able to return to providing play therapy with younger children in the event her pain was better managed. The recommendations she made for achieving better pain management will require the plaintiff to spend a significant amount of time engaged in structured exercise, activities and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find the plaintiff's chronic pain which will involve continuing flare ups as well as secondary psychological, emotional and cognitive symptoms, establish a real and substantial possibility she will suffer pecuniary loss in the future by missing time from work, losing her job at Options, and losing private counselling income, based on the following facts: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remains unable to do the physical work play therapy with young children involves;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work performance has deteriorated since the accidents due to her symptoms. She is sometimes forgetful, misunderstands discussions about specific issues, has lapses in her attention to detail, makes repeated mistakes in paper work, and committed the more serious fundamental error that involved speaking to a client's teacher without authorization. In addition she struggles to keep on top of the "paper work";</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elevated pain periods, the plaintiff may struggle more with high expectations for productivity, tight deadlines and multi-tasking or complex activities, as Dr. Thinda opined;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chronic pain and the sitting required for private counselling with adult clients, as well as her mild psychological and cognitive symptoms leaves her unable to adequately perform her counselling role;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one of only three sexual abuse therapists at Options who are there to assist children of all ages and therefore her limitations impact on those other therapists;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Faced with choosing between the plaintiff and another equally qualified therapist without the same limitations, may well decide to retain the other therapist; and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Options is a non-profit agency that relies largely on government funding provided through an annual contract which is not a given. Funding to the program has been reduced in the past resulting in the loss of intake counselling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The plaintiff proposes the use of a capital asset approach to assess her loss of future earning capacity. I agree for the most part. She has returned to work but faces a more uncertain future due to her injuries and symptoms, and so her pecuniary loss in relation to employment is not easily measured. In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the court observed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para. 8 often inform the analysis of entitlement in "difficult cases". They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However the capital asset approach measures the extent to which the plaintiff's earning capacity as a capital asset has been diminished with reference to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To reiterate, given the likelihood the plaintiff will continue to suffer myofascial pain and the psychological and cognitive symptoms she now experiences that are secondary to that pain, as well as the evidence I have accepted regarding the decline in her job performance, the plaintiff is much more vulnerable to losing her job as a sexual abuse therapist than she would have been absent the accidents. I also find her ongoing injuries and symptoms will limit her ability to find and sustain other employment in her field, if she was to become unemployed. The plaintiff is no longer capable of providing private counselling services through Collingwood, </w:t>
      </w:r>
      <w:r>
        <w:rPr>
          <w:rFonts w:ascii="arial" w:eastAsia="arial" w:hAnsi="arial" w:cs="arial"/>
          <w:i/>
          <w:color w:val="000000"/>
          <w:sz w:val="20"/>
          <w:lang w:val="en-US" w:eastAsia="en-US" w:bidi="ar-SA"/>
        </w:rPr>
        <w:t>in addition to</w:t>
      </w:r>
      <w:r>
        <w:rPr>
          <w:rFonts w:ascii="arial" w:eastAsia="arial" w:hAnsi="arial" w:cs="arial"/>
          <w:color w:val="000000"/>
          <w:sz w:val="20"/>
          <w:lang w:val="en-US" w:eastAsia="en-US" w:bidi="ar-SA"/>
        </w:rPr>
        <w:t xml:space="preserve"> working at Options. Further, the plaintiff has been deprived of what I can only describe as the synergy of opportunities that would have arisen had she developed her private practice while continuing her current job. Finally, I find it probable, not merely a real and substantial possibility she will miss some time from work in the future due to her ongoing symptoms, their treatment and flare ups, resulting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proposes an award of $117,500 which is roughly equivalent to two years of earnings from Options. The amount encompasses her loss of future earnings from Collingwood. She correctly describes this as a commonly used measure of future loss of earning capacity under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the often cited case of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for example, the plaintiff was found to have permanent pain from accident related injuries that limited his income earning capacity, although he continued to work for his pre-accident employer and would continue to do so indefinitely. The court awarded him $40,000 for future loss of earning capacity without expressly indicating how the amount was determined. Instead the decision simply identified awarding an amount equal to a plaintiff's annual income for one or two years as one way to measure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The jurisprudence also provides that while the question of loss under the capital asset approach is not a matter of precise measuring, it is also not at large. Very recently, in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the Court of Appeal overturned an award for loss of capacity based on the capital asset approach as inordinately high, emphasizing the requirement to estimate the pecuniary loss by weighing possibilities and probabilities of future events and relating evidence and findings of fact to the quantification of the loss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It is very difficult to assess the degree of the risk or chance the plaintiff will lose her job and then not find another comparable position or to estimate how much time she will miss from work, resulting in lost wages etc. The loss of business income from Collingwood is more easily assessed because I have concluded she is no longer of capable of operating her part time private counselling practice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working at Options, and I am able to rely upon the estimates of her counselling income, average rental income and average expenses for past loss of earning capacity in arriving at an approximate future annual business income. It is not clear however, how long the plaintiff would have continued her position at Options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two days part time at Collingwood, absent the accidents, given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have not been provided with any evidence regarding the labour market related to plaintiff's occupation as a clinical counsellor. There is also no economic evidence about the present value of what Mrs. Kaler would have earned from her employment in the future, but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Neither party made any submissions regarding the realistic negative and positive contingencies to be considered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did not testify about when she expected to retire either now that she is injured or before the accidents. Based on her other evidence and the surrounding circumstances, I conclude she would have continued working for another ten years, although she is now 57. Mrs. Kaler began her counselling career late in life and she loves her work. Despite her tremendous enthusiasm and energy it strikes me as unlikely given her age, that she would have continued her part time private practice two full days a week in addition to her job with Options much beyond another three to five years and it may be that she would have reduced her work load to part time prior to fully retiring. There is no medical evidence that suggests Mrs. Kaler will have to retire earlier from her full time job than she otherwise would have and so what I am required to assess the pecuniary loss arising from lost time from work, the chance she will loss of her job and be unable to find other comparable work in her field, and the loss of business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my view, the plaintiff's commitment to her profession and the positive relationships she shares with clients, her colleagues and her employer are factors that lessen the risk Mrs. Kaler will lose her job. I regard the other realistic contingencies as follows. The plaintiff's position with Options was always dependent upon ongoing funding. There was always the risk of an illness or unrelated injury. I am confident the plaintiff will follow the medical recommendations of Drs. Caillier, Thinda and others about how to treat and address her ongoing symptoms. Consequently, there is a real and substantial possibility that the plaintiff's chronic pain will be better managed, she will be less fatigued, and her cognitive and psychological symptoms will abate, thus reducing the risk of job loss and the need for time away from work. The same contingencies that affected her loss of past income from Collingwood apply to that aspect of her future loss of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presently earns approximately $59,000 annually from Options. Her age limits the size of the capital asset she has lost. Relying upon my approach to estimating her past loss of earnings from Collingwood based on my conclusion she would have continued to operate her private practice for three to five years at the most, I estimate the plaintiff would have earned approximately $5,000 each over the next three to five years in gross business income from Collingwood. Based on my conclusion she would likely have remained employed as a sexual abuse counsellor at Options or in a similar position for another ten years, her present salary of $59,000, and bearing in mind all of the realistic negative and positive contingencies, I estimate the chance of her losing her job, not being able to find another, along with missed time from work as amounting to a pecuniary loss equivalent to 15% of her annual salary. Also taking into account the prospect that Mrs. Kaler may well have worked less during her last years of employment, I conclude a total award of $100,000 for future loss of earning capacity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if possible. When full restoration cannot be achieved, the court must strive to assure full compensation through the provision of adequate future care: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 In addition to being reasonable, a claim for the cost of future care must be medically justified: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62 - 63. The analysis is an objective one but it is not an exercise in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Recommendations from a medical doctor and health care professionals are relevant in determining whether an item claimed is medically justified: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An evidentiary link between the physician's assessment of pain, disability, and recommended treatment is essential: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and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 xml:space="preserve"> at para.189.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agree with the plaintiff's submission that she has complied with the advice of her various treatment providers up to now and there is no reason to doubt she will continue to follow their advice in the future. She remains fully committed to taking whatever steps she can to feel and function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Based on the recommendations of her treatment providers, as well as Dr. Caillier, and Dr. Thinda, the plaintiff seeks the following:</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 as recommended by Dr. Javan, Dr. Kates, Dr. Caillier and Dr. Thinda. Based on the evidence of the plaintiff and Ms. Pemberton regarding their hourly rates in private practice, Mrs. Kaler seeks $2,750 for five sessions each year over five years at $110 per hour.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 sessions with a personal fitness trainer as recommended by Dr. Kates at a total cost of $520.39 based on what she paid for the service in 2013.</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38 sessions with a kinesiologist as recommended by Dr. Caillier at a cost of $60.00 per session or $2,280.</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Lifelong access to the gym and pool in the form of a fitness pass for the North Vancouver Recreation Commission in the amount of $397.71 x 20 years = $7,954.20.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physiotherapy as recommended by Dr. Kates and Dr. Javan. Mrs. Kaler estimates the cost at $1,460 per year based on what she paid for occasional physiotherapy in 2015. She asks for an amount equal to the cost for five years: $7,300.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$5,712 for massage therapy for occasional treatment of flare ups over ten years based on $95.20 per session, which is what she paid in 2010.</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Dr. Caillier and Dr. Craig have recommended she try, as well as ongoing injections provided by Dr. Craig at $100 per year for five years or $1,000, based on the amounts she has paid for various prescriptions and injections up to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accept that counselling, the assistance of a kinesiologist, a lifelong fitness pass and medications as proposed are medically justified and reasonable. There is duplication in Drs. Kates and Caillier's recommendations for a personal trainer and a kinesiologist. Given the dates of the reports and Dr. Caillier greater expertise in the field of rehabilitation, I accept the plaintiff should be assisted by a kinesiologist as proposed and decline to also make an award for the cost of a personal trainer. Although Dr. Javan recommends further physiotherapy, Dr. Caillier was of the view that it should be discontinued. Again based on her expertise, as well as the testimony of Ms. Tirandzian, I do not regard further physiotherapy for the injuries suffered in the accidents as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Caillier does not recommend massage therapy, but she has not suggested it was unwarranted, having reviewed Dr. Kates' report. Dr. Caillier and Dr. Craig both confirm the plaintiff will continue to experience flare ups with increased activity in particular. Dr. Kates made his recommendation in 2012, but the plaintiff's myofascial pain has not changed significantly since then. It was and remains chronic. Accordingly I regard the massage therapy proposed by the plaintiff as medically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Accordingly, I award the plaintiff $19,696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Homemaking costs are awarded for loss of capacity and are distinct from future care and cost of care claims: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59 - 68. An award for homemaking capacity provides compensation for the value of the work that would have been done by the plaintiff that she is incapable of performing because of the injuries caused by the accidents. Loss of housekeeping capacity reflects the loss of personal capacity, which is an asset. Consequently damages are not dependent upon replacement costs actually being incurred. Recovery may be permitted for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plaintiff seeks an award of $8,580 for past loss of housekeeping capacity and $10,000 for future loss. The defendants argue she has not suffered any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evidence establishes that prior to the accidents the plaintiff did most of household chores including grocery shopping, cooking, cleaning and laundry. She was very particular about cleaning. After 2008 her daughter in law helped with cleaning and some laundry and cooking non-vegetarian meals for herself, Hardy and Dyelan. The plaintiff always did all of the gardening and most of the yard work. Hardy assisted with some heavier maintenance work such as cleaning the gutters. After the second accident the plaintiff was unable to do most housework or any yard work. She found it painful to stand at the sink or stove for any length of time, lift her arms even to wash her hair, carry the laundry basket etc. She hired a housecleaner to assist her until November 2010, which Dr. Kates regarded as reasonable. Mrs. Kaler is a vegetarian and the cleaner also prepared some meals for her. In the ICBC CL19 dated November 16, 2010, he noted limitations in her ability to garden, vacuum and perform heavy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By November 2010 the plaintiff was returning to her former role, although her daughter in law continued to provide significant help and she struggled with heavy cleaning or lifting. She still relies on her grandson's assistance with grocery shopping because lifting heavy items is difficult, and yard work such as cutting the grass and raking leaves. The plaintiff's evidence on this issue was corroborated by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medical evidence on this point is somewhat mixed. In 2013 Dr. Caillier saw the plaintiff as capable of doing more around the house and in the yard although she also recognized the need for her to pace herself and that flare ups were to be expected. It is clear from her report that the plaintiff is doing more than she was when she was assessed by Dr. Caillier. Dr. Craig's view is the plaintiff is capable of routine household tasks but will have difficulty doing heavier more demanding yard work or household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am satisfied that for three to four months after the second accident the plaintiff's housekeeping capacity was significantly diminished, and up to the time of the trial, her capacity to perform heavier housework and yard work remained somewhat impaired. She has not had the benefit of Dr. Caillier's pain management recommendations until now. In coming to these conclusions I have not considered any balance difficulties that may have and continue to affect her ability to negotiate stairs with the laundry basket. Given her chronic pain condition and poor prognosis, I find it probable that she will continue to require periodic assistance with the heavier more physically demanding household and yard duties, and during flare ups, potentially more basic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Keeping in mind an award for loss of housekeeping capacity is meant to compensate the plaintiff for her diminished capacity and is not a precise mathematical calculation, I regard a fair award for past and future loss of housekeeping capacity to be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plaintiff claims special damages of $16,321.61 plus interest for the cost of treatments and expenses she has incurred in relation to the accidents. The particulars are carefully set out in a schedule which attaches the requisite receipts and documents. The items include the cost of an ambulance, two taxi receipts related to attending a medical appointment after the second accident, physiotherapy treatments, treatments provided by Dr. Craig, counselling sessions, North Vancouver recreation centre payments, prescriptions, Bowen therapy, massage treatment, MRI brain and cervical spine dated August 31, 2015; MRI left shoulder dated October 9, 2015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Claims for special damages are subject to a standard of reasonableness in the context of the injuries suffered: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Medical justification for a treatment related expense aimed at promoting the plaintiff's physical or mental well-being is a factor in determining whether it is reasonable. Subjective factors can also be considered, including whether the plaintiff believes the treatments were medically necessary. With respect to cost, the courts have been prepared to allow claims for expenses at the level of optimum care, although plaintiffs are not entitled to recovery for the cost of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procedure they believe will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defendants submit only $3,317.01 is recoverable as special damages. They argue the massage charge of $3,248 is excessive. A statement from the Avita Massage Therapy Center indicates the plaintiff attended over 30 massage appointments between July 13, 2010 and December 28, 2010. There is no dispute Dr. Quirke referred the plaintiff to massage shortly after the second accident, although it is not clear how the frequency of the appointments was determined. Bearing in mind the court's willingness to award special damages that reflect the optimum level of care and promote the plaintiff's physical and emotional wellbeing, as well the plaintiff's level of pain and discomfort during that time frame, I conclude the amount claimed although high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defendants also argue much of the plaintiff's physiotherapy and other treatments were for issues unrelated to the injuries caused by the accident and therefore the award should be reduced to cover expenses incurred six months after the second accident at most. Again their submissions are based on a view of the injuries caused by the accidents I have not accepted. Although I have found the symptoms associated with the onset of reduced range of motion in the plaintiff's left shoulder were not proven to be related to the accidents, Dr. Javan's report at p. 9 indicates he recommended ongoing physiotherapy in October 2015 in the context of discussing a range of symptoms some of which were accident related. In my view therefore the cost of physiotherapy claimed by the plaintiff is reasonable and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plaintiff's claim includes the cost of mileage calculated at $0.50 per kilometre. Appendix C, Schedule 3, s. 2(1)(a)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mileage charges are awarded at $0.30 per kilometre. The plaintiff points to authorities which awarded $0.50 per kilometre despite the amount set out in Appendix C. In </w:t>
      </w:r>
      <w:r>
        <w:rPr>
          <w:rFonts w:ascii="arial" w:eastAsia="arial" w:hAnsi="arial" w:cs="arial"/>
          <w:i/>
          <w:color w:val="000000"/>
          <w:sz w:val="20"/>
          <w:lang w:val="en-US" w:eastAsia="en-US" w:bidi="ar-SA"/>
        </w:rPr>
        <w:t>Grewal-Cheema v. Tassone</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2010 BCSC 1182</w:t>
        </w:r>
      </w:hyperlink>
      <w:r>
        <w:rPr>
          <w:rFonts w:ascii="arial" w:eastAsia="arial" w:hAnsi="arial" w:cs="arial"/>
          <w:color w:val="000000"/>
          <w:sz w:val="20"/>
          <w:lang w:val="en-US" w:eastAsia="en-US" w:bidi="ar-SA"/>
        </w:rPr>
        <w:t xml:space="preserve"> at para. 60 the award was based on taking judicial notice of the reasonable cost of operating a vehicle. This approach was approved of and applied by Justice Shultes in </w:t>
      </w:r>
      <w:r>
        <w:rPr>
          <w:rFonts w:ascii="arial" w:eastAsia="arial" w:hAnsi="arial" w:cs="arial"/>
          <w:i/>
          <w:color w:val="000000"/>
          <w:sz w:val="20"/>
          <w:lang w:val="en-US" w:eastAsia="en-US" w:bidi="ar-SA"/>
        </w:rPr>
        <w:t>Liu v. Thaker</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2012 BCSC 612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Fadai v. Cully</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2014 BCSC 290</w:t>
        </w:r>
      </w:hyperlink>
      <w:r>
        <w:rPr>
          <w:rFonts w:ascii="arial" w:eastAsia="arial" w:hAnsi="arial" w:cs="arial"/>
          <w:color w:val="000000"/>
          <w:sz w:val="20"/>
          <w:lang w:val="en-US" w:eastAsia="en-US" w:bidi="ar-SA"/>
        </w:rPr>
        <w:t>. In the latter case he concluded there was no danger of overcompensating the plaintiff by awarding $0.50. In the absence of competing authority or any further submissions, I find the plaintiff's mileage claim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Javan's report indicates an MRI of the plaintiff's brain and cervical spine completed on August 31, 2015 was ordered by a Dr. Sheldon a neuro-ophthalmologist in response to the plaintiff's concern about the results of a CT scan. Without further explanation I am not able to conclude this particular MRI was completed in order to investigate injuries or symptoms related to the accident. Dr. Javan recommended the MRI of her left shoulder that occurred on October 9, 2015 in response to long term pain and decreased shoulder range of motion in July 2015. Although I have found the later symptom to be unrelated to the accident, I have accepted the plaintiff's ongoing complaints of pain and discomfort encompassed the upper left shoulder area as caused by the accident. I therefore allow this expense as part of her special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There is no specific evidence that relates the plaintiff's participation in Bowen Therapy to her accident related injuries or even what the therapy entails. I therefore disallow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Accordingly, I award the plaintiff $14,230.41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conclusion, I find the defendants liable for the following amount of damages, subject where specified to further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04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 (gross)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$21,957</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(Collingwood)</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$17,717.20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25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046"/>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$19,696</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04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464"/>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$14,230.41</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trust the parties can agree upon a calculation of the net past loss of earning capacity. Pre-judgment interest must also be calculated for both past loss of earning capacity and special damages. Again, I expect the parties can calculate the interest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award costs to the plaintiff, subject to circumstances I am unaware of, in which case the parties have leave to apply for a different costs order within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Kathuria v. Wildgrove, [2014] B.C.J. No. 1443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M135909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Taranjit Singh Kathuria, Plaintiff, and Ian Wildgrove and Sarah Wildgrove,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9" w:name="Keywords_38"/>
      <w:bookmarkEnd w:id="369"/>
      <w:r>
        <w:rPr>
          <w:rFonts w:ascii="arial" w:eastAsia="arial" w:hAnsi="arial" w:cs="arial"/>
          <w:b/>
          <w:color w:val="000000"/>
          <w:sz w:val="20"/>
          <w:lang w:val="en-US" w:eastAsia="en-US" w:bidi="ar-SA"/>
        </w:rPr>
        <w:t>Damages — Physical and psychological injuries — Physical injuries — Body injuries — Neck — Leg injuries — Knee — Considerations impacting on award — Pre-existing injury — Credibility — Action by Kathuria for damages for personal injuries sustained in a motor vehicle accident allowed in part — Kathuria was executing a left turn when his vehicle was struck by the defendant's vehicle — The defendant was liable for the collision as his manner of driving was negligent — Kathuria sustained injuries in the accident which caused discomfort — However, the defendant was not liable for the injury to Kathuria's right knee, which he originally injured while playing ball hockey — Kathuria was awarded $402,727 in damages, including $75,000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Non-pecuniary loss — Action by Kathuria for damages for personal injuries sustained in a motor vehicle accident allowed in part — Kathuria was executing a left turn when his vehicle was struck by the defendant's vehicle — The defendant was liable for the collision as his manner of driving was negligent — Kathuria sustained injuries in the accident which caused discomfort — However, the defendant was not liable for the injury to Kathuria's right knee, which he originally injured while playing ball hockey — Kathuria was awarded $402,727 in damages, including $75,000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Kathuria for damages for personal injuries sustained in a motor vehicle accident allowed in part — Kathuria was executing a left turn when his vehicle was struck by the defendant's vehicle — The defendant was liable for the collision as his manner of driving was negligent — Kathuria sustained injuries in the accident which caused discomfort — However, the defendant was not liable for the injury to Kathuria's right knee, which he originally injured while playing ball hockey — Kathuria was awarded $402,727 in damages, including $75,000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0" w:name="Case Summary_36"/>
            <w:bookmarkEnd w:id="3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Kathuria for damages for personal injuries sustained in a motor vehicle accident. Kathuria was executing a left turn when his vehicle was struck by the defendant's vehicle. Liability was disputed. Kathuria, who was 21 years old at the time of the accident, took the position that the defendant was negligent. The defendant took the position that he constituted an immediate danger to Kathuria and, therefore, Kathuria should not have moved forward into the intersection as he did.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1" w:name="Holdings of Court_31"/>
            <w:bookmarkEnd w:id="37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liable for the collision as he entered the intersection on a decidedly stale light and his manner of driving was negligent. Kathuria sustained injuries in the accident, including injuries to his neck and left knee, which caused discomfort. Furthermore, Kathuria's injuries delayed his pursuit of his medical qualifications for approximately one year. However, the defendant was not liable for the injury to Kathuria's right knee, which he originally injured while playing ball hockey, and only a portion of the special damages claimed were properly compensable. Kathuria was awarded $402,727 in damages, including $75,000 in non-pecuniary damages, $9,984 for past wage loss, $310,000 for loss of earning capacity, $7000 for the cost of future care, and $743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2" w:name="Legislation Cited_28"/>
      <w:bookmarkEnd w:id="3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01"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 s. 158,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3" w:name="Counsel_40"/>
      <w:bookmarkEnd w:id="3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P.G. Kent-Snowsell and P.S. Tung.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G. Murphy and J.D. Barnes.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4" w:name="Judgment_40"/>
      <w:bookmarkEnd w:id="374"/>
      <w:r>
        <w:pict>
          <v:line id="_x0000_s1224"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5" w:name="J.W. WILLIAMS J."/>
            <w:bookmarkEnd w:id="375"/>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Taranjit Singh Kathuria brings this action for damages incurred in a motor-vehicle accident. The other vehicle involved was co-owned by both of the named defendants, Ian Wildgrove and Sarah Wildgrove. Mr. Wildgrove was driving the vehicle at the time of the collision. Any reference to "the defendant" in these reasons will be to Mr. Wildgrove.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collision is disputed and will have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the plaintiff's entitlement to recover damages under certain of the heads of damages claimed is disputed by the defendants as is the quantum of damages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components of the damage claim are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(two parts to claim).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(two parts to claim).</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housekeeping costs.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on this issue is the testimony of three witnesses: the plaintiff, the defendant Mr. Wildgrove and a third party who was present at the scene and witnessed the event. As well, there are photos of the scene and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shortly after 4:00 p.m. on July 21, 2009 at the intersection of 101 Avenue and 152 Street in Surrey. At that point, 152 Street is comprised of three lanes of travel southbound and three lanes northbound. For each direction, there are two through lanes and one left-turn lane. 101 Avenue at that location is four lanes wide. There is a through lane and a left-turn lane for both eastbound and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Traffic is controlled by lights. The intersection is a busy one and that was especially so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evidence is that he was driving northbound on 152 Street, intending to turn left onto 101 Avenue. He was alone in his vehicle, a 2006 Buick. He had positioned his vehicle in the left-hand turn lane. The light facing him was green. He entered the intersection and stopped, waiting for an appropriate break in the oncoming traffic in order to make his turn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described the green light turning to amber and, following that, seeing vehicles in each of the two oncoming lanes nearest the centre line come to a stop. He was not able to observe any vehicle approaching in the curb lane. He concluded that the oncoming traffic was clear and that it was safe to make the turn. He moved forward into his turn, cautiously. As the front of his vehicle entered the third of the southbound lanes, that is, the curb lane, he suddenly saw the defendants' pick-up truck coming toward him at a substantial speed. He testified that he had no time to react and there was no opportunity to take any evasive action. The collision was virtually instantaneous. His vehicle was hit hard. The photographic evidence shows that substantial damages resulted, and that the principal point of contact for the plaintiff's vehicle was the left front. The photo also shows that the airbags on that vehicle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that he was travelling southbound on 152 Street, driving his Toyota Tacoma pick-up. He was travelling in the curb lane, at a speed of approximately 50 km per hour. As he approached the intersection at 101 Avenue, he said that the light was green but, by his recollection, when he was approximately three vehicle lengths from the intersection, the light turned to amber. In the circumstances, he made the decision not to stop, but to continue through at the speed he was travelling. As he entered in the intersection, he saw the plaintiff's vehicle in front of him. From his perspective too, the collision was virtually instantaneous and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third party witness to the event was Mr. Boyarski. He was driving in his automobile, and was at the relevant time in the left-hand lane of travel on 101 Avenue, facing eastbound. He had stopped because the light was red; he was first in line at the intersection, waiting for the light to change so that he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testified that the traffic to his left slowed and came to a stop. He says that he was watching the Buick as it began to proceed when he heard an engine sound from his left. He saw the defendants' truck come through the curb lane and collide with the Buick. The truck did not come to an immediate halt but continued to move, striking a post before coming to rest on the southwest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essence of Mr. Boyarski's testimony is that, when these events occurred, the light facing him was red, but that he looked up a very short while later and saw that the light facing him was now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the evidence is clear that he was lawfully in the intersection, properly waiting for traffic to clear so that he could proceed safely through his turn. In his submission, he was entitled to proceed as he did, once the light had changed from green to amber and the southbound traffic which was visible to him had stopped. He says the defendant was negligent in entering the intersection as he did, at or about a speed of 50 km per hour, with the light having turned from green to amber while he was some distance away from the intersection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says that he was only about 30 or 40 feet from the intersection when he noticed the light change from green to amber, and he also testified that he was concerned that a blue Mazda automobile was following closely behind him. In the circumstances, he says that he made an appropriate decision to continue through the intersection. In his submission, he constituted an "immediate danger" to the plaintiff and accordingly, the plaintiff ought not to have to move forward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note that, in the course of trial, a statement was put to the defendant. It was a statement that he made to the insurance adjuster, shortly after the collision, wherein he appears to have stated that the light had turned red just immediately before the moment of actual collision. Although he offered an explanation at trial as to the apparent discrepancy, I am not satisfied that his explanation for the discrepancy is entirely convincing. In the circumstances, I have some reservations as to the reliability of his testimony with respect to the precise timing of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have relevance to the matter are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(1) The driver of a vehicle must not cause or permit the vehicle to overtake and pass on the right of another vehicle, except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respect to the meaning of "immediate hazard" in s. 174 and the duties imposed upon a left-turning driver such as Mr. Kathuria, the plaintiff accepts that he is not permitted to turn when there is an immediate hazard present. He relies upon the decision of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406, </w:t>
      </w:r>
      <w:hyperlink r:id="rId902"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(QL) (B.C.C.A.) as authority for the proposition that an immediate hazard exists when an approaching vehicle is so close to the intersection that when the other driver attempts to make a left turn, a collision threatens. He does not dispute that, as a left-turning driver, he is obliged to ensure that the turn can be made safely, even when the signal light facing oncoming traffic turns amber or red: </w:t>
      </w:r>
      <w:r>
        <w:rPr>
          <w:rFonts w:ascii="arial" w:eastAsia="arial" w:hAnsi="arial" w:cs="arial"/>
          <w:i/>
          <w:color w:val="000000"/>
          <w:sz w:val="20"/>
          <w:lang w:val="en-US" w:eastAsia="en-US" w:bidi="ar-SA"/>
        </w:rPr>
        <w:t>Pacheco (Guardian of) v. Robinson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1993 CanLII 383</w:t>
        </w:r>
      </w:hyperlink>
      <w:r>
        <w:rPr>
          <w:rFonts w:ascii="arial" w:eastAsia="arial" w:hAnsi="arial" w:cs="arial"/>
          <w:color w:val="000000"/>
          <w:sz w:val="20"/>
          <w:lang w:val="en-US" w:eastAsia="en-US" w:bidi="ar-SA"/>
        </w:rPr>
        <w:t xml:space="preserve"> (C.A.) However, he contends that the defendant was not in such proximity to the intersection that he (the plaintiff) was able to see him and recognize him as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submits that the defendant was obliged to stop in the face of the amber light, and that there is no reason to conclude that the stop could not be made in safety. Furthermore, he says that s. 158 has application because of the fact that the defendant was, immediately before the collision, overtaking another vehicle driving in the lane to his left, and that movement could not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 defendant is liable for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no witness can be said to have a description of the event which is absolutely 100% reliably accurate, upon a careful assessment of the testimony of the three eye witnesses and the photographic evidence of the scene and aftermath, I conclude that the defendant entered the intersection on a light that was decidedly stale -- amber and on the verge of turning red. It follows that it had turned from green to amber when he was at least three full vehicle lengths back from the stop line, and probably more. I also find that he was driving at or near the speed limit (50 km per hour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elected to proceed, to run the light. It is relevant that one or possibly two automobiles that were driving alongside him or slightly ahead of him were able to safely stop at the intersection. Evidently his decision was informed in part by his view that another vehicle was following him closely. However, I am not able to conclude that he was unable to make his stop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the light changed from green to amber, the plaintiff was in the intersection, positioned to turn left. As he began to move forward, I am satisfied that he did so in a cautious fashion and, in accordance with what was there to be seen, properly believing that the way was safe. Based upon the damage, I believe that the nose of the plaintiff's vehicle was just into the curb lane, but not by a great deal. I do not believe that the defendant vehicle was so close that it was there to be recognized as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plaintiff's submission, the following statement of Madam Justice Newbury in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1996 CanLII 2404</w:t>
        </w:r>
      </w:hyperlink>
      <w:r>
        <w:rPr>
          <w:rFonts w:ascii="arial" w:eastAsia="arial" w:hAnsi="arial" w:cs="arial"/>
          <w:color w:val="000000"/>
          <w:sz w:val="20"/>
          <w:lang w:val="en-US" w:eastAsia="en-US" w:bidi="ar-SA"/>
        </w:rPr>
        <w:t xml:space="preserve"> (C.A.) is apposite of the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 An amber light is not, as the current witticism suggests, a signal to accelerate or to pass traffic that is slowing to a stop. Indeed, as Mr. Justice Esson noted in </w:t>
      </w:r>
      <w:r>
        <w:rPr>
          <w:rFonts w:ascii="arial" w:eastAsia="arial" w:hAnsi="arial" w:cs="arial"/>
          <w:b/>
          <w:i/>
          <w:color w:val="000000"/>
          <w:sz w:val="20"/>
          <w:lang w:val="en-US" w:eastAsia="en-US" w:bidi="ar-SA"/>
        </w:rPr>
        <w:t>Uyeyama</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sees that all approaching drivers have stopped would, in my view, bring traffic to a standstill. We should not endorse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In my view, the reference is entirely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conclude, in the circumstances, I find that the defendants' manner of driving was negligent and was the cause of the collision. The plaintiff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analyzing the damage claims advanced by the plaintiff, there are certain related matters to be explained and examined. Those include a review of the specific injuries he said he sustained; an examination of one particular injury, his right knee; and some explanation of the plaintiff's ordinary activities at and around the time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principal evidence of Mr. Kathuria's injuries is his own testimony at trial, together with the evidence of two medical doctors whose reports were tendered, and the cross-examination of each. The plaintiff relies on Dr. Tarazi, an orthopedic surgeon who examined him in 2012 and prepared a report. The defence expert was Dr. McKenzie, also an orthopedic surgeon. Although he did not examine the plaintiff, he prepared a report based on his examination of a number of medical records. Essentially, his report was in the nature of a critique of Dr. Tarazi's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are two other points to be noted in this regard. One is that the plaintiff's general practitioner, whom he saw on a number of occasions after the accident, did not prepare a report and was not called to testify at trial. His charts relating to his dealings with the plaintiff were available and were referred to in the course of cross-examination. The other point is that the defendants arranged for the plaintiff to be examined by a specialist that they appointed, Dr. Grypma. No report was provided by him and he was not called as a witness. I will address each of these matters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claims he suffered bodily injury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specifics are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says there was bruising to his left hand and forearm. Those injuries resolved quite shortly after the accident and were fully resolved within two months. There is no controversy regarding this.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he claims to have experienced pain in his neck and says that carried on for some time. I accept there was such injury and find that it was substantially resolved within a year and was fully resolved by the time of the trial. The plaintiff's testimony confirms that. Curiously, I note that in the report of Dr. Tarazi, he states this: "in my opinion, the motor-vehicle accident of July 21, 2009 has most likely caused neck and lower back myofacial tissue injuries. This injury has affected the muscles and ligaments in his neck and back regions." Later in his report, he says the pain is "now chronic and will likely continue on a permanent basis despite some further improvement within the next year". I am not certain that the second passage necessarily relates to neck injury. The first passage does, and it is at stark variance with the evidence of the plaintiff. It is the plaintiff's evidence which informs my finding.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he sustained injury to his left shoulder in the accident and that has not resolved. He says that discomfort was persisting at trial. In his report, Dr. Tarazi expresses his opinion that the accident most likely caused a left shoulder myofacial soft tissue injury. As at the time of his examination, he found that the stiffness in the shoulder had resolved but that the plaintiff had pain with certain overhead activities, heavy lifting, and some repetitive movements. Dr. Tarazi expresses the view that the left shoulder pain is likely now chronic and will most likely continue on a permanent basis. He opined that the injury is not associated with any significant increase in the future risk of osteoarthritis in the joint. I note there are no objective indicia to confirm this injury. The evidence of the injury is essentially subjective, relying upon the plaintiff's description.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he sustained an injury to his low back in the accident and that injury continues to cause him discomfort. He testified that it limits his mobility and that at the end of the day he feels soreness and tiredness.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Earlier I made reference to the opinion contained in the report of Dr. Tarazi, and particularly where he expressed the opinion that the accident had caused both neck and lower back myofacial tissue injuries.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his left knee was injured in the course of the accident. In his description of the effects of the accident, he made mention of it. Somewhat oddly, mention of this injury to other treating health care professionals seems to be scant. There appears to be no further mention of it until September 8, 2009, when he attended at his family doctor and the clinical record makes reference to a complaint of discomfort in the knee. There is also a note of an examination of the knee on October 13, 2009 with the notation that the left knee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this injury was a source of persistent discomfort and pain, and particularly in the context of his efforts to return to ball hockey. His evidence on the point was to the effect that the knee was consistently sore, weak, unstable and had a tendency to give out. The testimony of the plaintiff at trial was that both of his knees are now painful (which I take from his testimony to be a consequence of his right knee injury) and together with his lower back, result in him being sore and tired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to the physical injuries which I have described, the plaintiff testified that he experienced some headaches as a consequence of the accident. By the time of trial, he described those as being only occasional.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that these physical injuries (plus an injury to his right knee, which I will discuss momentarily) had the effect of making it very difficult for him to sit for any significant length of time. He says that there was an accompanying anxiety which adversely affected his ability to concentrate. He also says that the physical injuries he sustained made him less mobile and one consequence of that is that he gained approximately 25 pounds. That too, it would seem, resulted in a further diminishment of his activity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medical steps taken by the plaintiff to deal with his injuries, in his special damages schedule, he indicates that he attended upon his family doctor on approximately 30 occasions. In fact, the clinical records with which he was presented at trial suggest that there were 11 visits between the date of the accident and December 30, 2010 -- a period of some 18 months. As well, he took chiropractic, massage therapy, and physiotherapy treatments. His doctor prescribed both painkilling and anti-inflammatory medication and, he says, recommended that he stay off work until September 2009. Additionally, there seems to have been some further suggestion of restriction with respect to his job, although that is not perfectly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is also the matter of the right knee. The essence of the plaintiff's position is that he sustained a serious injury to his right knee while playing ball hockey in July 2010. The basis upon which he attributes the right knee injury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because of the tenderness and weakness in the left knee (which was injured in the accident), while playing ball hockey, he placed an inordinate amount of weight and force upon the right knee, and that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To be clear, there is no claim that the knee was injured in the motor-vehicle accident. The plaintiff does not suggest that it was. However, he says it is an injury for whose effects he should be awarded damages because it was indirectly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resulted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analyzing that claim, there is some relevant background information that is necessary to enable an understanding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analysis begins with the proposition that the onus lies upon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injury. The applicable standard of proof is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 must be examined with some care, particularly because the causal link alleged is indirect and because of the significant gap in time between the occurrence of the motor-vehicle accident and the right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offered to prove the causation is the opinion of Dr. Tarazi, an orthopedic surgeon called by the plaintiff. He states that, in his view, the left knee injury was a material contributing factor to the right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respond with the opinion of Dr. McKenzie, also an orthopedic surgeon, who disagrees with Dr. Tarazi's opinion. The plaintiff objects to that evidence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support of his objection, the plaintiff relies on a number of deficiencies which he alleges, collectively, render Dr. McKenzie's conclusions and opinion of virtually no reliable value. Among the concerns is the fact that Dr. McKenzie did not make any assumptions for the purpose of his report, as the rules of court require. The concern is also raised that he did not examine the plaintiff or take an oral history from him, and those are important elements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relies upon the observations of Walker J. in </w:t>
      </w:r>
      <w:r>
        <w:rPr>
          <w:rFonts w:ascii="arial" w:eastAsia="arial" w:hAnsi="arial" w:cs="arial"/>
          <w:i/>
          <w:color w:val="000000"/>
          <w:sz w:val="20"/>
          <w:lang w:val="en-US" w:eastAsia="en-US" w:bidi="ar-SA"/>
        </w:rPr>
        <w:t>Ruscheinski v. Biln</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where a number of concerns that attend such a "records review" are summarized, with the conclusion that reliance on an opinion resulting from a process of that nature is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those considerations have application in this matter, such that I decline to admit or take into account the opinion of Dr. McKenzie with respect to the causal connection (or more specifically, the lack thereof) between the two knee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now to the evidence of Dr. Tarazi.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critical component of Dr. Tarazi's opinion that the right knee injury is causally related to the motor-vehicle accident is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Kathuria was trying to increase his physical activity level in 2010. As he was trying to get back to playing ball hockey he was still limping and was placing increasing weight on his right leg during running and twisting movements. In my opinion, the fact that he was favouring his left knee by overloading his right knee has increased the load on his right knee which likely significantly contributed to his right knee injury. If it were not for the left knee pain and limp, he likely would not have suffered his right knee injury and anterior cruciate ligament tear. </w:t>
      </w:r>
      <w:r>
        <w:rPr>
          <w:rFonts w:ascii="arial" w:eastAsia="arial" w:hAnsi="arial" w:cs="arial"/>
          <w:color w:val="000000"/>
          <w:sz w:val="20"/>
          <w:u w:val="single"/>
          <w:lang w:val="en-US" w:eastAsia="en-US" w:bidi="ar-SA"/>
        </w:rPr>
        <w:t>Therefore, in my opinion, the left knee injury that was caused by the motor vehicle accident of July 21, 2009 was a material contributing factor to his right knee anterior cruciate ligament tear. In the injury to his right knee, he also suffered a medical collateral ligament injury</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his understanding of the surrounding circumstances, as explained to him by the plaintiff,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conservative therapy, his overall symptoms were gradually improving, to a point where he tried to get back to playing sports. He tried playing ball hockey. He was still having pain in his left knee, and therefore, was applying more pressure on his right leg while running and twisting. While he was trying to play on July 5, 2010, he made a sudden turn and applied most of his weight on his right leg due to his left knee pain. Suddenly, he felt his right knee buckle and fell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Tarazi was cross-examined concerning his opinion. The relevant portions of the cross-examination, with respect to the right knee injury,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 and that limping suggests to you -- to you that that's -- he was placing increased weight -- so let me just break this down. You understood him to be limping when he was playing ball hockey,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 understood.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because of that understanding, you felt that that limping would be placing greater weight on his right knee as he went through his manoeuvres playing ball hockey?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greater loading made it more probable that he would pop his right knee?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am following that correctly?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people pop their ACL's all the time, even absent injuries to the opposing leg,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are running, I am not really clear on the mechanism of how you put extra load on one leg when the other leg is off the 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would have decreased stance face on the one side -- on the painful side. Stance face means the time when your leg is -- your foot is in contact with the ground during a running gait or a walking gait. So if you have less time on your -- or if he had less time on his left foot in the running, or in turning, he would be putting more time and shift his load more to the right knee and spend more time on the right leg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that activity.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I have this right, then you would expect him to be sort of having an abnormal gait where his left knee would come down and just basically touch down long enough to be there and then he would go to his right and spend more time on his right leg?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he would be limping while running?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it weren't for that limping you understood to have been in place, then this probably would have been a normal ACL tear?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Hypothetically, if there was no symptoms in the left knee at all, it would have been considered a common ACL tear from ball hockey,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he told you. Does ball hockey, given what you understand about it, is not something you want to be playing if you have a lot of musculoskeletal injuries, you would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some people play despite a lot of symptoms, whether at any level, including professional or recreational level. Some people play with injury, some people play with pain and they subject themselves to further injury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but it becomes their choice.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But it is not something you would recommend?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recommend if somebody is having a lot of pain, or a lot of swelling, or a lot of stiffness in a joint to play on that joint.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Because it could worsen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could worsen it and cause other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in fact, yeah, ball hockey can injure you in and of itself?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can.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ACL injury, for instance?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they can occur.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hypothetically, if you were to learn that he played about 11 games between September 26, 2009, and December 13, 2009, that would have been information that would have been helpful to you in your assessment as well,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would have been helpful also is whether he had symptoms while playing, not just the fact of playing.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we don't know how much of the game he played, whether he played as a sub or if he played on the main roster, and how much -- how full capacity he was playing 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don't know that. So that's all information you want to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need to know whether or not he was scoring goals, scoring assists, getting penalty minutes, and having any complaints afterwards of -- of pain in those areas that he says he injured?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Especially complaints during and after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game.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similarly, if you were given to understand he played 14 games between January 2nd, 2010, and June 29th, 2010, would your -- would you have liked to have that in forming your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 thing, I would like to know whether he -- how much -- what intensity he played, and whether he had symptoms while playing.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--I did know that he was having still symptoms around the time when he injured his right knee.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your understanding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Still having -- that was my understanding.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Your understanding was he started sometime in 2010 and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he was limping?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don't know the vigour to which he had been playing, whether he had been playing on a regular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did not know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hypothetically, if you had found that he had been playing with full vigour from September of 2009, up until the time that he popped his ACL in July of 2010, would that have changed your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he was playing at full capacity, running, jumping, turning, with no pain, no symptoms at all with the left knee, then, yes, hypothetically it would have changed my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basically, if he had a left normally functioning knee, yes, it would have changed my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be more likely to agree at that point then that the ACL injury resulted just as a simple matter of sports rather than being related to the motor vehicle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in that hypothetical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case,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and just to clarify. The limping that he referred to, that was his information,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his reporting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fact that he was favouring his left knee by overloading his right knee, that's, in fact, not a fact, that's your supposition,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I am relying on this information to be true, which I received from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evident that his opinion is based, in substantial part, on the information that was provided to him by the plaintiff. Particularly, he appears to have accepted and relied upon the plaintiff's advice that, at the time of the right knee injury, the plaintiff's left knee was weak and unstable and that he was limping pronouncedly as he played. With respect to the plaintiff's involvement in ball hockey, he accepted the plaintiff's assertion that he was just getting back into the sport after some considerable time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to assess the weight that should be attached to Dr. Tarazi's opinion, an examination of the veracity and reliability of the plaintiff's assertions to the doctor with respect to his ball hockey activities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testified that, at the time of the accident and for some considerable time prior, he had been an avid ball hockey player. He played in an organized competitive league in Surrey and was, by my understanding of the evidence, a fairly skilled player. His testimony at trial was that he enjoyed the game and that it was his passion. He said that, following the motor-vehicle accident, he tried to play ball hockey in September of 2009; he described playing a couple of shifts but he could not run so he sat on the bench. He testified that he went to see the doctor and arranged physiotherapy a few days later. His testimony was that after playing, his knee and shoulder were aching. He described that if he played more than a few shifts, the pain made it necessary to elevate and ice the knee and that he would have to apply topical analgesic. In total, he said that in 2009, after the motor-vehicle accident, he would estimate that he played approximately five games but not at his usual level of intensity - he was not able to get to the level of his ability. He testified that when attempting to play, his left side gave out, and that his knee would give out and he would have to take the weight off it. He said that he could not really run for the ball and stick handling was difficult. He said that he did not feel safe going into the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His testimony was that the following year, in 2010, he attempted to get back into the game. He said that he was playing "some ball hockey" and that he was hoping to qualify for a Western Canadian tournament. However, he described having the same issues then with his left knee: when he was running, he felt like the left knee would buckle or give out. He said he could not run as much or play as aggressively. He said that if he was running, he would feel a pinch or instability after a few strides and felt unbalanced.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then described the incident where the right knee was injured in July 2010. He was playing ball hockey, running for the ball, and had to change directions. He said that his left knee gave out and he heard a pop in the knee and fell to the ground. He was unable to play because of the pain and so he went home. The next day he went to hospital where the diagnosis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the plaintiff was confronted with certain questions and answers from his examination for discovery in September 2012. There he was asked when he had returned to playing ball hockey, and particularly, in relation to the July 2010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first get back to playing ball hockey?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like to say maybe three weeks prior to that accident or incident, or a month somewhere.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June of 2010?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you attempted to play prior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believe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playing in May of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your season concluded by the time of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it ended the week after that, or the end of the week before. Somewhere in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play ball hockey in 2009 after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missed the first part of the season in 2010?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conceded that the answers he gave were not accurate. His explanation for the discrepancy was to the effect that he was confused and that "it" was jumbled up. He said he was mistaken and gave the wrong answer; he also said "I should have said 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Also in the course of cross-examination, the plaintiff was presented with a series of game records from his ball hockey league for games in which his team, the Surrey Assassins, played. Those sheets pertain to a time period commencing in September 2009 and ending at the end of June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wish to pause a moment to say something about those records and what reliance should be placed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submits quite adamantly that these records should be given very little weight. He says they are not business records in the classic sense and they are not reliable. He says the information contained within them is "circumspect". In fact, I understand the submission to be that they are suspect. The plaintiff's position is that the Court should not place much evidentiary weight upon them and that they cannot be used as proof that the plaintiff played every game where his name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accept that the records are not perfectly reliable, but say that, assessed in the context of the other evidence at trial, including the testimony of the two witnesses from the league, it is more likely than not that the plaintiff played in most of the games attributed to him by the games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Each of these positions has some merit. On the basis of the testimony at trial, I accept that there were, from time to time, liberties taken with respect to the documentation of the roster. There may have been occasions where names were entered but the named individual did not play. Although I accept that may have been the case from time to time, I am satisfied that, for the most part, the records provide a fair reflection of what occurred at the games. I am not prepared to use the records to conclude that the plaintiff played in every game where his name is listed on the roster, but I am confident in concluding that he played a significant number of those games and that, taken in totality, the games sheets accurately depict a scenario which is quite at variance with the impression the plaintiff sought to leave. I believe he played in a good number of those games and that he played an active and contributory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return now to the records. To summarize, game sheets from a total of approximately 30 games between September 2009 and the end of June 2010 were adduced and put to the plaintiff. Each of those game sheets indicates that the plaintiff was one of the players on the roster for that particular the game. Obviously, there is no record of his time on the floor or his actual involvement in the play. However, the sheets record game activity in terms of goals, assists, and penalties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time period between September 26, 2009 and December 13, 2009, the records indicate the plaintiff played in a total of 12 games. In 10 of those games, he scored, either goals or assists, or sometimes both, and in three of those games he incurred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For the time period between January 2, 2010 and June 29, 2010 the sheets indicate that the plaintiff played in a total of 18 games. In eight of those games, he scored goals or assists, and in some instances both. As well, the records indicate that in eight of those games, penalties were imposed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he was asked about those sheets, on an individual basis, as to whether he had played in those games, his answers typically were to the effect of "I don't think so"; "I'm not sure"; "It could have been". To summarize, it is fair to say he did not specifically admit having played in any particular game, but seems to have accepted that some of the records were accurate in indicating that he had 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one further complication with respect to the situation of the plaintiff's right knee injury. It is this: in the course of pre-trial preparation, the defendants arranged for the plaintiff to attend upon Dr. Grypma, an orthopedic specialist, to be examined. In fact, the plaintiff did meet with Dr. Grypma and, according to the plaintiff, an examination was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have not adduced any evidence from Dr. Grypma.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submission of the plaintiff is that the Court should draw an adverse inference, essentially concluding that the opinion of Dr. Grypma would have been favourable to the plaintiff. In support of that submission, the plaintiff relies upon the decision of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There is extensive reference in that case to the decision of the Court of Appeal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The plaintiff says that is a proper articulation of the principles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make no submission with respect to this matter or Dr. Grypma's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have considered carefully the relevant authorities to be applied to this matter, and particularly the Court of Appeal's decision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Applying the considerations that the Court set out there, I find there is, in principle, no reason that the Court would not deal with the matter as the plaintiff urges, that is, to draw an inference adverse to the defendants and to conclude that Dr. Grypma's evidence would have been favourable to the plaintiff's position. I do, however, have a real reservation with proceeding in that fashion. My concern is based on the recognition that for Dr. Grypma to arrive at a conclusion with respect to the causal linkage would necessarily require knowing the plaintiff's actual ball hockey activities and the state of his left knee leading up to the right knee injury. Given my serious misgivings as to the reliability of the description Mr. Kathuria provided prior to trial (at the examination for discovery and in his consultation with Dr. Tarazi) I have significant doubt that any opinion that Dr. Grypma might offer might be one the Court could have confidence in. In other words, even if I were to infer that Dr. Grypma's report would have been supportive of the plaintiff as was Dr. Tarazi's report, the same concern with respect to the underlying information would have a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can be seen, the matter is by no means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Nevertheless, for the purpose of this analysis, I will proceed on the premise that Dr. Grypma would have given evidence favourable to the plaintiff, with the caveat I have just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there is the matter of the plaintiff's family doctor- the practitioner that Mr. Kathuria went to see subsequent to the accident and for the time that followed - Dr. Bhatti. The plaintiff did not call Dr. Bhatti as a witness at trial nor did he tender a report containing Dr. Bhatti's opinion. His explanation for declining to call the doctor is that he claimed he is often away from British Columbia studying, and so he did not consider Dr. Bhatti his regular treating physician. Accordingly, the plaintiff says that the doctor would be limited in his ability to provide an opinion. The plaintiff also said that he did not have confidence in Dr. Bhatti. He testified that the visits were usually brief and the examinations were not well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this is a situation where the Court might consider drawing an adverse inference against the plaintiff, I decline to do so. My conclusion is informed to some extent by the fact that the clinical records of Dr. Bhatti were available to the defendants for cross-examination, and that the plaintiff offered some explanation for the decision not to call the doctor. While that explanation was not especially persuasive, it is, nevertheless, my view that no inference should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Thus it can be seen there are a number of complicating factors with respect to the issue of whether the plaintiff's right knee injury should be found to be caused by the left knee injury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concluded that the force of Dr. Tarazi's opinion, the centerpiece of the plaintiff's proof on the issue, is substantially diminished by my view of the evidence which indicates that the plaintiff was involved in a meaningful way in ball hockey between the date of the motor-vehicle accident and the date of the right knee injury, to an extent substantially greater than he caused Dr. Tarazi to understand. When I consider that evidence on that diminished basis, and even if I take into account some limited inference with respect to the evidence of Dr. Grypma, I am not persuaded that the plaintiff has proven his contention that the left knee injury was a causal factor in the injury of the right knee as the law requires him to do in order to establish that the defendants are liable for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in the view I take of the matter, proof of a causal link between the two injuries is not determinative. Even if the plaintiff had proved that element, that linkage, it would be my conclusion that he cannot succeed in establishing that the defendant should bear responsibility for the right knee injury. The basis upon which I reach that finding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matters were as the plaintiff has emphatically testified, that is, the state of his left knee was so damaged and compromised, so unstable that it was repeatedly giving out on him when he ran or attempted to play ball hockey, then the consequences of that activity, and particularly, the injury to the right knee, must be seen as a result of an activity that he knew to be risky, but one in which he decided to engage on numerous occasions nevertheless. Based upon his testimony, it seems clear that he must have realized that playing ball hockey put him at real risk because of the likelihood that his left knee would not support his weight; in the stress of the activity, it was likely to buckle and collapse. Notwithstanding that state of affairs, he elected to play ball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consider it telling that Dr. Tarazi, in the course of his cross-examination, agreed that such an activity in those circumstances was ill-advised and risky. He stated that he would certainly not counsel a patient to partake in such an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relevant too that the plaintiff, at the material time, had completed a course of training to become a medical doctor. It would seem to me that training, in conjunction with ordinary common sense, would quite compellingly lead a reasonable person to recognize that the ball hockey activity was quite risky and could well result in further and other injury. The plaintiff has the obligation to conduct himself reasonably and to avoid further injury or aggravation of his injury. To impose liability upon the defendant for the plaintiff's conduct in this situation would be unfair and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the course of submissions, I was referred to a decision of Affleck J., dealing with a conceptually similar matter. In </w:t>
      </w:r>
      <w:r>
        <w:rPr>
          <w:rFonts w:ascii="arial" w:eastAsia="arial" w:hAnsi="arial" w:cs="arial"/>
          <w:i/>
          <w:color w:val="000000"/>
          <w:sz w:val="20"/>
          <w:lang w:val="en-US" w:eastAsia="en-US" w:bidi="ar-SA"/>
        </w:rPr>
        <w:t>Sandhar v. Rolston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2012 BCSC 495</w:t>
        </w:r>
      </w:hyperlink>
      <w:r>
        <w:rPr>
          <w:rFonts w:ascii="arial" w:eastAsia="arial" w:hAnsi="arial" w:cs="arial"/>
          <w:color w:val="000000"/>
          <w:sz w:val="20"/>
          <w:lang w:val="en-US" w:eastAsia="en-US" w:bidi="ar-SA"/>
        </w:rPr>
        <w:t>, Affleck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Even if the injury suffered from snow shovelling was indivisible, I would be inclined to assign fault for it to the plaintiff herself. The plaintiff's circumstances are not analogous to those of the plaintiff in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plaintiff, on his doctor's advice, returned to his regular exercise regime and in so doing suffered a disc herniation. His injuries while exercising were indivisible in the sense they were a natural effect of the injuries caused by the defendant. Ms. Sandhar did not return to her regular exercise regime when she shovelled snow. In my opinion, her desire to manage all aspects of her household overcame prudence when she shovelled snow over several hours on three consecutive days in December 2008. I have little doubt that if she had asked Dr. Mason's advice on whether she should undertake that activity before she made the decision to do so, Dr. Mason, or any other doctor who was informed of the plaintiff's health history, would have recommended against shovelling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respectful view, the principle is the same in the matter at bar and I know of no reason that the outcome would be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alternative analysis, one which could be seen to emerge from what appears to be a substantial amount of ball hockey played by the plaintiff between September 2009 and the July knee incident, is that, in fact, his left knee was not causing a great degree of discomfort or difficulty, and that it was not in a state of meaningful instability and so that is why he was able to play so extensively. If that were so, and there is certainly a basis in the evidence to conclude it was the true state of affairs, then it follows that the causal link upon which he relies to connect the right knee injury to the left knee is substantially diminished. In those circumstances, the knee injury was an athletic injury -- in the words of Dr. Tarazi, "a common ACL tear from ball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conclusion, it is my view that the defendant cannot be held liable for the injury to the plaintiff's right knee. Accordingly, the damage assessments which the Court is required to make in this matter will be adjusted and impacted by that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time of the motor-vehicle accident, the plaintiff was 21 years of age. Following his graduation from high school, he was admitted to the Windsor School of Medicine, a private medical school located in the Caribbean. His goal was and is to complete a program of studies that would lead to becoming a medical doctor and practicing in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Initially, the plaintiff was in the "pre-med" program at Windsor commencing in September 2006. He concluded that component of his training in April 2007 and then began the actual substantive course work. He finished that in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the conclusion of the course work at Windsor, he relocated to Carbondale, Illinois to do a course of study intended to prepare him to write the necessary exams to obtain his certification in the US. He was at Carbondale doing that between September 2008 and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Kathuria testified that after finishing the exam preparation course in April 2009, it was his intention to return to his home in British Columbia and take a period of time off, from May 2009 until March 2010. His plan was to work part-time at a non-medical job and to study on his own, with the goal of doing the Step 1 examination in June 2010, followed by his clinical rotations. He then intended to write the two further exams which the Step 2 process requires in January 2011/May 2011. At that point, assuming he had been successful in those endeavours, he would be qualified to begin his internship; he anticipated that would commence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fact, the plaintiff did not carry through with his plans to write the Step 1 exam in June 2010. He says that, because of the effects of the injuries from his motor-vehicle accident, he was not able to start the necessary study and preparation until March 2010. Rather than follow his original plan, he elected instead to enroll in a review program (between September and November 2010), followed by further group study at Carbondale in 2011. Following that, in January 2012, he wrote the Step 1 examination, but did not obtain a passing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note that as at the date of trial, the plaintiff had completed a portion of his clinical rotations which are part of the program and are required before admission to internship. As at the date of trial, he had completed 18 of the 72 weeks that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seeks an award of damages for pain, suffering and loss of enjoyment of life resulting from the motor-vehicle accident and its effects. In his testimony he describes experiencing substantial pain and discomfort and also says that the discomfort impacted adversely upon his ability to study effectively. He was only able to sit for short periods of time and was simply unable to focus as the material required. In the result, he described being frustrated by the circumstances. He also described that he is ordinarily a fairly active person. As a result of the injuries, his ability to be active and mobile was diminished and he gained a substantial amount of weight. That too contributed to his unhappiness and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Kathuria says that these injuries continue as at the date of trial and it is reasonable to expect that they will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plaintiff's submission, his injuries and the impact they have had upon him justify a substantial award of general damages because they have "resulted in serious permanent partial disability and chronic pain. Mr. Kathuria is at risk of early arthritis in both knees, more significantly on the right side which may require knee surgery, oblique replacement. He testified that he will be seeking knee surgery to repair the ACL tear at the next available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support of his claim, the plaintiff has made reference to a number of decisions of this Court and the Court of Appeal. The awards in those cases vary between $75,000 and $150,000: </w:t>
      </w:r>
      <w:r>
        <w:rPr>
          <w:rFonts w:ascii="arial" w:eastAsia="arial" w:hAnsi="arial" w:cs="arial"/>
          <w:i/>
          <w:color w:val="000000"/>
          <w:sz w:val="20"/>
          <w:lang w:val="en-US" w:eastAsia="en-US" w:bidi="ar-SA"/>
        </w:rPr>
        <w:t>Peters v. Kay</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2006 BCCA 42</w:t>
        </w:r>
      </w:hyperlink>
      <w:r>
        <w:rPr>
          <w:rFonts w:ascii="arial" w:eastAsia="arial" w:hAnsi="arial" w:cs="arial"/>
          <w:color w:val="000000"/>
          <w:sz w:val="20"/>
          <w:lang w:val="en-US" w:eastAsia="en-US" w:bidi="ar-SA"/>
        </w:rPr>
        <w:t xml:space="preserve">, aff'd </w:t>
      </w:r>
      <w:hyperlink r:id="rId911" w:history="1">
        <w:r>
          <w:rPr>
            <w:rFonts w:ascii="arial" w:eastAsia="arial" w:hAnsi="arial" w:cs="arial"/>
            <w:i/>
            <w:color w:val="0077CC"/>
            <w:sz w:val="20"/>
            <w:u w:val="single"/>
            <w:shd w:val="clear" w:color="auto" w:fill="FFFFFF"/>
            <w:lang w:val="en-US" w:eastAsia="en-US" w:bidi="ar-SA"/>
          </w:rPr>
          <w:t>2004 BCSC 1160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Nekrasoff</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2008 BCSC 1520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Kasidoulis v. Russo</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2010 BCSC 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Ayoubee v. Campbell</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2009 BCSC 317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Mirisklavos v. Manhas</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(1996) 65 A.C.W.S. (3d) 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Majer v. Beaudry</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2002 BCSC 746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(1999), 92 A.C.W.S. (3d) 253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Al-Hendawi v. Sidhu</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2006 BCSC 522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Kathuria submits that an appropriate award of non-pecuniary damages is in the amount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take a different view of the matter. They submit that the plaintiff is entitled to recovery non-pecuniary damages for soft tissue injuries to his neck, left shoulder, right hand, low back, and left knee. They say that the award should reflect that the injury to the right hand resolved within a week of the collision, that the injury to the neck completely resolved within a year, that the plaintiff's complaints of ongoing left shoulder weakness, ongoing low back pain, and ongoing left knee pain have no mechanical features that support the injuries, and so it is very much a matter of relying upon the subjective report of the plaintiff. In the defendant's submission, there is reason to be wary of placing great reliance on the plaintiff's description of his injuries, considering that his evidence at the examination for discovery was not truthful. They note as well that the plaintiff has not sought medical treatment for any of the injuries which he attributes to the accident since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that considered, the defendants contend that an appropriate award of damages under this head is in the range of $30,000 to $40,000, representing three months of acute soft tissue injury pain, followed by "diminishing sequel which have resolved to a nominal level by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rely upon three decisions, two of this Court and one in which the Court of Appeal upheld a $10,000 jury award: </w:t>
      </w:r>
      <w:r>
        <w:rPr>
          <w:rFonts w:ascii="arial" w:eastAsia="arial" w:hAnsi="arial" w:cs="arial"/>
          <w:i/>
          <w:color w:val="000000"/>
          <w:sz w:val="20"/>
          <w:lang w:val="en-US" w:eastAsia="en-US" w:bidi="ar-SA"/>
        </w:rPr>
        <w:t>Genge v. Cimon</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2004 BCCA 102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Everett v. Solvason</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2012 BCSC 140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 v. Hawari</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2009 BCSC 1904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that the injuries caused the plaintiff not insignificant discomfort and pain which continued for a time. I also accept that there is probably some residual discomfort, in accordance with the opinion of Dr. Tarazi. At the same time, in accordance with my discussion earlier in these reasons, I have some real reservations as to the reliability of the plaintiff's evidence. Given my findings with respect to the ball hockey activity and his testimony at the examination for discovery, I tend to believe that the plaintiff has somewhat overstated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My view of the appropriate quantum of damages is also informed by my conclusion that the right knee injury is not one for which he is entitled to compensation by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effect of the injury upon his ability to study and prepare to write his examination, I propose to deal with the matter of delay of his study and career qualifications at a subsequent point in these reasons. However, the difficulty of being able to study and the attendant frustration are considerations to be taken into account in respect of this head of damages. It is also relevant to me that the plaintiff had, at time of trial, completed 18 of the 72 weeks of clinical rotations, and that he reported having found parts of that to be quite uncomfortable on account of low back and knee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final result, and having considered the authorities to which I have been referred, it is my conclusion that an appropriate award of damages for Mr. Kathuria's pain, suffering, and loss of enjoyment of life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advances his claim under this head in two components. The first is with respect to the fact that, because of the accident and its injuries, Mr. Kathuria was not able to work at his part-time summer job for some time following the date of the accident. That loss has been quantified, and is, in effect, admitted by the defendants. Accordingly, Mr. Kathuria is entitled to recover an award of damages to compensate him for that loss of income. That is in the amount of $9,984.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advances a second claim under this head, namely, that because of the delay to his course of study and embarkation upon his professional career, there was a quantifiable loss which he sustained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Upon reflection, I have chosen not to deal with this particular claim in this format. It is my view that the matter is more appropriately dealt with separately and I will do so in conjunction with the claim he has made for delay in entering his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his submissions are structured, Mr. Kathuria asks the Court to make an award of damages to compensate him for the delay in completing his medical studies and embarking upon his career. He also seeks an award that is in keeping with the usual loss of capacity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will deal with the delay of his medical career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essence of Mr. Kathuria's claim is that he planned to start his residency (internship) in June 2012. He says that as a result of the accident and the resultant delay in preparing for and completing the necessary steps leading to that, he is now projected to start his residency in June 2014, that is two years later. In support of this claim, he relies upon the evidence of an economist, Robert Carson. Mr. Carson has compared the present value of the future wages and benefits the plaintiff can expect to earn, assuming completion of medical school and commencement of residency in mid-2012, with the value of those wages and benefits if the plaintiff completed medical school and began residency one year later, in mid-2013. In his opinion, the present value of that difference, that is, the cost of a one year delay, is $212,800.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has also done a calculation to value a further year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submission of the plaintiff is that there has been a two year delay in his medical career because of the accident and that he is entitled to a compensatory award in the amount of $424,112.50 . As well, he seeks to recover an award in the amount of $38,700 to compensate him for the pre-trial delay in pursuing his profession. The grand total sought is $462,812.50.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take the position that there should be no award of damages granted for this particular claim because the plaintiff has not made out the necessary proof. They say that the plaintiff's injuries are not so extensive as to have had an appreciable impact upon his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course of analyzing this claim, reference must be had to the evidence of two witnesses called by the plaintiff, Mr. Gill and Mr. Bedi. Each of these are persons who have pursued a similar course of study, through Windsor School of Medicine and the subsequent related venues of training. At trial, each of them described careers that had, for the most part, moved along effectively and successfully. Each of them were, at time of trial, in positions significantly advanced as compared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are a number of considerations which impact upon this claim. First among those is my conclusion that the defendants are not liable for the effects of the plaintiff's right knee injury. Accordingly, to the extent that that can be meaningfully factored in, the matter of career delay must be considered in that light. In my view, when the matter is considered, but with that specific injury excluded from the analysis, the plaintiff's claim that the defendant's conduct has caused him a delay in excess of two years is not 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 second consideration which must be taken into account is that each of the persons that the plaintiff called and held out as comparable students are, in fact, quite materially different than Mr. Kathuria. Each of them had substantial related post-secondary education before they arrived at the Windsor program. Both of them were reasonably successful in the program. On the other hand, and intending no disrespect to Mr. Kathuria, he arrived at Windsor with no post-secondary academic experience whatsoever. The records which were tendered at trial indicted that he struggled quite significantly in terms of his academic pursuits at Windsor. That applies both with respect to his "pre-med" component and his substantive studies. Accordingly, I am not satisfied that the expected progress and success of Mr. Kathuria would track the experience of the other two students. The comparative approach that the plaintiff urges has very real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All that said, I accept that the injuries and their effect, as I have found them to be attributable to the defendants, did have some impact upon Mr. Kathuria's pursuit of his academic goals. I do not however, accept that the effect is of the magnitude that he asserts.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Obviously, this is not a matter which lends itself to calculation. It is very much a matter of assessment, based upon the totality of the evidence. Here, I have taken into account that Mr. Kathuria was, at the time of the accident, for his own reasons, committed to taking a period of time away from the active pursuit of his medical qualification, although he intended to continue to study on his own schedule over that time. I have also accepted that the injuries impacted meaningfully on his ability to do that. Of course, to the best extent I can, I must make the assessment without regard to the right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it is reasonable to conclude that the motor-vehicle accident and its effects delayed Mr. Kathuria's progress for approximately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Accordingly, the award of damages to which I find Mr. Kathuria entitled is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addition, Mr. Kathuria advances a claim under the more standard head of damages, that is a loss of capacity, relying upon the well-established line of authorities which have application to such claims in this province. Specifically, he relies upon the decision of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submission of the plaintiff is that, according to the evidence of Dr. Tarazi, Mr. Kathuria will experience chronic pain into the future, that he will have ongoing pain, disability, and future risk of knee surgeries, and that as a result, there is a real and substantial risk of future loss and down time from the practice of medicine. He also submits that his failure to pass his Step 1 examination on his first attempt will adversely affect his residency opportunities. He says that too is a loss which is significant and must be factored into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Relying upon a number of cases, Mr. Kathuria claims that he should be awarded the sum of $500,000 for "loss of a capital asset and/or loss of capacity to earn future income". His submission in support of that position is he has chronic pain in his left shoulder and low back, he has the increased risk of arthritis in his knee and is facing ACL surgery and time missed in the future for that surgery and the recovery post-surgery. He says as well he will not be able to sit for long periods and his ability to practice medicine in the future has been compromised by his chronic pain and compromised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note that the claim as it has been articulated and advanced by the plaintiff is premised upon the proposition that Mr. Kathuria will pursue a career as a medical doctor and there are no alternative scenarios included in the submissions. I will deal with the matter on that basis. That is in keeping with the jurisprudence from the Court of Appeal which establishes that the onus is on the plaintiff to prove the elements of the claim. The court will then attempt to quantify the financial harm to the plaintiff's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assessing the merit of this claim, I note that Dr. Tarazi testified that none of the injuries which he found present for Mr. Kathuria would meaningfully impact upon his ability to practice any particular branch or speciality of medicine. Furthermore, my assessment of this claim must take into account my conclusion that the right knee injury is not a matter for which the defendants are liable and so any consequence of that cannot form part of the basis for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my view, the claim as advanced simply is neither reasonable nor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accept that the consequences of the injuries which I find to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have some relatively minor implication for the plaintiff's earning capacity going forward -- presumably some soreness and discomfort that he will experience from time to time in the performance of his duties as a doctor. However, in my view, the value of that asset diminishment is quite modest. I consider that, even taken over the duration of his career an award of $100,000 will provide all of the compensation that the circumstances warrant. In arriving at that conclusion, I have taken into account the evidence that, because of the shoulder, low back and left knee injury, if he does not continue in the field of medicine and is required to find another occupation, there will be some restriction in that he would be limited to work in the category of light or medium, and that heavy lifting or tasks involving significant impact would not be suitable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claims $87,846 for future cost of care, which would cover rehabilitation services, medical equipment, medications, and knee surgery/replacement. A report written by occupational therapist, Edgar Emnacen was tendered in support of this claim. The report is based on the risks and recommendations made by Dr. Tarazi. Mr. Carson also prepared a report to assess the present value of the expenses, which accounts for treatments in Canada and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An award under this head of damage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30 A.C.W.S. (2d) 257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the plaintiff has established that some of the expenses listed are reasonably necessary, but not to the extent that he claims. Certain contingencies must be taken into account. For example, Dr. Tarazi opined that there is only a 10% chance that the plaintiff will need a knee replacement in the future if he develops osteoarthritis. The claim as advanced appears to have rested on the proposition that the plaintiff could expect to require knee replacements for each leg and that there would be a need for successive treatments. That does not accord with the conclusions I have taken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accept that there is proper basis to make some reasonable provision for Mr. Kathuria to have a modest amount of kineseologist counselling in conjunction with access to a fitness facility. I also agree that there is a basis to expect that there may be some need for anti-inflammatory medication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Taking into account the needs that I consider have been established and the probability that certain future events will occur, I find that the following awards will adequately promote the mental and physical health of the plaintiff by covering his future costs that are reasonably necessary: $4000 for treatments, including physiotherapy, the services of a kineseologist and access to fitness facilities; $500 for medications; and $2500 for the care of his left knee. That is a total of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also claims, under a separate head of damage, an award for loss of future housekeeping capacity. I am not satisfied that a basis for an award under such a head has been made out. Accordingly, I would deny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has filed a claim in the amount of $2,221.54 for special damages. The particulars of the claim are set out in detail in the schedule which was tendered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my conclusion that only a portion of the special damages are properly compensable. A number of receipts for attendance at Optimal Chiropractic are included; the dates of service are between August 4, 2009 and December 11, 2009. I am satisfied that those are related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Another group of claims are based on services received at Coastal Health Arts. I note that those treatments commenced on July 29, 2010 and ran through September 15, 2010. All of these services were provided after the right knee injury was incurred. I conclude that these services are related to that injury. Because I have found that the defendants are not liable for that injury, these are not sums that the plaintiff is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addition, there is a claim for the purchase of a knee brace. That, as I understand, relates to the right knee injury and accordingly it too will not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Finally, there are a variety of claims for mileage incurred in the course of attending for medical services. I am satisfied that the costs incurred to attend upon Optimal Chiropractic and to attend at the offices of Dr. Tarazi and Dr. Grypma are properly compensable under this head. The claim for 30 visits to Dr. Bhatti does not accord with the clinical records of his attendances there -- 11. No basis has been provided to explain why more than that should be recovered. The remainder of the sums claimed will not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total amount to be compensated under this head is $743.20.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the plaintiff has sustained injuries as a result of the motor-vehicle accident and he is entitled to be compensated. The awards of damages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$9,984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$743.20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$402,727.20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Unless there are considerations I should be made aware of, the plaintiff shall recover his costs of this action. If necessary, the parties are at liberty to make arrangements through the New Westminster Supreme Court Scheduling office to provide further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Ladas v. Apple Inc., [2014] B.C.J. No. 2429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August 1, 2014;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of the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22, 2014;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plaintiff, August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S112969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Elizabeth Ladas, Plaintiff, and Apple Inc., Defendant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6" w:name="Keywords_39"/>
      <w:bookmarkEnd w:id="376"/>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Sub-class — Pleadings — Institution of proceedings — Reasonable cause of action — Application by plaintiff for certification of class proceeding against Apple dismissed — Plaintiff alleged her privacy was breached because Apple's iOS4 recorded and stored location data on devices and that Apple's conduct was deceptive act or practice under Business Practice and Consumer Protection Act ("BPA")-- Plaintiff satisfied s. 4(1)(a) Class Proceedings Act requirement for claim under Privacy Act and similar legislation in three other provinces, but did not plead reasonable claim under BPA — Class definition included persons who would not have had claim — Proposed common issue was actually individual issue and another was drafted at high level of generality but was not common.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Information technology — Personal information and privacy — Data — Collection — Security — Protection of privacy — Civil liability — Privacy legislation — Private sector — Application by plaintiff for certification of class proceeding against Apple dismissed — Plaintiff alleged her privacy was breached because Apple's iOS4 recorded and stored location data on devices and that Apple's conduct was deceptive act or practice under Business Practice and Consumer Protection Act ("BPA")-- Plaintiff satisfied s. 4(1)(a) Class Proceedings Act requirement for claim under Privacy Act and similar legislation in three other provinces, but did not plead reasonable claim under BPA — Class definition included persons who would not have had claim — Proposed common issue was actually individual issue and another was drafted at high level of generality but was not common.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7" w:name="Case Summary_37"/>
            <w:bookmarkEnd w:id="3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certification of a class proceeding against the defendant, Apple Inc. The plaintiff's claims related to mobile communication and media devices using the "iOS4" operating system, and the "Location Services" capabilities of these devices. The plaintiff alleged that her privacy and the privacy of proposed class members was breached because Apple's iOS4 recorded and stored location data on the devices in unencrypted form over lengthy time periods and copied such data onto computers. The plaintiff alleged Apple's conduct was a deceptive act or practice under the Business Practice and Consumer Protection Act ("BPA"). The plaintiff sought aggravated damages due to sleepless nights, anxiety and emotional distress she experienced. The plaintiff sought to certify a class that included persons in British Columbia and Canada who purchased the devices using iOS4. Apple argued the requirements under s. 4(1) of the Class Proceedings Act ("CPA") were not met. Apple argued that the proposed class definition was too broad, the drafting was unacceptably ambiguous and the definition was not rationally connected to the proposed common issues. Further, Apple contended that a representative for the non-residents of British Columbia was not identified but should have been.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8" w:name="Holdings of Court_32"/>
            <w:bookmarkEnd w:id="37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certification hearing was used to assess whether an action could appropriately move forward as a class proceeding. The first requirement was that the pleadings disclosed a cause of action. Although the plaintiff satisfied the requirement under s. 4(1)(a) regarding her claim under the Privacy Act and similar legislation in three other provinces, and (for those provinces without such legislation) regarding her claim for intentional breach of privacy, she did not plead a reasonable claim under the BPA. Such claims were not novel causes of action; guidance regarding what needed to pleaded and proved was available. While the claim for breach of privacy under the Privacy Act (British Columbia) was not artful, it was sufficient. However, simply pleading a lengthy list of privacy legislation as a "legal basis" did nothing to advance the plaintiff's claim. There were no facts pleaded that made the Privacy Act (Canada) applicable to Apple, which was also true of the other provincial statutes in the pleading, other than Saskatchewan, Manitoba and Newfoundland and Labrador. With respect to the BPA claim, there was no allegation in the pleading that Apple was a "supplier," or that anyone's acquisition of a device was a "consumer transaction." These were defined terms in s. 1 of the BPA. One of the definitions of "consumer transaction" was "a supply of goods or services...by a supplier to a consumer for purposes that are primarily personal, family or household." The pleading was silent on whether the plaintiff's or any proposed class member's acquisition of the devices could be described in such a way. The plaintiff did not plead that Apple's conduct, which she alleged was a deceptive act or practice, caused her to do anything. There was no plea of a causal connection between Apple's contravention of the BPA and loss or damage the plaintiff would suffer. The plaintiff's pleading that she suffered sleepless nights, anxiety and emotional distress was not sufficient to support a claim for aggravated damages. The plaintiff did not satisfy the requirements under s. 4(1)(b) (identifiable class) and s. 4(1)(c) (common issues). With respect to the s. 4(1)(b) requirement, if the plaintiff wished to have a class defined to include non-residents and a non-resident sub-class certified, she needed to do more than what was done in the application. The class definition was too broad; it included persons who would not have had any claim, such as those persons who purchased a device but then gave the device to someone else. Those persons would not have used the Location Services. With respect to the s. 4(1)(c) requirement, an issue was drafted at a high level of generality so as to appear common, when it was not, and another sought to have an entitlement to aggravated damages certified, but this was an individual issue.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9" w:name="Legislation Cited_29"/>
      <w:bookmarkEnd w:id="3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Access to Information and Protection of Privacy Act, </w:t>
      </w:r>
      <w:hyperlink r:id="rId931" w:history="1">
        <w:r>
          <w:rPr>
            <w:rFonts w:ascii="arial" w:eastAsia="arial" w:hAnsi="arial" w:cs="arial"/>
            <w:i/>
            <w:color w:val="0077CC"/>
            <w:sz w:val="20"/>
            <w:u w:val="single"/>
            <w:shd w:val="clear" w:color="auto" w:fill="FFFFFF"/>
            <w:lang w:val="en-US" w:eastAsia="en-US" w:bidi="ar-SA"/>
          </w:rPr>
          <w:t>R.S.Y. 2002, 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Access to Information and Protection of Privacy Act, </w:t>
      </w:r>
      <w:hyperlink r:id="rId932" w:history="1">
        <w:r>
          <w:rPr>
            <w:rFonts w:ascii="arial" w:eastAsia="arial" w:hAnsi="arial" w:cs="arial"/>
            <w:i/>
            <w:color w:val="0077CC"/>
            <w:sz w:val="20"/>
            <w:u w:val="single"/>
            <w:shd w:val="clear" w:color="auto" w:fill="FFFFFF"/>
            <w:lang w:val="en-US" w:eastAsia="en-US" w:bidi="ar-SA"/>
          </w:rPr>
          <w:t>S.N.L. 2002, c. A-1.1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Access to Information and Protection of Privacy Act, </w:t>
      </w:r>
      <w:hyperlink r:id="rId933" w:history="1">
        <w:r>
          <w:rPr>
            <w:rFonts w:ascii="arial" w:eastAsia="arial" w:hAnsi="arial" w:cs="arial"/>
            <w:i/>
            <w:color w:val="0077CC"/>
            <w:sz w:val="20"/>
            <w:u w:val="single"/>
            <w:shd w:val="clear" w:color="auto" w:fill="FFFFFF"/>
            <w:lang w:val="en-US" w:eastAsia="en-US" w:bidi="ar-SA"/>
          </w:rPr>
          <w:t>S.N.W.T. 1994, c.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 Act Respecting the Protection of Personal Information in the Private Sector, R.S.Q. c. P-39.1,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hyperlink r:id="rId934" w:history="1">
        <w:r>
          <w:rPr>
            <w:rFonts w:ascii="arial" w:eastAsia="arial" w:hAnsi="arial" w:cs="arial"/>
            <w:i/>
            <w:color w:val="0077CC"/>
            <w:sz w:val="20"/>
            <w:u w:val="single"/>
            <w:shd w:val="clear" w:color="auto" w:fill="FFFFFF"/>
            <w:lang w:val="en-US" w:eastAsia="en-US" w:bidi="ar-SA"/>
          </w:rPr>
          <w:t>SBC 2004, CHAPTER 2, s 1</w:t>
        </w:r>
      </w:hyperlink>
      <w:r>
        <w:rPr>
          <w:rFonts w:ascii="arial" w:eastAsia="arial" w:hAnsi="arial" w:cs="arial"/>
          <w:color w:val="000000"/>
          <w:sz w:val="20"/>
          <w:lang w:val="en-US" w:eastAsia="en-US" w:bidi="ar-SA"/>
        </w:rPr>
        <w:t>, s. 4, s. 4(1), s. 4(1), s. 4(1), s. 4(1), s. 4(1), s. 4(2), s. 5, s. 5(1), s. 5(2), s. 171, s. 171(1), s. 171(1)(a), s. 172, s. 172(1), s. 172(1)(a), s. 172(1)(b)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18"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 s. 4(1), s. 4(1)(a), s. 4(1)(b), s. 4(1)(c), s. 4(1)(d), s. 4(1)(e), s. 4(1)(e)(i), s. 4(1)(e)(ii), s. 4(1)(e)(iii), s. 4(2), s. 4(2) (a), s. 4(2)(b), s. 4(2)(c), s. 4(2)(d), s. 4(2)(e)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935" w:history="1">
        <w:r>
          <w:rPr>
            <w:rFonts w:ascii="arial" w:eastAsia="arial" w:hAnsi="arial" w:cs="arial"/>
            <w:i/>
            <w:color w:val="0077CC"/>
            <w:sz w:val="20"/>
            <w:u w:val="single"/>
            <w:shd w:val="clear" w:color="auto" w:fill="FFFFFF"/>
            <w:lang w:val="en-US" w:eastAsia="en-US" w:bidi="ar-SA"/>
          </w:rPr>
          <w:t>R.S.O. 1990, c. F.31, s. 1</w:t>
        </w:r>
      </w:hyperlink>
      <w:r>
        <w:rPr>
          <w:rFonts w:ascii="arial" w:eastAsia="arial" w:hAnsi="arial" w:cs="arial"/>
          <w:color w:val="000000"/>
          <w:sz w:val="20"/>
          <w:lang w:val="en-US" w:eastAsia="en-US" w:bidi="ar-SA"/>
        </w:rPr>
        <w:t>, s. 1(a), s. 1(a)(i), s. 1(a)(ii), s. 1(a) (iii), s. 1(b), s. 2(1), s. 2(1), s. 2(1), s. 2(1), s. 2(1),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Freedom of Information and Protection of Privacy Act, R.S.P.E.I. c., F-15.01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936" w:history="1">
        <w:r>
          <w:rPr>
            <w:rFonts w:ascii="arial" w:eastAsia="arial" w:hAnsi="arial" w:cs="arial"/>
            <w:i/>
            <w:color w:val="0077CC"/>
            <w:sz w:val="20"/>
            <w:u w:val="single"/>
            <w:shd w:val="clear" w:color="auto" w:fill="FFFFFF"/>
            <w:lang w:val="en-US" w:eastAsia="en-US" w:bidi="ar-SA"/>
          </w:rPr>
          <w:t>S.N.S. 1993, c. 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CHAPTER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Nunavut Act, </w:t>
      </w:r>
      <w:hyperlink r:id="rId937" w:history="1">
        <w:r>
          <w:rPr>
            <w:rFonts w:ascii="arial" w:eastAsia="arial" w:hAnsi="arial" w:cs="arial"/>
            <w:i/>
            <w:color w:val="0077CC"/>
            <w:sz w:val="20"/>
            <w:u w:val="single"/>
            <w:shd w:val="clear" w:color="auto" w:fill="FFFFFF"/>
            <w:lang w:val="en-US" w:eastAsia="en-US" w:bidi="ar-SA"/>
          </w:rPr>
          <w:t>S.C. 1993 c. 28, s. 29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Personal Information Protection Act, S.A. 2003. c. P-6.5,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Privacy Act, C.C.S.M. 1987, c. P-125,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938" w:history="1">
        <w:r>
          <w:rPr>
            <w:rFonts w:ascii="arial" w:eastAsia="arial" w:hAnsi="arial" w:cs="arial"/>
            <w:i/>
            <w:color w:val="0077CC"/>
            <w:sz w:val="20"/>
            <w:u w:val="single"/>
            <w:shd w:val="clear" w:color="auto" w:fill="FFFFFF"/>
            <w:lang w:val="en-US" w:eastAsia="en-US" w:bidi="ar-SA"/>
          </w:rPr>
          <w:t>RSBC 1996, CHAPTER 373, s. 1</w:t>
        </w:r>
      </w:hyperlink>
      <w:r>
        <w:rPr>
          <w:rFonts w:ascii="arial" w:eastAsia="arial" w:hAnsi="arial" w:cs="arial"/>
          <w:color w:val="000000"/>
          <w:sz w:val="20"/>
          <w:lang w:val="en-US" w:eastAsia="en-US" w:bidi="ar-SA"/>
        </w:rPr>
        <w:t>, s. 1(1), s. 1(2), s. 1(3), s. 1(4), s. 2, s. 2(1), s. 2(1), s. 2(1), s. 2(2), s. 2(2)(a), s. 2(2)(b), s. 2(2)(c), s. 2(2)(d), s. 2(2)(d)(i), s. 2(2)(d)(ii), s. 2(3), s. 2(3)(a), s. 2(3)(b),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939" w:history="1">
        <w:r>
          <w:rPr>
            <w:rFonts w:ascii="arial" w:eastAsia="arial" w:hAnsi="arial" w:cs="arial"/>
            <w:i/>
            <w:color w:val="0077CC"/>
            <w:sz w:val="20"/>
            <w:u w:val="single"/>
            <w:shd w:val="clear" w:color="auto" w:fill="FFFFFF"/>
            <w:lang w:val="en-US" w:eastAsia="en-US" w:bidi="ar-SA"/>
          </w:rPr>
          <w:t>R.S.C. 1985, c. P-21,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Privacy Act, R.S.N.L.1990. c. P-22,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940" w:history="1">
        <w:r>
          <w:rPr>
            <w:rFonts w:ascii="arial" w:eastAsia="arial" w:hAnsi="arial" w:cs="arial"/>
            <w:i/>
            <w:color w:val="0077CC"/>
            <w:sz w:val="20"/>
            <w:u w:val="single"/>
            <w:shd w:val="clear" w:color="auto" w:fill="FFFFFF"/>
            <w:lang w:val="en-US" w:eastAsia="en-US" w:bidi="ar-SA"/>
          </w:rPr>
          <w:t>R.S.S. 1978, c. P-24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Personal Information Act, S.N.B. 1998, c. P-19.1,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11-(2)2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0" w:name="Counsel_41"/>
      <w:bookmarkEnd w:id="3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Galambos and George Douvelos.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Jill Yates and Alexandra Cocks.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1" w:name="Judgment_41"/>
      <w:bookmarkEnd w:id="381"/>
      <w:r>
        <w:pict>
          <v:line id="_x0000_s1229"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0" type="#_x0000_t75" style="width:432.06pt;height:376.55pt">
            <v:imagedata r:id="rId941"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2" w:name="E.J. ADAIR J."/>
            <w:bookmarkEnd w:id="382"/>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Amanda Ladas, seeks certification of a class proceeding against the defendant, Apple Inc., in relation to mobile communication and media devices that use an operating system described as "iOS4." The devices in issue are the iPhone 4, iPad, iPod, iPhone 3G and iPhone 3GS. I will refer to these as the "iDevices." The plaintiff's claims concern the "Location Services" capabilities of iDevices using the iOS4 operating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Ladas alleges that Apple designed and produced iOS4 so as to record and store locational data on iDevices in unencrypted form, for long periods of time, and to copy the unencrypted data onto computers when iDevices were being synchronized. The plaintiff says that, as a result, her privacy, and the privacy of proposed class members, has been breached. She says in addition that Apple's conduct constitutes a deceptive act or practice under the </w:t>
      </w:r>
      <w:r>
        <w:rPr>
          <w:rFonts w:ascii="arial" w:eastAsia="arial" w:hAnsi="arial" w:cs="arial"/>
          <w:b/>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certification of a class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in British Columbia and elsewhere in Canada who have purchased an iPhone 4, iPad or iPod as well as iPhone 3G and iPhone 3GS that utilizes the software operating system known as iOS4.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Apple says that none of the requirements under s. 4(1)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has been satisfied, and, accordingly, the certification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evidence filed in support of the certification application included:</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affidavits sworn by her (and on which she was cross-examined);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affidavits sworn by persons whom the plaintiff is tendering as experts to provide opinion evidence: Mr. Francis Graf, Dr. Kim Rossmo, Mr. Eric Smith and Dr. Michael Elterman.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opposition to the certification application, Apple filed an affidavit from Mr. Mark Buckley, a legal finance manager at Apple, and two affidavits from Mr. Ronald Huang, a senior engineering manager in the iOS group at Apple. Mr. Huang describes at some length iDevices and the iOS operating system (including the various versions of iOS4 and new versions after iOS4) and how the "Location Services" feature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Apple objects to the admissibility on the certification application of all of the affidavits of the plaintiff's experts. Dr. Elterman's affidavit (which purported to provide opinion evidence on the question of informed consent) was withdrawn at the hearing, and so I will not discuss it further. I will discuss the objections to the other affidavits after reviewing some of the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Ladas is an administrative assistant. She says that in December 2010, she and her young son both received an iPod Touch as Christmas gifts. She says further that in April 2011, she purchased an iPhone 4. Ms. Ladas explained her reason for purchasing the iPhone was that, although she had been a Blackberry user, her office moved to the iPhone. She did not recall where she purchased her iPhone, but she believed it was at the Apple Store in Richmond B.C. I will refer to all three devices as Ms. Ladas's "iDevices."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Ladas says that her iDevices all "utilize a software operating system known as iOS4." She says that when she purchased her iPhone4, the customer representative set it up for her. Ms. Ladas did not recall asking the representative any questions about privacy, functions or geolocation, and she did not recall any conversation about whether she wanted Location Services on or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Huang describes in detail, from his perspective as an Apple engineer, how Location Services works. He says, for example, that Location Services uses location information obtained from the iDevice's GSP chip (if available) and location information about nearby Wi-Fi hotspots and cell tower locations, to determine the iDevice's location. He says that when a user chooses to use, and consents to run, a "Location-Aware App or Service," that App or service must request the iDevice's location from Location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Huang says that, before an iDevice's approximate location may be provided to an App or service, the Location Services setting on the user's iDevice must be turned "on," and the user must "affirmatively consent" to permit the App or other service to access the location data. Mr. Buckley says further that every time a user updates the version of iOS running on the user's iDevice, the user is prompted to decide whether the user wants to use Location Services by accepting the terms of Apple's software licensing agreement. Apple relies on users taking such steps in its defence of the plaintiff's claims. The legal effect of a user clicking on "consent" or "allow" or "ok" or "I agree" would be an issue on the merits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Huang says that, through the ''Location Services'' toggle switch of the user's iDevice, Apple provides individual users with the ability to control the Location Services capabilities of their iDevices. He says that every user may, at any time, move the switch on the Location Services menu on the iDevice to "off," and this immediately terminates any use of Location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Ladas says she actively used her iDevices and backed up their contents to her desktop computer. Ms. Ladas recalled that she updated the software on her iPhone when she was prompted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Ladas says that, after she started using her iDevices, she read various reports on the Internet that alleged that Apple "was tracking my whereabouts through my iDevices." Although Ms. Ladas could not recall doing so, she believed that, as a result of reading these reports, if she had been prompted about Location Services when updating the software on her iDevice, she would have turned Location Services off. She says that she also read that "this information was stored in unencrypted form in my iDevices and on any computers that I backed them up to, and could easily be accessed by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Ladas says that as a mother of two young children she became concerned about the safety and security of her family.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appreciate that, without my permission, anyone can find out where I have been. I consider my and my family's comings and goings personal, private and sensitive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cross-examination, Ms. Ladas was asked what she meant by her statement that "anyone can find out where I have been." She explained that she drew this conclusion from reading the expert reports, in particular Mr. Graf's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Ladas says that, when she and her son activated their iPod Touch devices, and when she purchased, activated and started using her iPhone 4, they did not consent to having their location-based information tracked, collected and stored. Although she does not say so expressly, the implication of Ms. Ladas's evidence is that she turned Location Services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Ladas filed this action on May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Ladas has not used or had possession of her iPhone 4 or her iPod Touch since she delivered them to Mr. Derek Ho of Totally Connected Security Forensics Limited on May 9, 2011. Ms. Ladas says that she met further with Mr. Ho on August 4, 2011 so that he could "image" her desktop computer. Mr. Ho has provided an affidavit describing what he did with Ms. Ladas's iPhone 4 and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Ladas says that in April 2012, she reviewed a "Google Map," which is part of the expert report prepared by Mr. Graf. Ms. Ladas says that, based on her review of the Google Map, "I confirm that I was 'located', and tracked and recorded by my iPhone" at a number of addresses. Ms. Ladas says that her understanding is that Mr. Graf obtained the information reproduced on the "Google Map" from her iPhone, not from Apple.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Ladas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offended and disappointed to see my precise whereabouts appear on this "Google Map", as Apple Inc. has reassured the public that it "is not tracking the location of your iPhone. Apple has never done so and has no plans to ever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Ladas attaches a copy of an Apple press release to this effect as part of Exhibit "B" to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Huang explains the background to this press release. He says that, because of an "unintended bug" in iOS software versions 4.0 to 4.3.2, collection of location information on a user's iDevice might occur if a user launched certain Location-Aware apps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if numerous other conditions were met"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in original), even if Location Services was "off." He says that Apple did not discover this bug until approximately April 24, 2011, when it was investigating claims in a media article. Mr. Huang was personally involved in the investigation and discovery of the bug, and on April 27, 2011, Apple published on its website the document attached as Exhibit "B" to Ms. Ladas's affidavit. Mr. Huang says that on May 4, 2011, Apple made a free iOS update (version 4.3.3) available that resolved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Huang's explanation of the bug might explain why location data would be found on Ms. Ladas's iPhone even if she had turned Location Services "off," although she also says that she did not download or use any location-based Apps or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Ladas says that, based on her personal experiences (as described in her affidavit), she believes that she would fairly and adequately represent the interests of the proposed class. With respect to the potential class size, Ms. Ladas says that she has read and heard in the media estimates that the number of iDevice users with the iOS4 operating system is between two and seven million. Ms. Ladas attaches some sample pages from Internet sites, estimating numbers of users of the iPod Touch and iPhone 4, as Exhibit "C" to her affidavit. However, the articles do not say anything about the operating system used by the devices. Based on the proposed class description, the class would be limited to those persons having iDevices using the iOS 4 operating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Huang also addresses potential class size. He summarizes the various versions of the iOS 4 operating system and when they became publicly available. There are a total of 18 versions (numbered 4.0 to 4.3.5), released over a period from June 21, 2010 to July 25, 2011. On October 12, 2011, a new operating system, iOS 5.0, was released. As of September 2013, the current version of iOS was iOS 6.1.4.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Huang says that each version update of iOS 4 was available for the iDevice user by connecting her iDevice to her own personal computer while the computer was connected to the Internet, if the user had installed iTunes to that computer and had authorized it to synchronize with her iDevice.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Huang goes on to say that whether iOS 4 is the operating system used by any of the iDevices in issue in this action will depend on: (a) the type and generation of the iDevice; (b) when the iDevice was purchased, since Apple and its distributors only sell devices with the then-current version of iOS; and (c) whether and when the user updated iOS on the iDevice.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Mr. Huang, a user who purchased an iPhone 4 in B.C. with iOS 4.0 would only still be operating iOS 4.0 in the summer of 2013 if the user had refused to or avoided ever updating iOS on her iPhone, despite notifications through iTunes and on the iOS Device itself of the availability of each iOS 4.0 update. Mr. Huang says that, as of September 2013, if the user of an iPhone 4 purchased in B.C. had updated iOS, she could be using any version from iOS 4.0.1 to iOS 6.1.4, inclusive, depending on her own decision-making as to which iOS version updates she chose to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note that Mr. Huang's evidence concerning software updates is confirmed by Mr. Graf (see p. 10, para. 7 of his report). In order to avoid updating the software, a user must "cancel" the request. That is what Mr. Graf had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Huang does not say that the operating system currently being used by an iDevice -- and whether it is iOS 4 or some other, later version -- cannot be determined. Based on the evidence, I conclude that in fact it can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Objections to the Plaintiff's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Apple raises a number of objections to the admissibility of the affidavits of Dr. Rossmo, Mr. Graf and Mr. Smith. Each has prepared a report (attached as an exhibit to the expert's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main objection is that none of these affidavits is relevant to the issues on the certification application, but goes to the merits of the claims made by Ms. Ladas. I note that Ms. Ladas's own evidence supports this view of these affidavits, since she says in her Affidavit No. 2:</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counsel has collected the necessary evidence to make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defendant. This includes the expert reports of Francis Graf, Kim Rossmo, Eric Smith and Michael Elterman.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address Dr. Rossmo's report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Rossmo was tendered as an expert in geographic profiling and investigations. He has an impressive résumé, and is the author of a number of books, book chapters and scholarly papers. In his report, he states that he was asked to "prepare a report setting out the possible uses, misuses and ramifications related to and arising from the collection and storage of locational and other data on Apple smart devices . . . . This opinion relates to the issue of damages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Rossmo concludes his report with these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Smart phones provide great functionality and utility. However, by the very use of this wide-ranging functionality, an individual reveals much about their personal preferences, choices, and behaviours. This information must be protected and a user's privacy maintained.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1984, the world was introduced to the Apple Macintosh computer by a now famous Super Bowl commercial which depicted a female heroine resisting the tyranny of Big Brother. In George Orwell's dystopian novel, Big Brother was the omniscient head of a totalitarian government. In 2012, we must be careful that Big Business does not take the place of Big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Rossmo's report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Insofar as it addresses "damages," or the damage that potentially might result from an unlawful breach of privacy or surveillance of an individual, Dr. Rossmo's report is not relevant to the issues the court must address on the certification application. At this point, the court is concerned only with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of the action, not the merits of the claims: see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at para. 16. Dr. Rossmo's report is neither necessary nor helpful in addressing the certification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express no opinion on whether Dr. Rossmo's report would meet the criterion of necessity, or the other criteria for admissibility, set out in the leading case of </w:t>
      </w:r>
      <w:r>
        <w:rPr>
          <w:rFonts w:ascii="arial" w:eastAsia="arial" w:hAnsi="arial" w:cs="arial"/>
          <w:b/>
          <w:i/>
          <w:color w:val="000000"/>
          <w:sz w:val="20"/>
          <w:lang w:val="en-US" w:eastAsia="en-US" w:bidi="ar-SA"/>
        </w:rPr>
        <w:t>R. v. Mohan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in relation to the merits of the plaintiff's claims. However, one might well question whether any opinion evidence on the potential dangers and the harm that can result from loss of privacy and loss of control of personal information is necessary. In </w:t>
      </w:r>
      <w:r>
        <w:rPr>
          <w:rFonts w:ascii="arial" w:eastAsia="arial" w:hAnsi="arial" w:cs="arial"/>
          <w:b/>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2014 BCSC 953</w:t>
        </w:r>
      </w:hyperlink>
      <w:r>
        <w:rPr>
          <w:rFonts w:ascii="arial" w:eastAsia="arial" w:hAnsi="arial" w:cs="arial"/>
          <w:color w:val="000000"/>
          <w:sz w:val="20"/>
          <w:lang w:val="en-US" w:eastAsia="en-US" w:bidi="ar-SA"/>
        </w:rPr>
        <w:t xml:space="preserve">, for example, Madam Justice Griffin discusses (at paras. 97 and following) the public interest in protecting privacy and the origins of legislation such as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Moreover, although Dr. Rossmo's report contains the certification required by Rule 11-2(2) of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the report is replete with advocacy and argument. Dr. Rossmo does not provide a balanced discussion of issues relevant to whether this action should be certified as a class proceeding. Rather, he argues forcefully for a particular point of view, essentially as an advocate for the protection of privacy. Advocacy -- even in support of a worthy cause -- is not the role of an independent expert. The prejudicial effect of Dr. Rossmo's report far outweighs its probative value, given the issues I have to decide on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turn next to Mr. Graf's affidavit and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Graf states his occupation as a "digital forensics examiner." According to his CV, he is the founder and the former president and chief executive officer of Forensic Data Recovery Inc., a former police officer and (as of the date of his report) was a special constable with the Victoria Police Department. His academic credentials include a Master of Arts in psychology from the University of Victoria, and he has a substantial number of publications and presentations to his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his report, Mr. Graf says (at pp. 3-4;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Instructions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instructed to provide my expert opinion on what, if any, location based data is stored on devices sold in Canada by Apple Inc., running the iOS4x operating system and whether or not any of that data is transferred to any computer connected to such devices when the devices are backed up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Nature of Opinion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understand that my opinion is being sought </w:t>
      </w:r>
      <w:r>
        <w:rPr>
          <w:rFonts w:ascii="arial" w:eastAsia="arial" w:hAnsi="arial" w:cs="arial"/>
          <w:color w:val="000000"/>
          <w:sz w:val="20"/>
          <w:u w:val="single"/>
          <w:lang w:val="en-US" w:eastAsia="en-US" w:bidi="ar-SA"/>
        </w:rPr>
        <w:t>to assist the Court in determining whether or not iOS4x functions in breach of users' privacy and security rights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Factual 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assumed that the exhibits ("Exhibits") examined by me [Mritchie's iPhone, delivered to him by Megan Ritchie; iphone3gs, delivered to him by Rahiman Sutter; and Mommy's iPhone4, a backup file created from Ms. Ladas's iPhone] and their associated backup files </w:t>
      </w:r>
      <w:r>
        <w:rPr>
          <w:rFonts w:ascii="arial" w:eastAsia="arial" w:hAnsi="arial" w:cs="arial"/>
          <w:color w:val="000000"/>
          <w:sz w:val="20"/>
          <w:u w:val="single"/>
          <w:lang w:val="en-US" w:eastAsia="en-US" w:bidi="ar-SA"/>
        </w:rPr>
        <w:t>are a representative sample of devices</w:t>
      </w:r>
      <w:r>
        <w:rPr>
          <w:rFonts w:ascii="arial" w:eastAsia="arial" w:hAnsi="arial" w:cs="arial"/>
          <w:color w:val="000000"/>
          <w:sz w:val="20"/>
          <w:lang w:val="en-US" w:eastAsia="en-US" w:bidi="ar-SA"/>
        </w:rPr>
        <w:t xml:space="preserve"> sold in Canada by Apple Inc. that run on iOS4x and the associated backup files are a representative sample of backup files that relate do these devices and </w:t>
      </w:r>
      <w:r>
        <w:rPr>
          <w:rFonts w:ascii="arial" w:eastAsia="arial" w:hAnsi="arial" w:cs="arial"/>
          <w:color w:val="000000"/>
          <w:sz w:val="20"/>
          <w:u w:val="single"/>
          <w:lang w:val="en-US" w:eastAsia="en-US" w:bidi="ar-SA"/>
        </w:rPr>
        <w:t>that, therefore, my findings are representative of findings expected</w:t>
      </w:r>
      <w:r>
        <w:rPr>
          <w:rFonts w:ascii="arial" w:eastAsia="arial" w:hAnsi="arial" w:cs="arial"/>
          <w:color w:val="000000"/>
          <w:sz w:val="20"/>
          <w:lang w:val="en-US" w:eastAsia="en-US" w:bidi="ar-SA"/>
        </w:rPr>
        <w:t xml:space="preserve"> on other Apple Inc. devices sold in Canada that run on the same iOS4x and their backup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Graf's description of the nature of the opinion sought -- in other words, the issue he was asked to address -- makes it clear that his opinion goes to the merits of the claims in the action. However, these are not relevant on the certification application. Whether "the claims of the class members raise common issues" </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relevant on the certification application. However, Mr. Graf has simply made an assumption that the items he examined are "a representative sample," so his opinions cannot assist in addressing the issues relevant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Graf's report is inadmissible because it is not relevant to the issues I have to decide on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Smith states his occupation as "Information Security, Networking and Systems Administration Professional." According to his report, his areas of expertise include information network design, information security and analysis of electronic data transmissions.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"Instructions Provided and Nature of Opinion Sought," Mr. Smith says (at p. 4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asked to prepare a report describing the methods by which the physical location of an iOS4 device could be shared with outside parties including Apple Corporation as it related to the report prepared by Francis Graf in connection with the Plaintiff's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Under "Assumptions," Mr. Smith says (at p. 4;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report assumes an unmodified Apple smart device running the iOS4x operating system is used </w:t>
      </w:r>
      <w:r>
        <w:rPr>
          <w:rFonts w:ascii="arial" w:eastAsia="arial" w:hAnsi="arial" w:cs="arial"/>
          <w:color w:val="000000"/>
          <w:sz w:val="20"/>
          <w:u w:val="single"/>
          <w:lang w:val="en-US" w:eastAsia="en-US" w:bidi="ar-SA"/>
        </w:rPr>
        <w:t>in a routine fashion by its owner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the only assumption expressly stated as such in Mr. Smith's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 28 of his report, Mr. Smith says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"In this phase of the investigation, the communications between the iOS4 device and remote servers was studied while simulating </w:t>
      </w:r>
      <w:r>
        <w:rPr>
          <w:rFonts w:ascii="arial" w:eastAsia="arial" w:hAnsi="arial" w:cs="arial"/>
          <w:color w:val="000000"/>
          <w:sz w:val="20"/>
          <w:u w:val="single"/>
          <w:lang w:val="en-US" w:eastAsia="en-US" w:bidi="ar-SA"/>
        </w:rPr>
        <w:t>routine user interaction and use</w:t>
      </w:r>
      <w:r>
        <w:rPr>
          <w:rFonts w:ascii="arial" w:eastAsia="arial" w:hAnsi="arial" w:cs="arial"/>
          <w:color w:val="000000"/>
          <w:sz w:val="20"/>
          <w:lang w:val="en-US" w:eastAsia="en-US" w:bidi="ar-SA"/>
        </w:rPr>
        <w:t xml:space="preserve"> of the iOS4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inescapable conclusion is that Mr. Smith has made assumptions about what the "routine fashion" and "routine use" are, but he has not disclosed his assumptions in the report. At best, and like Mr. Graf did, Mr. Smith has simply assumed things are "routine" (without telling me what he means by that) or representative. As a result, his opinions cannot assist me in dealing with the issues relevant to certification. And like Mr. Graf, Mr. Smith has (because he was asked to) provided an opinion going to the merits of the claims. Mr. Smith's "Addendum" (attached as an exhibit to his Affidavit No. 2) suffers from the same flaws.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Mr. Smith's opinions and reports are inadmissible because they are not relevant to the issues I have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Apple has objected to Dr. Rossmo's, Mr. Graf's and Mr. Smith's reports on other grounds, in addition to relevance. For example, Apple says that none of them complies with Rule 11-6. With respect to Mr. Smith's Addendum, Apple says that it is not proper reply evidence, is argument and advocacy disguised as opinion and states many conclusions without any factual foundation. However, because I have concluded that the evidence of these experts is inadmissible because it is irrelevant, I do not find it necessary to address these other objections. I express no opinion on whether any of these reports, in their current form, would be admissible on a hearing addressing the merits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The Certification Requirements --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After almost two decades of experience with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and as Madam Justice Kirkpatrick observed in </w:t>
      </w:r>
      <w:r>
        <w:rPr>
          <w:rFonts w:ascii="arial" w:eastAsia="arial" w:hAnsi="arial" w:cs="arial"/>
          <w:b/>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at para. 3, certain issues have been settled and guiding principles have emerged concerning the approach to and disposition of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provisions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should be construed generously in order to achieve its objects: judicial economy (by combining similar actions and avoiding unnecessary duplication in fact-finding and legal analysis); access to justice (by spreading litigation costs over a large number of plaintiffs, thereby making economical the prosecution of otherwise unaffordable claims); and behaviour modification (by deterring wrongdoers and potential wrongdoers through disabusing them of the assumption that minor but widespread harm will not result in litigation). See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at paras. 26-29, and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Courts are not to take an overly restrictive approach to the legislation, but are to interpret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in a way that gives full effect to the benefits foreseen by the drafters: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I noted above, the certification hearing does not involve an assessment of the merits of the claim. Rather, it focuses on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of the action in order to determine whether the action can appropriately go forward as a class proceeding.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16, and </w:t>
      </w:r>
      <w:r>
        <w:rPr>
          <w:rFonts w:ascii="arial" w:eastAsia="arial" w:hAnsi="arial" w:cs="arial"/>
          <w:b/>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at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burden is on the plaintiff to show "some basis in fact" for each of the certification requirements, other than the requirement that the pleadings disclose a cause of action: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25. In conformity with the liberal and purposive approach to certification, the evidentiary burden is not an onerous one: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at paras. 21,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Nevertheless, the evidence must meet the usual criteria for the admissibility of evidence, as a relaxation of the usual rules would not seem consonant with the policy implicit in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that some judicial scrutiny of certification applications is desirable: see </w:t>
      </w:r>
      <w:r>
        <w:rPr>
          <w:rFonts w:ascii="arial" w:eastAsia="arial" w:hAnsi="arial" w:cs="arial"/>
          <w:b/>
          <w:i/>
          <w:color w:val="000000"/>
          <w:sz w:val="20"/>
          <w:lang w:val="en-US" w:eastAsia="en-US" w:bidi="ar-SA"/>
        </w:rPr>
        <w:t>Ernewein v. General Motors of Canada</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31.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Mr. Justice Rothstein noted (at para. 103) that "it is worth reaffirming the importance of certification as a meaningful screening device," and stated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sufficient facts to satisfy the applications judge that the conditions for certification have been met to a degree that should allow the matter to proceed on a class basis without foundering at the merits stage by reason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not having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Do the plaintiff's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first requirement is that the pleadings disclose a cause of action. This requirement is assessed on the same standard of proof that applies to a motion to dismiss, as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 plaintiff satisfies this requirement unless, assuming all facts pleaded to be true (unless they are patently unreasonable or incapable of proof), it is plain and obvious that the plaintiff's claim cannot succeed. See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at para. 63 and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at paras. 26 and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burden is on the plaintiff to show that the pleadings disclose a cause of action. If, on the pleadings, there is no legal claim, then there is no utility in a class (or any) proceeding: see </w:t>
      </w:r>
      <w:r>
        <w:rPr>
          <w:rFonts w:ascii="arial" w:eastAsia="arial" w:hAnsi="arial" w:cs="arial"/>
          <w:b/>
          <w:i/>
          <w:color w:val="000000"/>
          <w:sz w:val="20"/>
          <w:lang w:val="en-US" w:eastAsia="en-US" w:bidi="ar-SA"/>
        </w:rPr>
        <w:t>MacFarlane v. United Parcel Service Canada Ltd.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2010 BCCA 171</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Galambos submits that, for purposes of s. 4(1)(a), pleadings must be read generously with a view to accommodating any inadequacies in the form of the allegations owing to drafting deficiencies. He submits further that, where an inadequacy in a pleading can be rectified by an amendment, the court will not dismiss the certification application, "but will generously read the pleadings to accommodate the inadequacy," and that "where an essential element of a claim is not pleaded, the court will infer the necessary elements of the claim for purposes of the certification application." Mr. Galambos cites </w:t>
      </w:r>
      <w:r>
        <w:rPr>
          <w:rFonts w:ascii="arial" w:eastAsia="arial" w:hAnsi="arial" w:cs="arial"/>
          <w:b/>
          <w:i/>
          <w:color w:val="000000"/>
          <w:sz w:val="20"/>
          <w:lang w:val="en-US" w:eastAsia="en-US" w:bidi="ar-SA"/>
        </w:rPr>
        <w:t>Collette v. Great Pacific Management Co.</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2001 BCSC 237</w:t>
        </w:r>
      </w:hyperlink>
      <w:r>
        <w:rPr>
          <w:rFonts w:ascii="arial" w:eastAsia="arial" w:hAnsi="arial" w:cs="arial"/>
          <w:color w:val="000000"/>
          <w:sz w:val="20"/>
          <w:lang w:val="en-US" w:eastAsia="en-US" w:bidi="ar-SA"/>
        </w:rPr>
        <w:t>, at para. 36, in support of these latter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do not agree with Mr. Galambos that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provides support for such a low bar. What Mr. Justice Macaulay in fact says at para. 36 of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principles to be applied in determining whether pleadings support a cause of action were reviewed in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165. I summarize them here: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allegations of fact, unless patently ridiculous or incapable of proof, must be accepted as proved;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plain and obvious beyond doubt that the plaintiffs could not succeed;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of the cause of action will not militate against the plaintiffs; and</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must be read as generously as possible, with a view to accommodating any drafting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do not see this summary as providing support for the proposition that a failure to plead a material fact, necessary to state a complete cause of action, is something that can be overlooked, or for the proposition that, in the absence of a pleading of a material fact, the court will "infer" what it not there. The causes of action advanced by the plaintiff here -- breach of privacy and claims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 are not novel causes of action. There is considerable guidance in the case law relating to what must be pleaded and proved. The consequence of failing to plead a material fact, necessary to state a complete cause of action, is that no reasonable claim has been pleaded: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are circumstances where the court may be prepared to consider a proposed amended pleading. However, apart from some clarifications made during oral submissions, the plaintiff here has not put forward any proposed amended notice of civil claim in response to Apple's attack on the sufficiency of her pleading. Rather, that plaintiff's position is that the amended notice of civil claim filed June 14, 2011 (the "NCC") satisfies the requirements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Apple says that the NCC is deficient in a number of respects. Ms. Cocks submits that it fails to state any reasonable claim in tort for breach of privacy or for negligent breach of privacy. She submits that it fails to state any reasonable claim under either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xml:space="preserve">") or the many provincial statutes pleaded in the "Legal Basis," and also fails to state any reasonable claim under the </w:t>
      </w:r>
      <w:r>
        <w:rPr>
          <w:rFonts w:ascii="arial" w:eastAsia="arial" w:hAnsi="arial" w:cs="arial"/>
          <w:b/>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Ms. Cocks submits that the NCC fails to state any reasonable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Finally, she submits that it fails to state any reasonable claim for aggravated damages.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breach of privacy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pleads the following in "Part 1: Statement of Facts" of the NCC (underlining, indicating amendments, omitted):</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Apple Inc. owes the plaintiff a statutory duty and a duty of care not to breach the privacy and security of the plaintiff.</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Apple Inc. intentionally or, in the alternative, in breach of its duty of care to the plaintiff, by designing and producing iOS4 to record the location of iPhone 4, iPad and some iPod as well as iPhone 3G and iPhone 3GS devices by utilizing a hidden file to store locational data for long periods of time, including date, time and geographic place, in unencrypted form, without the knowledge or, in the alternative, informed consent of the plaintiff, accessible to Apple Inc., breached its statutory duty and duty of care owed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10(a) Without limiting the generality of the foregoing, the Plaintiff says that the conduct of the Defendant in doing so constitutes a willful violation, without a claim of right, of the privacy of the Plaintiff and eavesdropping and surveillance of the Plaintiff contrary to s. 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R.S.B.C. 1996. c. 373. and amendments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Apple Inc. intentionally or, in the alternative, in breach of it [sic] duty of care to the plaintiff, by designing and producing iOS4 to copy the said unencrypted locational data to the plaintiffs' [sic] home computer and any other computers to which the plaintiff's devices that utilize iOS4 are synchronized with, thus granting Apple Inc. greater access to the plaintiff's personal data or information, also without the knowledge or, in the alternative, informed consent of the plaintiff, breached its statutory duty and duty of care owed to the plaintiff.</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know of or, in the alternative, did not provide her informed consent to the covert tracking of her iPod Touch and iPhone by the defendant, nor was she afforded the option to "opt out" of the tracking features of iOS4.</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an absolute right to privacy and security of person by the common and statue laws of British Columbia, and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which rights have been egregiously violated by the defendant by its ongoing covert recording and transcription to other computers of the plaintiff's unencrypted locational data, by which recording and transcription the plaintiff's data and privacy and security of person have been intentionally violated and compromised by Apple Inc. or, in the alternative, in breach of Apple Inc.'s duty of care to the plaintiff, without her knowledge or, in the alternative, informed consent.</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the foregoing, the intentional or, in the alternative, negligent design and production of iOS4 to store the plaintiff's locational data on her iPad and iPhone, and copy all such data to her home computer and to any other computer to which the plaintiff's iPod Touch and iPhone 4 were synchronized with, all in unencrypted form, is a particularly offensive and dangerous violation of the plaintiffs privacy and security rights as anyone accessing the said locational data would, by virtue of the unencrypted nature of it, have unfettered access to the plaintiffs personal information sufficient to cause her grievous injury and damages including physical harm all of which have caused the plaintiff loss, injury and damages set out herein.</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claim under the </w:t>
      </w:r>
      <w:r>
        <w:rPr>
          <w:rFonts w:ascii="arial" w:eastAsia="arial" w:hAnsi="arial" w:cs="arial"/>
          <w:b/>
          <w:i/>
          <w:color w:val="000000"/>
          <w:sz w:val="20"/>
          <w:lang w:val="en-US" w:eastAsia="en-US" w:bidi="ar-SA"/>
        </w:rPr>
        <w:t>Privacy Act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is at the heart of this action. In my opinion, there are some problems with how the claim has been pleaded, given the function of pleadings: see </w:t>
      </w:r>
      <w:r>
        <w:rPr>
          <w:rFonts w:ascii="arial" w:eastAsia="arial" w:hAnsi="arial" w:cs="arial"/>
          <w:b/>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paras. 16-17. However, Apple did not argue that no reasonable claim had been pleaded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I will therefore make only a few comments concerning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claim relies on s. 1 of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Violation of privacy actionable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It is a tort, actionable without proof of damage, for a person, wilfully and without a claim of right, to violate the privacy of another.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Section 2 sets out a number of exceptions: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Exceptions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court</w:t>
      </w:r>
      <w:r>
        <w:rPr>
          <w:rFonts w:ascii="arial" w:eastAsia="arial" w:hAnsi="arial" w:cs="arial"/>
          <w:color w:val="000000"/>
          <w:sz w:val="20"/>
          <w:lang w:val="en-US" w:eastAsia="en-US" w:bidi="ar-SA"/>
        </w:rPr>
        <w:t>" includes a person authorized by law to administer an oath for taking evidence when acting for the purpose for which the person is authorized to take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crime</w:t>
      </w:r>
      <w:r>
        <w:rPr>
          <w:rFonts w:ascii="arial" w:eastAsia="arial" w:hAnsi="arial" w:cs="arial"/>
          <w:color w:val="000000"/>
          <w:sz w:val="20"/>
          <w:lang w:val="en-US" w:eastAsia="en-US" w:bidi="ar-SA"/>
        </w:rPr>
        <w:t>" includes an offence against a law of British Columbia.</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conduct is not a violation of privacy if any of the following applies: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consented to by some person entitled to consent;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incidental to the exercise of a lawful right of defence of person or property;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authorized or required under a law in force in British Columbia, by a court or by any process of a court;</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that of</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acting in the course of his or her duty to prevent, discover or investigate crime or to discover or apprehend the perpetrators of a crime, or</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officer engaged in an investigation in the course of his or her duty under a law in force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was neither disproportionate to the gravity of the crime or matter subject to investigation nor committed in the course of a trespass.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publication of a matter is not a violation of privacy if</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published was of public interest or was fair comment on a matter of public interest, or</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 was privileged in accordance with the rules of law relating to defamation.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does not extend to any other act or conduct by which the matter published was obtained if that other act or conduct was itself a violation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Thus, it is necessary for the plaintiff to plead (as she has) that Apple acted "wilfully" or intentionally, and that she did not consent. The plaintiff has pleaded (at NCC paras. 10 and 10(a)) that, by designing and producing iOS4 to record the location of the iDevice by using a hidden file to store the locational data in unencrypted form and accessible to Apple, Apple breached her right to privacy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and its conduct also constitutes eavesdropping and surveillance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has pleaded further (NCC para. 11) that, by designing and producing iOS4 to copy unencrypted locational data to other computers, Apple has been granted "greater access" to the plaintiff's personal information and breached the plaintiff's right to privacy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note that the plaintiff has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pleaded that any data or information is in fact transmitted to Apple, and she has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pleaded that Apple (or anyone else) has in fact accessed any data. She goes no further than to say the data and information is "accessible," and that the copying alleged in para. 11 grants Apple "greater access" to her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NCC is not particularly artful. However, a pleading does not need to be artful (provided certain minimum requirements are met) to be sufficient. The plaintiff has stated a reasonable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Only persons resident in B.C. will be entitled to pursue a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at para. 36.</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tort claim for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turn next to the tort claim for breach of privacy. The material facts alleged are found in paras. 9, 10, 10A, 11, 12, 13 and 14 of Part 1 of the NCC. There are additional allegations relating to this claim in para. 1 of Part 2 and para. 1 of Part 3 of the NCC. The claim is pleaded as both a breach of statute,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see NCC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There can be no doubt that there is no common law tort of invasion or breach of privacy in British Columbia: see </w:t>
      </w:r>
      <w:r>
        <w:rPr>
          <w:rFonts w:ascii="arial" w:eastAsia="arial" w:hAnsi="arial" w:cs="arial"/>
          <w:b/>
          <w:i/>
          <w:color w:val="000000"/>
          <w:sz w:val="20"/>
          <w:lang w:val="en-US" w:eastAsia="en-US" w:bidi="ar-SA"/>
        </w:rPr>
        <w:t>Ari v. Insurance Corporation of British Columbia</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2013 BCSC 1308</w:t>
        </w:r>
      </w:hyperlink>
      <w:r>
        <w:rPr>
          <w:rFonts w:ascii="arial" w:eastAsia="arial" w:hAnsi="arial" w:cs="arial"/>
          <w:color w:val="000000"/>
          <w:sz w:val="20"/>
          <w:lang w:val="en-US" w:eastAsia="en-US" w:bidi="ar-SA"/>
        </w:rPr>
        <w:t xml:space="preserve">, at paras. 63-65. Any alleged breach of privacy is only actionable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Thus, the plaintiff (and any B.C. residents who might be members of the proposed class) can only advance a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follows that, to the extent that allegations in the NCC are based on a pleading of a duty of care being owed by Apple to the plaintiff and a breach of that duty, they fail to state any reasonable claim by the plaintiff (or any other B.C.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However, Mr. Galambos submits that these allegations -- although made specifically about the plaintiff -- are also made to support non-statutory, common law claims by non-B.C. residents. This is not obvious from the NCC. For example, para. 9 of the NCC mentions the plaintiff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But, giving the pleading a generous reading, I will accept that what Mr. Galambos describes is what is intended. It must be remembered that a proposed class proceeding is an "action with ambition" (see </w:t>
      </w:r>
      <w:r>
        <w:rPr>
          <w:rFonts w:ascii="arial" w:eastAsia="arial" w:hAnsi="arial" w:cs="arial"/>
          <w:b/>
          <w:i/>
          <w:color w:val="000000"/>
          <w:sz w:val="20"/>
          <w:lang w:val="en-US" w:eastAsia="en-US" w:bidi="ar-SA"/>
        </w:rPr>
        <w:t>MacKinnon v. Instaloans Financial Solution Centres (Kelowna) Ltd.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2004 BCCA 472</w:t>
        </w:r>
      </w:hyperlink>
      <w:r>
        <w:rPr>
          <w:rFonts w:ascii="arial" w:eastAsia="arial" w:hAnsi="arial" w:cs="arial"/>
          <w:color w:val="000000"/>
          <w:sz w:val="20"/>
          <w:lang w:val="en-US" w:eastAsia="en-US" w:bidi="ar-SA"/>
        </w:rPr>
        <w:t>, at para. 33), and the plaintiff's action has ambitions to include not only persons in B.C. but outside B.C. as well: see the NCC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question then is whether the facts alleged in the NCC state a complete cause of action against Apple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privacy. Mr. Galambos did not cite or refer to any case where a court had concluded such a claim might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order for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succeed, a plaintiff must plead and prove three things: (i) that the defendant owed the plaintiff a duty of care; (ii) that the defendant breached that duty of care; and (iii) that damages resulted from that breach.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at para. 46 (citing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Cocks submits that no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pleaded. She says that the plaintiff has failed to plead material facts to support the foreseeability and proximity elements of a duty of care analysis (as described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It is insufficient merely to plead the existence of a duty of care. That is a conclusion of law that must be supported by the pleading of material facts.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at para. 47. Here, no such facts have been pleaded. It follows that the plaintiff has failed to state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On the other hand, there is authority to support the existence of a non-statutory cause of action for breach of privacy based on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conduct on the part of a defendant. In </w:t>
      </w:r>
      <w:r>
        <w:rPr>
          <w:rFonts w:ascii="arial" w:eastAsia="arial" w:hAnsi="arial" w:cs="arial"/>
          <w:b/>
          <w:i/>
          <w:color w:val="000000"/>
          <w:sz w:val="20"/>
          <w:lang w:val="en-US" w:eastAsia="en-US" w:bidi="ar-SA"/>
        </w:rPr>
        <w:t>Jones v. Tsige</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xml:space="preserve"> (cited by Russell J. in </w:t>
      </w:r>
      <w:r>
        <w:rPr>
          <w:rFonts w:ascii="arial" w:eastAsia="arial" w:hAnsi="arial" w:cs="arial"/>
          <w:b/>
          <w:i/>
          <w:color w:val="000000"/>
          <w:sz w:val="20"/>
          <w:lang w:val="en-US" w:eastAsia="en-US" w:bidi="ar-SA"/>
        </w:rPr>
        <w:t>Ari v. ICBC</w:t>
      </w:r>
      <w:r>
        <w:rPr>
          <w:rFonts w:ascii="arial" w:eastAsia="arial" w:hAnsi="arial" w:cs="arial"/>
          <w:color w:val="000000"/>
          <w:sz w:val="20"/>
          <w:lang w:val="en-US" w:eastAsia="en-US" w:bidi="ar-SA"/>
        </w:rPr>
        <w:t xml:space="preserve">), Mr. Justice Sharpe (for the court) described the elements of such a claim as follows (at paras. 70-71;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 would essentially adopt as the elements of the action for intrusion upon seclusion the </w:t>
      </w:r>
      <w:r>
        <w:rPr>
          <w:rFonts w:ascii="arial" w:eastAsia="arial" w:hAnsi="arial" w:cs="arial"/>
          <w:i/>
          <w:color w:val="000000"/>
          <w:sz w:val="20"/>
          <w:lang w:val="en-US" w:eastAsia="en-US" w:bidi="ar-SA"/>
        </w:rPr>
        <w:t>Restatement (Second) of Torts</w:t>
      </w:r>
      <w:r>
        <w:rPr>
          <w:rFonts w:ascii="arial" w:eastAsia="arial" w:hAnsi="arial" w:cs="arial"/>
          <w:color w:val="000000"/>
          <w:sz w:val="20"/>
          <w:lang w:val="en-US" w:eastAsia="en-US" w:bidi="ar-SA"/>
        </w:rPr>
        <w:t xml:space="preserve"> (2010) formulation which, for the sake of convenience, I repeat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who </w:t>
      </w:r>
      <w:r>
        <w:rPr>
          <w:rFonts w:ascii="arial" w:eastAsia="arial" w:hAnsi="arial" w:cs="arial"/>
          <w:color w:val="000000"/>
          <w:sz w:val="20"/>
          <w:u w:val="single"/>
          <w:lang w:val="en-US" w:eastAsia="en-US" w:bidi="ar-SA"/>
        </w:rPr>
        <w:t>intentionally</w:t>
      </w:r>
      <w:r>
        <w:rPr>
          <w:rFonts w:ascii="arial" w:eastAsia="arial" w:hAnsi="arial" w:cs="arial"/>
          <w:color w:val="000000"/>
          <w:sz w:val="20"/>
          <w:lang w:val="en-US" w:eastAsia="en-US" w:bidi="ar-SA"/>
        </w:rPr>
        <w:t xml:space="preserve"> intrudes, physically or otherwise, upon the seclusion of another or his private affairs or concerns, is subject to liability to the other for invasion of his privacy, if the invasion would be highly offensive to a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key features of this cause of action are, first, that </w:t>
      </w:r>
      <w:r>
        <w:rPr>
          <w:rFonts w:ascii="arial" w:eastAsia="arial" w:hAnsi="arial" w:cs="arial"/>
          <w:color w:val="000000"/>
          <w:sz w:val="20"/>
          <w:u w:val="single"/>
          <w:lang w:val="en-US" w:eastAsia="en-US" w:bidi="ar-SA"/>
        </w:rPr>
        <w:t>the defendant's conduct must be intentional</w:t>
      </w:r>
      <w:r>
        <w:rPr>
          <w:rFonts w:ascii="arial" w:eastAsia="arial" w:hAnsi="arial" w:cs="arial"/>
          <w:color w:val="000000"/>
          <w:sz w:val="20"/>
          <w:lang w:val="en-US" w:eastAsia="en-US" w:bidi="ar-SA"/>
        </w:rPr>
        <w:t>, within which I would include reckless; second, that the defendant must have invaded, without lawful justification, the plaintiff's private affairs or concerns; and third, that a reasonable person would regard the invasion as highly offensive causing distress, humiliation or anguish.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Although (given the guidance provided by Mr. Justice Sharpe), the pleading here is not as clear as it could be, I conclude that the allegation of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conduct on the part of Apple is sufficient to state a reasonable claim. However, the attempt to plead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based on the bare allegation of a duty of care owed by Apple, fails to state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pleads her case as engaging both her privacy and her security rights. See, for example, the allegations in paras. 9 and 13 of Part 1 of the NCC, quoted above. In Part 2 (the "Relief Sought"), the plaintiff (on her own behalf and on behalf of the class) claims damages for "violation of privacy and security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in Part 3 -- the "Legal Basis" -- the plaintiff alleges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that the defendant is responsible for ensuring the privacy </w:t>
      </w:r>
      <w:r>
        <w:rPr>
          <w:rFonts w:ascii="arial" w:eastAsia="arial" w:hAnsi="arial" w:cs="arial"/>
          <w:color w:val="000000"/>
          <w:sz w:val="20"/>
          <w:u w:val="single"/>
          <w:lang w:val="en-US" w:eastAsia="en-US" w:bidi="ar-SA"/>
        </w:rPr>
        <w:t>and security rights</w:t>
      </w:r>
      <w:r>
        <w:rPr>
          <w:rFonts w:ascii="arial" w:eastAsia="arial" w:hAnsi="arial" w:cs="arial"/>
          <w:color w:val="000000"/>
          <w:sz w:val="20"/>
          <w:lang w:val="en-US" w:eastAsia="en-US" w:bidi="ar-SA"/>
        </w:rPr>
        <w:t xml:space="preserve"> of the plaintiff and all members of the class and, as such, owes a duty to the plaintiff and to each member of the class in each of tort, and/or statute and the plaintiff claims that the defendant intentionally or . . . negligently breached those duties by failing adequately and properly adhere to the common law and statute laws of British Columbia and Canada . . . and respect her confidentiality, privacy </w:t>
      </w:r>
      <w:r>
        <w:rPr>
          <w:rFonts w:ascii="arial" w:eastAsia="arial" w:hAnsi="arial" w:cs="arial"/>
          <w:color w:val="000000"/>
          <w:sz w:val="20"/>
          <w:u w:val="single"/>
          <w:lang w:val="en-US" w:eastAsia="en-US" w:bidi="ar-SA"/>
        </w:rPr>
        <w:t>and security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reference (in para. 13 of Part 1) to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in support of the security rights claim fails to state any reasonable claim.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does not apply to common law disputes between private individuals: see </w:t>
      </w:r>
      <w:r>
        <w:rPr>
          <w:rFonts w:ascii="arial" w:eastAsia="arial" w:hAnsi="arial" w:cs="arial"/>
          <w:b/>
          <w:i/>
          <w:color w:val="000000"/>
          <w:sz w:val="20"/>
          <w:lang w:val="en-US" w:eastAsia="en-US" w:bidi="ar-SA"/>
        </w:rPr>
        <w:t>Jones v. Tsige</w:t>
      </w:r>
      <w:r>
        <w:rPr>
          <w:rFonts w:ascii="arial" w:eastAsia="arial" w:hAnsi="arial" w:cs="arial"/>
          <w:color w:val="000000"/>
          <w:sz w:val="20"/>
          <w:lang w:val="en-US" w:eastAsia="en-US" w:bidi="ar-SA"/>
        </w:rPr>
        <w:t xml:space="preserve">, at para. 45. Mr. Galambos suggested that the allegations regarding the plaintiff's security interests could survive as a plea of aggravating factors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but he cited no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allegations concerning the plaintiff's security rights (and to the extent those are alleged to extend to the proposed class) fail to state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the allegation in para. 13 of the Statement of Facts that the plaintiff has "an absolute right to privacy"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B.C. (and Canadian) law does not recognize an "absolute right" to privacy. This is plain from a reading of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in particular, s. 1(2) ("The nature and degree of privacy to which a person is entitled in a situation or in relation to a matter is that which is reasonable in the circumstances, giving due regard to the lawful interests of others.") and s. 1(3) ("In determining whether the act or conduct of a person is a violation of another's privacy, regard must be given to the nature, incidence and occasion of the act or conduct and to any domestic or other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acknowledge that para. 13 is found in Part 1 of the NCC -- the "Statement of Facts -- and that, when assessing whether a reasonable claim has been pleaded, the facts alleged, generally speaking, must be taken to be true. However, that is not an absolute rule: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above. Moreover, the allegation is a legal conclusion concerning the plaintiff's rights; it is not an allegation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Does the </w:t>
      </w:r>
      <w:r>
        <w:rPr>
          <w:rFonts w:ascii="arial" w:eastAsia="arial" w:hAnsi="arial" w:cs="arial"/>
          <w:b/>
          <w:i/>
          <w:color w:val="000000"/>
          <w:sz w:val="20"/>
          <w:lang w:val="en-US" w:eastAsia="en-US" w:bidi="ar-SA"/>
        </w:rPr>
        <w:t>Privacy Act (Canada)</w:t>
      </w:r>
      <w:r>
        <w:rPr>
          <w:rFonts w:ascii="arial" w:eastAsia="arial" w:hAnsi="arial" w:cs="arial"/>
          <w:b/>
          <w:color w:val="000000"/>
          <w:sz w:val="20"/>
          <w:lang w:val="en-US" w:eastAsia="en-US" w:bidi="ar-SA"/>
        </w:rPr>
        <w:t xml:space="preserve"> or legislation from other Provinces provide a legal basis for any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Part 3, the "Legal Basis" section of the NCC, the plaintiff pleads a lengthy list of statues as providing the legal basis for the relief claimed in Part 2, based on the facts alleged in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However, if legislation pleaded as the "legal basis" for relief claimed based on the facts alleged in a notice of civil claim does not provide any basis in law for the relief, simply pleading the legislation as the "legal basis" does nothing to advance a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Part 3, the plaintiff "pleads and relies on" the following legislation: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xml:space="preserve"> (Part 3 para. 9); the </w:t>
      </w:r>
      <w:r>
        <w:rPr>
          <w:rFonts w:ascii="arial" w:eastAsia="arial" w:hAnsi="arial" w:cs="arial"/>
          <w:b/>
          <w:i/>
          <w:color w:val="000000"/>
          <w:sz w:val="20"/>
          <w:lang w:val="en-US" w:eastAsia="en-US" w:bidi="ar-SA"/>
        </w:rPr>
        <w:t>Personal Information Protection Act</w:t>
      </w:r>
      <w:r>
        <w:rPr>
          <w:rFonts w:ascii="arial" w:eastAsia="arial" w:hAnsi="arial" w:cs="arial"/>
          <w:color w:val="000000"/>
          <w:sz w:val="20"/>
          <w:lang w:val="en-US" w:eastAsia="en-US" w:bidi="ar-SA"/>
        </w:rPr>
        <w:t xml:space="preserve">, S.A. 2003. c. P-6.5 (Part 3 para. 13);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S.N.S. 1993, c. 5</w:t>
        </w:r>
      </w:hyperlink>
      <w:r>
        <w:rPr>
          <w:rFonts w:ascii="arial" w:eastAsia="arial" w:hAnsi="arial" w:cs="arial"/>
          <w:color w:val="000000"/>
          <w:sz w:val="20"/>
          <w:lang w:val="en-US" w:eastAsia="en-US" w:bidi="ar-SA"/>
        </w:rPr>
        <w:t xml:space="preserve"> (Part 3 para. 14);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R.S.O. 1990, c. F.31</w:t>
        </w:r>
      </w:hyperlink>
      <w:r>
        <w:rPr>
          <w:rFonts w:ascii="arial" w:eastAsia="arial" w:hAnsi="arial" w:cs="arial"/>
          <w:color w:val="000000"/>
          <w:sz w:val="20"/>
          <w:lang w:val="en-US" w:eastAsia="en-US" w:bidi="ar-SA"/>
        </w:rPr>
        <w:t xml:space="preserve"> (Part 3 para. 15); the </w:t>
      </w:r>
      <w:r>
        <w:rPr>
          <w:rFonts w:ascii="arial" w:eastAsia="arial" w:hAnsi="arial" w:cs="arial"/>
          <w:b/>
          <w:i/>
          <w:color w:val="000000"/>
          <w:sz w:val="20"/>
          <w:lang w:val="en-US" w:eastAsia="en-US" w:bidi="ar-SA"/>
        </w:rPr>
        <w:t>Protection of Personal Information Act</w:t>
      </w:r>
      <w:r>
        <w:rPr>
          <w:rFonts w:ascii="arial" w:eastAsia="arial" w:hAnsi="arial" w:cs="arial"/>
          <w:color w:val="000000"/>
          <w:sz w:val="20"/>
          <w:lang w:val="en-US" w:eastAsia="en-US" w:bidi="ar-SA"/>
        </w:rPr>
        <w:t xml:space="preserve">, S.N.B. 1998, c. P-19.1 (Part 3 para. 16);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R.S.P.E.I. c. F-15.01 (Part 3 para. 17); the </w:t>
      </w:r>
      <w:r>
        <w:rPr>
          <w:rFonts w:ascii="arial" w:eastAsia="arial" w:hAnsi="arial" w:cs="arial"/>
          <w:b/>
          <w:i/>
          <w:color w:val="000000"/>
          <w:sz w:val="20"/>
          <w:lang w:val="en-US" w:eastAsia="en-US" w:bidi="ar-SA"/>
        </w:rPr>
        <w:t>Access to Information and Protection of Privacy Act</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S.N.L. 2002, c. A-1.1</w:t>
        </w:r>
      </w:hyperlink>
      <w:r>
        <w:rPr>
          <w:rFonts w:ascii="arial" w:eastAsia="arial" w:hAnsi="arial" w:cs="arial"/>
          <w:color w:val="000000"/>
          <w:sz w:val="20"/>
          <w:lang w:val="en-US" w:eastAsia="en-US" w:bidi="ar-SA"/>
        </w:rPr>
        <w:t xml:space="preserve"> (Part 3 para. 19); the </w:t>
      </w:r>
      <w:r>
        <w:rPr>
          <w:rFonts w:ascii="arial" w:eastAsia="arial" w:hAnsi="arial" w:cs="arial"/>
          <w:b/>
          <w:i/>
          <w:color w:val="000000"/>
          <w:sz w:val="20"/>
          <w:lang w:val="en-US" w:eastAsia="en-US" w:bidi="ar-SA"/>
        </w:rPr>
        <w:t>Access to Information and Protection of Privacy Act</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S.N.W.T. 1994, c. 20</w:t>
        </w:r>
      </w:hyperlink>
      <w:r>
        <w:rPr>
          <w:rFonts w:ascii="arial" w:eastAsia="arial" w:hAnsi="arial" w:cs="arial"/>
          <w:color w:val="000000"/>
          <w:sz w:val="20"/>
          <w:lang w:val="en-US" w:eastAsia="en-US" w:bidi="ar-SA"/>
        </w:rPr>
        <w:t xml:space="preserve"> and s. 29 of the </w:t>
      </w:r>
      <w:r>
        <w:rPr>
          <w:rFonts w:ascii="arial" w:eastAsia="arial" w:hAnsi="arial" w:cs="arial"/>
          <w:b/>
          <w:i/>
          <w:color w:val="000000"/>
          <w:sz w:val="20"/>
          <w:lang w:val="en-US" w:eastAsia="en-US" w:bidi="ar-SA"/>
        </w:rPr>
        <w:t>Nunavut Act</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S.C. 1993 c. 28</w:t>
        </w:r>
      </w:hyperlink>
      <w:r>
        <w:rPr>
          <w:rFonts w:ascii="arial" w:eastAsia="arial" w:hAnsi="arial" w:cs="arial"/>
          <w:color w:val="000000"/>
          <w:sz w:val="20"/>
          <w:lang w:val="en-US" w:eastAsia="en-US" w:bidi="ar-SA"/>
        </w:rPr>
        <w:t xml:space="preserve"> (Part 3 paras. 20 and 21); and the </w:t>
      </w:r>
      <w:r>
        <w:rPr>
          <w:rFonts w:ascii="arial" w:eastAsia="arial" w:hAnsi="arial" w:cs="arial"/>
          <w:b/>
          <w:i/>
          <w:color w:val="000000"/>
          <w:sz w:val="20"/>
          <w:lang w:val="en-US" w:eastAsia="en-US" w:bidi="ar-SA"/>
        </w:rPr>
        <w:t>Access to Information and Protection of Privacy Act</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R.S.Y. 2002, c. 1</w:t>
        </w:r>
      </w:hyperlink>
      <w:r>
        <w:rPr>
          <w:rFonts w:ascii="arial" w:eastAsia="arial" w:hAnsi="arial" w:cs="arial"/>
          <w:color w:val="000000"/>
          <w:sz w:val="20"/>
          <w:lang w:val="en-US" w:eastAsia="en-US" w:bidi="ar-SA"/>
        </w:rPr>
        <w:t xml:space="preserve"> (Part 3 para. 22). No particular section or sections of any of these statutes is identified in the NCC. Neither the plaintiff's written submissions nor the oral submissions at the hearing of the certification application explained how any of this legislation provided a legal basis for the relief claimed, based on the facts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my opinion, it is plain and obvious that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xml:space="preserve"> does not provide a legal basis for the plaintiff (or proposed class members) to obtain the relief sought based on the facts pleaded. The purpose of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xml:space="preserve"> is stated in s. 2 to be "to extend the present laws of Canada that protect the privacy of individuals with respect to personal information about themselves </w:t>
      </w:r>
      <w:r>
        <w:rPr>
          <w:rFonts w:ascii="arial" w:eastAsia="arial" w:hAnsi="arial" w:cs="arial"/>
          <w:color w:val="000000"/>
          <w:sz w:val="20"/>
          <w:u w:val="single"/>
          <w:lang w:val="en-US" w:eastAsia="en-US" w:bidi="ar-SA"/>
        </w:rPr>
        <w:t>held by a government institution</w:t>
      </w:r>
      <w:r>
        <w:rPr>
          <w:rFonts w:ascii="arial" w:eastAsia="arial" w:hAnsi="arial" w:cs="arial"/>
          <w:color w:val="000000"/>
          <w:sz w:val="20"/>
          <w:lang w:val="en-US" w:eastAsia="en-US" w:bidi="ar-SA"/>
        </w:rPr>
        <w:t xml:space="preserve"> and that provide individuals with a right of access to that information"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There are no facts pleaded that would make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xml:space="preserve"> applicable to Apple.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same is true with respect to the provincial statutes listed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For example, the purposes of the Ontario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are stated in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purposes of this Act are,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right of access to information under the control of institutions in accordance with the principles that,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should be available to the public,</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exemptions from the right of access should be limited and specific, and</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on the disclosure of government information should be reviewed independently of government; and</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privacy of individuals with respect to personal information about themselves held by institutions and to provide individuals with a right of access to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"Institution" is defined in s. 2(1) to mean:</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Assembly,</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ministry of the Government of Ontario,</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service provider organization within the meaning of section 17.1 of the </w:t>
      </w:r>
      <w:r>
        <w:rPr>
          <w:rFonts w:ascii="arial" w:eastAsia="arial" w:hAnsi="arial" w:cs="arial"/>
          <w:i/>
          <w:color w:val="000000"/>
          <w:sz w:val="20"/>
          <w:lang w:val="en-US" w:eastAsia="en-US" w:bidi="ar-SA"/>
        </w:rPr>
        <w:t>Ministry of Government Services Act</w:t>
      </w:r>
      <w:r>
        <w:rPr>
          <w:rFonts w:ascii="arial" w:eastAsia="arial" w:hAnsi="arial" w:cs="arial"/>
          <w:color w:val="000000"/>
          <w:sz w:val="20"/>
          <w:lang w:val="en-US" w:eastAsia="en-US" w:bidi="ar-SA"/>
        </w:rPr>
        <w:t>,</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hospital,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agency, board, commission, corporation or other body designated as an institution in the regulations;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Not surprisingly, there are no facts pleaded that would bring Apple within the definition of "institution." Based on the facts pleaded, the Ontario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does not provide a legal basis for the relief claimed based on the facts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Accordingly, none of these paragraphs states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Protection of Personal Information Act</w:t>
      </w:r>
      <w:r>
        <w:rPr>
          <w:rFonts w:ascii="arial" w:eastAsia="arial" w:hAnsi="arial" w:cs="arial"/>
          <w:color w:val="000000"/>
          <w:sz w:val="20"/>
          <w:lang w:val="en-US" w:eastAsia="en-US" w:bidi="ar-SA"/>
        </w:rPr>
        <w:t>, S.N.B. 1998, c. P-19.1, pleaded in para. 16 of Part 3, was repealed in September 2010. In any event, its provisions were similar to the provisions of the other provincial statutes listed above. Accordingly, para. 16 of Part 3 fails to state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On the other hand, as Sharpe J.A. discusses in </w:t>
      </w:r>
      <w:r>
        <w:rPr>
          <w:rFonts w:ascii="arial" w:eastAsia="arial" w:hAnsi="arial" w:cs="arial"/>
          <w:b/>
          <w:i/>
          <w:color w:val="000000"/>
          <w:sz w:val="20"/>
          <w:lang w:val="en-US" w:eastAsia="en-US" w:bidi="ar-SA"/>
        </w:rPr>
        <w:t>Jones v. Tsige</w:t>
      </w:r>
      <w:r>
        <w:rPr>
          <w:rFonts w:ascii="arial" w:eastAsia="arial" w:hAnsi="arial" w:cs="arial"/>
          <w:color w:val="000000"/>
          <w:sz w:val="20"/>
          <w:lang w:val="en-US" w:eastAsia="en-US" w:bidi="ar-SA"/>
        </w:rPr>
        <w:t xml:space="preserve"> (at para. 52), some provinces (such as B.C.) have enacted legislation to protect privacy rights. Although Mr. Galambos did not specifically identify them, the statutes pleaded in the NCC that (based on Mr. Justice Sharpe's discussion) appear to be similar to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are: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R.S.S. 1978. c. P-24 (Part 3 para. 10);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R.S.N.L.1990. c. P-22 (Part 3 para. 11); and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C.C.S.M.1987, c. P-125 (Part 3 para. 12). These statutes can provide a legal basis for a reasonable claim (by residents of those provinces) for breach of privacy, in the same way that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Mr. Justice Sharpe does not include </w:t>
      </w:r>
      <w:r>
        <w:rPr>
          <w:rFonts w:ascii="arial" w:eastAsia="arial" w:hAnsi="arial" w:cs="arial"/>
          <w:b/>
          <w:i/>
          <w:color w:val="000000"/>
          <w:sz w:val="20"/>
          <w:lang w:val="en-US" w:eastAsia="en-US" w:bidi="ar-SA"/>
        </w:rPr>
        <w:t>An Act Respecting the Protection of Personal Information in the Private Sector</w:t>
      </w:r>
      <w:r>
        <w:rPr>
          <w:rFonts w:ascii="arial" w:eastAsia="arial" w:hAnsi="arial" w:cs="arial"/>
          <w:color w:val="000000"/>
          <w:sz w:val="20"/>
          <w:lang w:val="en-US" w:eastAsia="en-US" w:bidi="ar-SA"/>
        </w:rPr>
        <w:t xml:space="preserve">, R.S.Q. c. P-39.1, referred to at para. 18 of Part 3 of the NCC, among the list of statutes. In the absence of some assistance on the point from Mr. Galambos, I conclude that this statute falls in the same category as the </w:t>
      </w:r>
      <w:r>
        <w:rPr>
          <w:rFonts w:ascii="arial" w:eastAsia="arial" w:hAnsi="arial" w:cs="arial"/>
          <w:b/>
          <w:i/>
          <w:color w:val="000000"/>
          <w:sz w:val="20"/>
          <w:lang w:val="en-US" w:eastAsia="en-US" w:bidi="ar-SA"/>
        </w:rPr>
        <w:t>Privacy Act (Canada)</w:t>
      </w:r>
      <w:r>
        <w:rPr>
          <w:rFonts w:ascii="arial" w:eastAsia="arial" w:hAnsi="arial" w:cs="arial"/>
          <w:color w:val="000000"/>
          <w:sz w:val="20"/>
          <w:lang w:val="en-US" w:eastAsia="en-US" w:bidi="ar-SA"/>
        </w:rPr>
        <w:t>, and does not provide any legal basis for any of the relief claimed in this action based on the facts alleged. Para. 18 of Part 3 fails therefore to state a reasonable claim.</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re breach of privacy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therefore, with respect to the breach of privacy allegations in the NCC:</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pleaded a reasonable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plead any reasonable common law claim for breach of privacy on behalf of herself or any other B.C. resident;</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failed to plead any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privacy;</w:t>
      </w:r>
    </w:p>
    <w:p>
      <w:pPr>
        <w:numPr>
          <w:numId w:val="6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pleaded a reasonable claim based on the statutes pleaded in the following paragraphs of Part 3 of the NCC: paras. 10, 11 and 12;</w:t>
      </w:r>
    </w:p>
    <w:p>
      <w:pPr>
        <w:numPr>
          <w:numId w:val="6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pleaded a reasonable, non-statutory, claim (on behalf of non-B.C. residents of provinces other than Saskatchewan, Manitoba and Newfoundland and Labrador) for intentional breach of privacy;</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plead any reasonable claim for breach of security rights and has failed to plead any reasonable claim based on the allegation of an absolute right to privacy; and</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plead any reasonable claim based on the statutes pleaded in the following paragraphs of Part 3 of the NCC: paras. 9, 13, 14, 15, 16, 17, 18, 19, 20, 21 and 22.</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para. 4 of the Legal Basis, the plaintiff "pleads and relies on the provisions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No specific provisions are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It is not alleged as a fact that the plaintiff (or anyone else) purchased anything from Apple. No relief is claimed on the basis of any contract for the purchase and sale of goods, and no such contract is alleged. The pleading of the </w:t>
      </w:r>
      <w:r>
        <w:rPr>
          <w:rFonts w:ascii="arial" w:eastAsia="arial" w:hAnsi="arial" w:cs="arial"/>
          <w:b/>
          <w:i/>
          <w:color w:val="000000"/>
          <w:sz w:val="20"/>
          <w:lang w:val="en-US" w:eastAsia="en-US" w:bidi="ar-SA"/>
        </w:rPr>
        <w:t>Sale of Goods Act</w:t>
      </w:r>
      <w:r>
        <w:rPr>
          <w:rFonts w:ascii="arial" w:eastAsia="arial" w:hAnsi="arial" w:cs="arial"/>
          <w:color w:val="000000"/>
          <w:sz w:val="20"/>
          <w:lang w:val="en-US" w:eastAsia="en-US" w:bidi="ar-SA"/>
        </w:rPr>
        <w:t xml:space="preserve"> in the Legal Basis section is, therefore, not connected with any relief claimed on the basis of the material facts alleged. It is not an element of any reasonable claim that has been pleaded.</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claim under the </w:t>
      </w:r>
      <w:r>
        <w:rPr>
          <w:rFonts w:ascii="arial" w:eastAsia="arial" w:hAnsi="arial" w:cs="arial"/>
          <w:b/>
          <w:i/>
          <w:color w:val="000000"/>
          <w:sz w:val="20"/>
          <w:lang w:val="en-US" w:eastAsia="en-US" w:bidi="ar-SA"/>
        </w:rPr>
        <w:t>BPA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allegations of fact relevant to this claim are set out in paras. 10 and 10(b) of the NCC:</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Apple Inc. intentionally or, in the alternative, in breach of its duty of care to the plaintiff, by designing and producing iOS4 to record the location of iPhone 4, iPad and some iPod as well as iPhone 3G and iPhone 3GS devices by utilizing a hidden file to store locational data for long periods of time, including date, time and geographic place, in unencrypted form, without the knowledge or, in the alternative, informed consent of the plaintiff, accessible to Apple Inc., breached its statutory duty and duty of care owed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10(b) Without limiting the generality of the foregoing, the Plaintiff says that the conduct of the Defendant in doing so constitutes a deceptive act or practice that has the capability, tendency or effect of deceiving or misleading a consumer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S.B.C. 2004. c.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allegations in para. 14 might also be material facts alleged -- at least in part -- to support a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although this is not very clear. I repeat para. 14 (in relevant part) here for convenience:</w:t>
      </w:r>
      <w:r>
        <w:rPr>
          <w:rFonts w:ascii="arial" w:eastAsia="arial" w:hAnsi="arial" w:cs="arial"/>
          <w:sz w:val="20"/>
          <w:lang w:val="en-US" w:eastAsia="en-US" w:bidi="ar-SA"/>
        </w:rPr>
        <w:cr/>
      </w:r>
    </w:p>
    <w:p>
      <w:pPr>
        <w:numPr>
          <w:numId w:val="7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the foregoing, the intentional or, in the alternative, negligent design and production of iOS4 to store the plaintiff's locational data on her iPad and iPhone, and copy all such data to her home computer and to any other computer to which the plaintiff's iPod Touch and iPhone 4 were synchronized with . . . is a particularly offensive and dangerous violation of the plaintiff's privacy and security rights as anyone accessing the said locational data would . . . have unfettered access to the plaintiff's personal information sufficient to cause her grievous injury and damages including physical harm all of which have caused the plaintiff loss, injury and damages set out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Part 3 (para. 8), the plaintiff simply "pleads and relies on"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without identifying any sections or provisions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If I give the NCC a generous reading, the plaintiff is probably relying on sections 4 and 5 of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concerning "Deceptive Acts or Practices," which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Deceptive acts or practices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deceptive act or practice</w:t>
      </w:r>
      <w:r>
        <w:rPr>
          <w:rFonts w:ascii="arial" w:eastAsia="arial" w:hAnsi="arial" w:cs="arial"/>
          <w:color w:val="000000"/>
          <w:sz w:val="20"/>
          <w:lang w:val="en-US" w:eastAsia="en-US" w:bidi="ar-SA"/>
        </w:rPr>
        <w:t>" means, in relation to a consumer transaction,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representation</w:t>
      </w:r>
      <w:r>
        <w:rPr>
          <w:rFonts w:ascii="arial" w:eastAsia="arial" w:hAnsi="arial" w:cs="arial"/>
          <w:color w:val="000000"/>
          <w:sz w:val="20"/>
          <w:lang w:val="en-US" w:eastAsia="en-US" w:bidi="ar-SA"/>
        </w:rPr>
        <w:t>" includes any term or form of a contract, notice or other document used or relied on by a supplier in connection with a consumer transaction.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deceptive act or practice by a supplier may occur before, during or after the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Prohibition and burden of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A supplier must not commit or engage in a deceptive act or practice in respect of a consumer transaction.</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 deceptive act or practice, the burden of proof that the deceptive act or practice was not committed or engaged in is on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However, there is no allegation anywhere in the NCC that Apple is a "supplier," or that anyone's acquisition of an iDevice was a "consumer transaction." These are defined terms in s. 1 of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One of the definitions of "consumer transaction" is "a supply of goods or services . . . by a supplier to a consumer for purposes that are primarily personal, family or household." The NCC is completely silent on whether the plaintiff's (or any proposed class member's) acquisition of iDevices can be described in this way. Based on Ms. Ladas's evidence, for example, she acquired her iPhone 4 for office and business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"Consumer" is also a defined term and means "an individual, whether in British Columbia or not, who participates in a consumer transaction . . . ." This definition has implications for the class description (which uses the word "persons," rather than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Whether Apple is a "supplier" and whether any transaction is a "consumer transaction" are facts that would need to be pleaded (and proved) as part of a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Here, they are simply not pleaded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There is no allegation that Apple made any representation (including any representation by omission), so the plaintiff must be relying on </w:t>
      </w:r>
      <w:r>
        <w:rPr>
          <w:rFonts w:ascii="arial" w:eastAsia="arial" w:hAnsi="arial" w:cs="arial"/>
          <w:color w:val="000000"/>
          <w:sz w:val="20"/>
          <w:u w:val="single"/>
          <w:lang w:val="en-US" w:eastAsia="en-US" w:bidi="ar-SA"/>
        </w:rPr>
        <w:t>conduct</w:t>
      </w:r>
      <w:r>
        <w:rPr>
          <w:rFonts w:ascii="arial" w:eastAsia="arial" w:hAnsi="arial" w:cs="arial"/>
          <w:color w:val="000000"/>
          <w:sz w:val="20"/>
          <w:lang w:val="en-US" w:eastAsia="en-US" w:bidi="ar-SA"/>
        </w:rPr>
        <w:t xml:space="preserve">, as set out in s. 4(1)(b) of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to ground her claim. Indeed, that is what she has alleged in para. 10(b) of the NCC. The conduct in issue ("the conduct of the Defendant in doing so") must be what is alleged in para. 10 of the NCC. There are no other facts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relief potentially available in court proceedings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is set out in sections 171 and 172, which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recoverable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(1) Subject to subsection (2), if a person, other than a person referred to in paragraphs (a) to (e), has suffered damage or loss due to a contravention of this Act or the regulations, the person who suffered damage or loss may bring an action against a</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engaged in or acquiesced in the contravention that caused the damage or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actions respecting consumer transactions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(1) The director or a person other than a supplier, whether or not the person bringing the action has a special interest or any interest under this Act or is affected by a consumer transaction that gives rise to the action, may bring an action in Supreme Court for one or both of the following:</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 act or practice engaged in or about to be engaged in by a supplier in respect of a consumer transaction contravenes this Act or the regulations;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 permanent injunction restraining a supplier from contravening this Act or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However, it is not clear whether the plaintiff is seeking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remedy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because the plaintiff simply pleads in Part 2:</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intentional or, in the alternative, negligent violation of the privacy and security rights of the plaintiff, in breach of statute and common law, the plaintiff and all members of the class have suffered loss, damage and expense. In particular, the plaintiff, who has suffered sleepless nights, fear, anxiety, discomfort and emotional distress since discovering, on or about April 22, 2011, that her movements are being tracked, time-stamped and recorded and transmitted to other computers in unencrypted form, all without her knowledge or, in the alternative, informed consent, on her own behalf and on behalf of the class,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violation of privacy and security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and permanent injunction restraining and enjoining the defendant from utilizing or sharing any data on her physical movements collected by iOS4 or selling any devices in British Columbia or elsewhere in Canada which utilize the software operating system known as iOS4;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the Legal Basis of the NCC, and in addition to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the plaintiff "pleads and relies" on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under which the court has the power to order an injunction. As a result, it cannot be said that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is the only legal basis pleaded in support of this particular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addition to failing to plead facts relating to a transaction being a "consumer transaction" and Apple being a "supplier"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the plaintiff has a further problem,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Apart from pleading the conclusory statement in para. 14 ("all of which have caused the plaintiff loss, injury and damages as set out herein"), the plaintiff has not pleaded that Apple's conduct -- conduct which she alleges (again, in a conclusory way) is a deceptive act or practice -- caused her to do anything. A deceptive act or practice is one that "tends to lead that person astray into making an error of judgment": see </w:t>
      </w:r>
      <w:r>
        <w:rPr>
          <w:rFonts w:ascii="arial" w:eastAsia="arial" w:hAnsi="arial" w:cs="arial"/>
          <w:b/>
          <w:i/>
          <w:color w:val="000000"/>
          <w:sz w:val="20"/>
          <w:lang w:val="en-US" w:eastAsia="en-US" w:bidi="ar-SA"/>
        </w:rPr>
        <w:t>Rushak v. Henneken</w:t>
      </w:r>
      <w:r>
        <w:rPr>
          <w:rFonts w:ascii="arial" w:eastAsia="arial" w:hAnsi="arial" w:cs="arial"/>
          <w:color w:val="000000"/>
          <w:sz w:val="20"/>
          <w:lang w:val="en-US" w:eastAsia="en-US" w:bidi="ar-SA"/>
        </w:rPr>
        <w:t xml:space="preserve">, 1991 CanLII 178, </w:t>
      </w:r>
      <w:hyperlink r:id="rId957" w:history="1">
        <w:r>
          <w:rPr>
            <w:rFonts w:ascii="arial" w:eastAsia="arial" w:hAnsi="arial" w:cs="arial"/>
            <w:i/>
            <w:color w:val="0077CC"/>
            <w:sz w:val="20"/>
            <w:u w:val="single"/>
            <w:shd w:val="clear" w:color="auto" w:fill="FFFFFF"/>
            <w:lang w:val="en-US" w:eastAsia="en-US" w:bidi="ar-SA"/>
          </w:rPr>
          <w:t>59 B.C.L.R. (2d) 250</w:t>
        </w:r>
      </w:hyperlink>
      <w:r>
        <w:rPr>
          <w:rFonts w:ascii="arial" w:eastAsia="arial" w:hAnsi="arial" w:cs="arial"/>
          <w:color w:val="000000"/>
          <w:sz w:val="20"/>
          <w:lang w:val="en-US" w:eastAsia="en-US" w:bidi="ar-SA"/>
        </w:rPr>
        <w:t xml:space="preserve"> (C.A.). However, the plaintiff does not plead that she (or anyone else) was or might have been led astray into making an error in judgment -- or indeed that anything at all happened "in relation to a consumer transaction" -- as a result of any conduct on the part of Apple. She merely repeats (in para. 10(b)) the words from the definition of "deceptive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There is also no plea of any causal connection between a contravention of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by Apple and loss or damage suffered to be suffered by the plaintiff: see </w:t>
      </w:r>
      <w:r>
        <w:rPr>
          <w:rFonts w:ascii="arial" w:eastAsia="arial" w:hAnsi="arial" w:cs="arial"/>
          <w:b/>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conclude, therefore, that the plaintiff has failed to plead a reasonable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Part 2 of the NCC, the plaintiff claims aggravated damages. In addition, whether the plaintiff and the proposed class members are entitled to aggravated damages is an element of proposed Common Issue (c). Apple says that the plaintiff has failed to plead any material facts that could support aggravated damages as a remedy, and therefore has failed to plead any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one of the leading cases on aggravated and punitive damages, </w:t>
      </w:r>
      <w:r>
        <w:rPr>
          <w:rFonts w:ascii="arial" w:eastAsia="arial" w:hAnsi="arial" w:cs="arial"/>
          <w:b/>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[2006] 2 S.C.R. 3</w:t>
        </w:r>
      </w:hyperlink>
      <w:r>
        <w:rPr>
          <w:rFonts w:ascii="arial" w:eastAsia="arial" w:hAnsi="arial" w:cs="arial"/>
          <w:color w:val="000000"/>
          <w:sz w:val="20"/>
          <w:lang w:val="en-US" w:eastAsia="en-US" w:bidi="ar-SA"/>
        </w:rPr>
        <w:t>, the court reminds us (at paras. 51-53) that the term "aggravated damages" is often misused, leading to confusion: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It may be useful to clarify the use of the term "aggravated damages" in the context of damages for mental distress arising from breach of contract. "Aggravated damages", as defined by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(1983), at pp. 562-63), and adopted in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at p. 1099,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describ[e] an award that aims at compensation, but takes full account of the intangible injuries, such as distress and humiliation, that may have been caused by the defendant's insulting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many writers have observed, the term is used ambiguously. The cases speak of two different types of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first are true aggravated damages, which arise out of aggravating circumstances. They are not awarded under the general principle of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but rest on a separate cause of action -- usually in tort -- like defamation, oppression or fraud. The idea that damages for mental distress for breach of contract may be awarded where an object of a contract was to secure a particular psychological benefit has no effect on the availability of such damages. If a plaintiff can establish mental distress as a result of the breach of an independent cause of action, then he or she may be able to recover accordingly. The award of damages in such a case arises from the separate cause of action. It does not arise out of the contractual breach itself, and it has nothing to do with contractual damages under the rule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second are mental distress damages which do arise out of the contractual breach itself. These are awarded under the principles of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as discussed above. They exist independent of any aggravating circumstances and are based completely on the parties' expectations at the time of contract formation. With respect to this category of damages, the term "aggravated damages" becomes unnecessary and, indeed, a source of possible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Here, Ms. Ladas has pleaded (although not in Part 1 of the NCC) that she has "suffered sleepless nights, fear, anxiety, discomfort and emotional distress." However, she has not pleaded the material facts required to support a claim for aggravated damages in the true sense, and thus has failed to plead any reasonable claim for aggravated damages.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concerning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summary, based on the analysis above:</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pleaded a reasonable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This claim can be advanced by B.C. residents only;</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pleaded a reasonable claim for breach of privacy based on the statutes pleaded in the following paragraphs of Part 3 of the NCC: paras. 10, 11 and 12. Such claims can be advanced by residents of those provinces only;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pleaded a reasonable, non-statutory, claim for intentional breach of privacy in respect of proposed class members in provinces without legislation equivalent to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plaintiff has failed to plead any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privacy. She has failed to plead any reasonable claim for breach of security rights or based on an absolute right to privacy. She has failed to plead any reasonable claim based on the statutes listed in paras. 9, 13, 14, 15, 16, 17, 18, 19, 20, 21 and 22 of Part 3 of the NCC. She has also failed to plead a reasonable claim under either the </w:t>
      </w:r>
      <w:r>
        <w:rPr>
          <w:rFonts w:ascii="arial" w:eastAsia="arial" w:hAnsi="arial" w:cs="arial"/>
          <w:b/>
          <w:i/>
          <w:color w:val="000000"/>
          <w:sz w:val="20"/>
          <w:lang w:val="en-US" w:eastAsia="en-US" w:bidi="ar-SA"/>
        </w:rPr>
        <w:t>Sale of Goods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Finally, the plaintiff has failed to plead any reasonable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6. Identifiable Class and Class Description: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next requirement that must be met for certification is that there is an identifiable class of 2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Class definition is critical because it identifies the individuals entitled to notice, entitled to relief (if relief is awarded), and bound by the judgment: see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Bauman C.J.S.C. (as he then was) summarized the requirements under s. 4(1)(b) as follows, at paras. 63-64: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 . . [T]he plaintiff must provide some basis in fact for the existence of an identifiable class of two or more persons. The class must be clearly defined at the outset of the litigation as doing so identifies the individuals entitled to notice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entitled to relief if the case succeeds, and bound by judgment unless they opt-out: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at para. 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To meet this requirement, the plaintiff must define the class with reference to objective criteria. Similarly, while the definition should be rationally related to the alleged common issues, the membership of the class must not hinge on the outcome of the litigation. Further, the class must not be defined too broadly or too narrowly in relation to the common issues. Ultimately, it is not necessary for the plaintiff to identify every class member, but it must be possible to determine whether or not a specific individual is a member of the class: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paras. 52-62;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Chief Justice McLachlin commented on the task of defining the scope of the class appropriately, at paras. 20-21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 . [I]mplicit in the "identifiable class" requirement is </w:t>
      </w:r>
      <w:r>
        <w:rPr>
          <w:rFonts w:ascii="arial" w:eastAsia="arial" w:hAnsi="arial" w:cs="arial"/>
          <w:color w:val="000000"/>
          <w:sz w:val="20"/>
          <w:u w:val="single"/>
          <w:lang w:val="en-US" w:eastAsia="en-US" w:bidi="ar-SA"/>
        </w:rPr>
        <w:t>the requirement that there be some rational relationship between the class and common issues</w:t>
      </w:r>
      <w:r>
        <w:rPr>
          <w:rFonts w:ascii="arial" w:eastAsia="arial" w:hAnsi="arial" w:cs="arial"/>
          <w:color w:val="000000"/>
          <w:sz w:val="20"/>
          <w:lang w:val="en-US" w:eastAsia="en-US" w:bidi="ar-SA"/>
        </w:rPr>
        <w:t>. Little has been said about this requirement because, in the usual case, the relationship is clear from the facts. In a single-incident mass tort case (for example, an airplane crash), the scope of the appropriate class is not usually in dispute. The same is true in product liability actions (where the class is usually composed of those who purchased the product), or securities fraud actions (where the class is usually composed of those who owned the stock). In a case such as this, however, the appropriate scope of the class is not so obvious. It falls to the putative representative to show that the class is defined sufficiently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requirement is not an onerous one. The representative need not show that everyone in the class shares the same interest in the resolution of the asserted common issue. </w:t>
      </w:r>
      <w:r>
        <w:rPr>
          <w:rFonts w:ascii="arial" w:eastAsia="arial" w:hAnsi="arial" w:cs="arial"/>
          <w:color w:val="000000"/>
          <w:sz w:val="20"/>
          <w:u w:val="single"/>
          <w:lang w:val="en-US" w:eastAsia="en-US" w:bidi="ar-SA"/>
        </w:rPr>
        <w:t>There must be some showing, however, that the class is not unnecessarily broad -- that is, that the class could not be defined more narrowly without arbitrarily excluding some people who share the same interest in the resolution of the common issue.</w:t>
      </w:r>
      <w:r>
        <w:rPr>
          <w:rFonts w:ascii="arial" w:eastAsia="arial" w:hAnsi="arial" w:cs="arial"/>
          <w:color w:val="000000"/>
          <w:sz w:val="20"/>
          <w:lang w:val="en-US" w:eastAsia="en-US" w:bidi="ar-SA"/>
        </w:rPr>
        <w:t xml:space="preserve"> Where the class could be defined more narrowly, the court should either disallow certification or allow certification on condition that the definition of the class be amended: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During the hearing of the certification application, the plaintiff amended her proposed class definition from what was pleaded in the NCC and in her notice of application. The class she now proposes to have certified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in British Columbia and elsewhere in Canada who have purchased an iPhone 4, iPad or iPod as well as iPhone 3G and iPhone 3GS that utilizes the software operating system known as iOS4.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says that this definition satisfies the purpose of a class definition in that it identifies persons who have a potential claim for relief, defines the parameters of the lawsuit so as to identify those who will be bound by the result, and describes persons entitled to notice. The plaintiff says that the class has been defined with reference to objective criteria and without reference to the merits of the claims, and persons can readily identify whether or not they fit into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Apple says that the proposed class definition does not satisfy the requirement under s. 4(1)(b) and cannot be amended to do so. It says that the class definition is too broad, and that the drafting is unacceptably ambiguous. Apple says further that the proposed class definition is not rationally connected to the proposed common issues. In addition, Apple says that, although the plaintiff seeks to include non-residents of B.C. in the class definition, she has not provided for a sub-class of such individuals as required by s. 6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and she has not identified an individual who can represent a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will deal first with Apple's complaints about the 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Apple says that "all persons in British Columbia and elsewhere in Canada" is unclear and ambiguous, since it is unclear what "in" means. Assuming the plaintiff's intention was to say "all persons </w:t>
      </w:r>
      <w:r>
        <w:rPr>
          <w:rFonts w:ascii="arial" w:eastAsia="arial" w:hAnsi="arial" w:cs="arial"/>
          <w:color w:val="000000"/>
          <w:sz w:val="20"/>
          <w:u w:val="single"/>
          <w:lang w:val="en-US" w:eastAsia="en-US" w:bidi="ar-SA"/>
        </w:rPr>
        <w:t>resident</w:t>
      </w:r>
      <w:r>
        <w:rPr>
          <w:rFonts w:ascii="arial" w:eastAsia="arial" w:hAnsi="arial" w:cs="arial"/>
          <w:color w:val="000000"/>
          <w:sz w:val="20"/>
          <w:lang w:val="en-US" w:eastAsia="en-US" w:bidi="ar-SA"/>
        </w:rPr>
        <w:t xml:space="preserve"> in British Columbia and elsewhere in Canada," and such a clarification were the only barrier to certification, a request to amend would almost certainly be granted: see, for example, </w:t>
      </w:r>
      <w:r>
        <w:rPr>
          <w:rFonts w:ascii="arial" w:eastAsia="arial" w:hAnsi="arial" w:cs="arial"/>
          <w:b/>
          <w:i/>
          <w:color w:val="000000"/>
          <w:sz w:val="20"/>
          <w:lang w:val="en-US" w:eastAsia="en-US" w:bidi="ar-SA"/>
        </w:rPr>
        <w:t>Douez</w:t>
      </w:r>
      <w:r>
        <w:rPr>
          <w:rFonts w:ascii="arial" w:eastAsia="arial" w:hAnsi="arial" w:cs="arial"/>
          <w:color w:val="000000"/>
          <w:sz w:val="20"/>
          <w:lang w:val="en-US" w:eastAsia="en-US" w:bidi="ar-SA"/>
        </w:rPr>
        <w:t xml:space="preserve">, at para. 240 (citing </w:t>
      </w:r>
      <w:r>
        <w:rPr>
          <w:rFonts w:ascii="arial" w:eastAsia="arial" w:hAnsi="arial" w:cs="arial"/>
          <w:b/>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Apple also complains that the use of the word "utilizes" in the proposed definition is problematic. Apple says that it implies that the class would consist of persons who purchased an iOS Device that currently utilizes iOS 4, and that, since Ms. Ladas ceased using her iDevice in May 2011, she would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"Utilizes" implies that it is the </w:t>
      </w:r>
      <w:r>
        <w:rPr>
          <w:rFonts w:ascii="arial" w:eastAsia="arial" w:hAnsi="arial" w:cs="arial"/>
          <w:color w:val="000000"/>
          <w:sz w:val="20"/>
          <w:u w:val="single"/>
          <w:lang w:val="en-US" w:eastAsia="en-US" w:bidi="ar-SA"/>
        </w:rPr>
        <w:t>current</w:t>
      </w:r>
      <w:r>
        <w:rPr>
          <w:rFonts w:ascii="arial" w:eastAsia="arial" w:hAnsi="arial" w:cs="arial"/>
          <w:color w:val="000000"/>
          <w:sz w:val="20"/>
          <w:lang w:val="en-US" w:eastAsia="en-US" w:bidi="ar-SA"/>
        </w:rPr>
        <w:t xml:space="preserve"> situation that is relevant, so that, if an iDevice in the past used iOS4, but the user updated the software to (say) iOS5, the user would not fall within the class definition, because, currently, the iDevice is not one that "utilizes" iOS4. However, there was never any request to use some other term. Based on "utilizes," what matters is the operating system currently on the iDevice, not whether an individual is currently using the iDevice. Assuming, the operating system on Ms. Ladas's iPhone is still iOS4, she could fall within the class definition, even though she has not used her iPhone since May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However, in my opinion, there are other problems with the proposed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will first address the matter of the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proposed class definition seeks to include persons outside of B.C. Those persons will not have any claim relying on B.C. legislation: see </w:t>
      </w:r>
      <w:r>
        <w:rPr>
          <w:rFonts w:ascii="arial" w:eastAsia="arial" w:hAnsi="arial" w:cs="arial"/>
          <w:b/>
          <w:i/>
          <w:color w:val="000000"/>
          <w:sz w:val="20"/>
          <w:lang w:val="en-US" w:eastAsia="en-US" w:bidi="ar-SA"/>
        </w:rPr>
        <w:t>Stanway</w:t>
      </w:r>
      <w:r>
        <w:rPr>
          <w:rFonts w:ascii="arial" w:eastAsia="arial" w:hAnsi="arial" w:cs="arial"/>
          <w:color w:val="000000"/>
          <w:sz w:val="20"/>
          <w:lang w:val="en-US" w:eastAsia="en-US" w:bidi="ar-SA"/>
        </w:rPr>
        <w:t>, above. If claims by non-residents are going to be part of this action, there needs to be a non-resident sub-class (or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However, the plaintiff's notice of application did not clearly seek as a term of the certification order the establishment of a non-resident sub-class. At best, it might be inferred -- from the proposed class definition, and the reference in para. 6 of the "Order(s) Sought" to fixing the manner and time within which a non-resident could opt in -- that the plaintiff wishes to have a non-resident sub-class certified. However, no individual was nominated to be the representative of a non-resident sub-class, and, in the evidence, no non-B.C. resident is identified as someone who may have a claim, much less act as the representative for a non-resident sub-class. No argument was advanced in submissions to justify certification of a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my opinion, if the plaintiff wished to have a class defined to include non-residents and a non-resident sub-class certified, she needed to do more than what has in fact been done in the presentation of the certification application. In the circumstances, I agree with Apple's submission on this point, and based on the evidence before me, no non-resident subclass can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This would leave a potential class of B.C. residents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However, in my opinion, the proposed class definition is both too broad and too narrow, and is not rationally related to the proposed common issues. Therefore, it does not comply with the requirements for an acceptable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essence of the plaintiff's complaint is that, as a consequence of the design of the iOS4 operating system, her privacy, and the privacy of the proposed class members, has been breached through their use of the iDevices. However, the proposed class definition is in terms of "All persons . . . who </w:t>
      </w:r>
      <w:r>
        <w:rPr>
          <w:rFonts w:ascii="arial" w:eastAsia="arial" w:hAnsi="arial" w:cs="arial"/>
          <w:color w:val="000000"/>
          <w:sz w:val="20"/>
          <w:u w:val="single"/>
          <w:lang w:val="en-US" w:eastAsia="en-US" w:bidi="ar-SA"/>
        </w:rPr>
        <w:t>purchased</w:t>
      </w:r>
      <w:r>
        <w:rPr>
          <w:rFonts w:ascii="arial" w:eastAsia="arial" w:hAnsi="arial" w:cs="arial"/>
          <w:color w:val="000000"/>
          <w:sz w:val="20"/>
          <w:lang w:val="en-US" w:eastAsia="en-US" w:bidi="ar-SA"/>
        </w:rPr>
        <w:t>" an iDevice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Based on this definition, the persons who purchased two of Ms. Ladas's iDevices as gifts for Ms. Ladas and her son would fall within the class. But someone who simply purchased -- but did not use -- an iDevice with the iOS4 operating system will not have any claim. Not only has the individual who made the purchase and then given the iDevice to someone else not used Location Services, the individual has not used the iDevice at all. This is an illustration of how the class is too broadly defined, to include persons who will not have any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Moreover, an individual who received an iDevice as a gift or from an employer, for example, would be excluded from the class because the individual is not someone who </w:t>
      </w:r>
      <w:r>
        <w:rPr>
          <w:rFonts w:ascii="arial" w:eastAsia="arial" w:hAnsi="arial" w:cs="arial"/>
          <w:color w:val="000000"/>
          <w:sz w:val="20"/>
          <w:u w:val="single"/>
          <w:lang w:val="en-US" w:eastAsia="en-US" w:bidi="ar-SA"/>
        </w:rPr>
        <w:t>purchased</w:t>
      </w:r>
      <w:r>
        <w:rPr>
          <w:rFonts w:ascii="arial" w:eastAsia="arial" w:hAnsi="arial" w:cs="arial"/>
          <w:color w:val="000000"/>
          <w:sz w:val="20"/>
          <w:lang w:val="en-US" w:eastAsia="en-US" w:bidi="ar-SA"/>
        </w:rPr>
        <w:t xml:space="preserve"> the iDevice. This is an illustration of how the class is defined too narrowly, and arbitrarily excludes individuals who may have claims, based on the theory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Both examples also show that the proposed class definition is not rationally related to the alleged common issues, or to the claims advanced in the pleadings. There is nothing that connects the </w:t>
      </w:r>
      <w:r>
        <w:rPr>
          <w:rFonts w:ascii="arial" w:eastAsia="arial" w:hAnsi="arial" w:cs="arial"/>
          <w:color w:val="000000"/>
          <w:sz w:val="20"/>
          <w:u w:val="single"/>
          <w:lang w:val="en-US" w:eastAsia="en-US" w:bidi="ar-SA"/>
        </w:rPr>
        <w:t>purchase</w:t>
      </w:r>
      <w:r>
        <w:rPr>
          <w:rFonts w:ascii="arial" w:eastAsia="arial" w:hAnsi="arial" w:cs="arial"/>
          <w:color w:val="000000"/>
          <w:sz w:val="20"/>
          <w:lang w:val="en-US" w:eastAsia="en-US" w:bidi="ar-SA"/>
        </w:rPr>
        <w:t xml:space="preserve"> of an iDevice with a breach (or even a potential breach) of privacy because the iDevice uses iOS4. The act of making a purchase is neutral in relation to the essential complaints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For these reasons, the proposed class definition is unacceptable. It fails to describe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addition to these problems, Apple says that the plaintiff has failed to demonstrate, with admissible evidence, the existence of "2 or more persons" who assert a claim in relation to the wrongs alleged in the NCC and who wish to pursue a class proceeding. Ms. Yates submits that the plaintiff has failed to meet even the low standard set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where an affidavit from plaintiff's counsel was held to be sufficient to satisfy the evidentiary requirement of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the material portion of the affidavit of plaintiff's counsel (Mr. Green) stated that he had "been informed by the following people that each of them are interested in and support the class proceeding." After setting out the names of these individuals, Mr. Green then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each of the individuals ... and I verily believe this to be true, that each purchased Children's Cough Medicine as defined in the Amended statement of claim, for children under the age of 6, during the Class Period. For individuals who could not recall the specific brand(s) of Children's Cough Medicine they purchased this is indicated clearly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On the appeal of the certification order, the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xml:space="preserve"> defendants submitted that the evidence relied on by the certification judge was insufficient to satisfy the burden on the plaintiff under s. 4(1)(b)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The Court of Appeal disagreed. Madam Justice Newbury wrote, at para. 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 In the case at bar, I am satisfied that the plaintiff did by means of Mr. Green's affidavit demonstrate the existence of an identifiable class of two or more persons in accordance with the authorities and that accordingly, the certification judge did not err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Here, the plaintiff has filed the Affidavit No. 5 of Marija Marcia, sworn November 26, 2013. Ms. Marcia identifies herself as a legal assistant at the law firm of Ms. Ladas's counsel. Ms. Marcia says: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as Exhibit "A" is a List of Potential Plaintiffs/Class Members which represents a list of people that have contacted our firm and expressed interest in being added as members in this potential Class Action Proceedings [sic].</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as Exhibit "B" collectively are Retainer Agreements for Potential Plaintiffs/Class Members listed as number 1 to 17 on Exhibit "A"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concludes Ms. Marcia's Affidavit No.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contrast to the affidavit of Mr. Green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Ms. Marcia does not say that she has ever spoken to any of the persons listed on Exhibit "A" to her affidavit. She says nothing about how Exhibit "A" was compiled, or whether she was the person who created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Exhibit "B" consists of copies of retainer agreements for 17 (including Ms. Ladas) of the 36 individuals listed on Exhibit "A". All 17 give an address as in B.C. It appears that two of the individuals (Megan Ritchie and Rahiman Sutter) identified in Exhibit "A" and Exhibit "B" probably provided iDevices that were examined by Mr. Graf when he prepared his report. However, there is no evidence from either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form of retainer agreement is substantially the same for all of the individuals (apart from Ms. Ladas) and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_________________, do hereby hire [Law Firm] . . . , to represent me as legal counsel in my capacity as an intended Plaintiff, Plaintiff, intended member of a class or subclass of Plaintiffs or member of a class or subclass of Plaintiffs ("Plaintiff") and, for all purposes, in connection with a class action lawsuit filed in the Supreme Court of British Columbia under Action Number S-112969 (the "Action") by Amanda Elizabeth Ladas against Apple Inc. for damages for violation of privacy and breach of personal security arising from the use and operation of my [ ] iPhone, [ ] iPad [ ], iPod Touch ESN(s) __________________ since its/their purchase on or about _________</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wishes to join the Action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retainer agreements attached to Ms. Marcia's affidavit say nothing about the operating system in any iDevice. In particular, none says a device "utilizes" (the term used in the proposed class definition) iOS4. Some of the agreements (including the one apparently signed by Megan Ritchie) provide no information at all about the iDevice.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So, Apple is correct about the quality of the evidence here, as compared with the evidence submitted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xml:space="preserve">. I note that Mr. Justice Grauer's Reasons on the certification application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xml:space="preserve"> (indexed at </w:t>
      </w:r>
      <w:hyperlink r:id="rId962"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 in which the evidentiary issue was discussed, were published December 22, 2011, about 10 months before the notice of application for certification and related affidavits were filed in this case, and almost 2 years before Ms. Marcia's affidavit was filed. Thus, the plaintiff was not without guidance concerning presentation of evidentiary support for her application when her material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However, does it follow necessarily that the plaintiff has failed to meet her evidentiary burden for purposes of s. 4(1)(b)? The issue has recently been discussed by Madam Justice Griffin in </w:t>
      </w:r>
      <w:r>
        <w:rPr>
          <w:rFonts w:ascii="arial" w:eastAsia="arial" w:hAnsi="arial" w:cs="arial"/>
          <w:b/>
          <w:i/>
          <w:color w:val="000000"/>
          <w:sz w:val="20"/>
          <w:lang w:val="en-US" w:eastAsia="en-US" w:bidi="ar-SA"/>
        </w:rPr>
        <w:t>Douez</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Madam Justice Griffin notes (at para. 212) that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xml:space="preserve">, the Court of Appeal's analysis did not conclude one way or the other that it was legally necessary to have evidence that more than one person </w:t>
      </w:r>
      <w:r>
        <w:rPr>
          <w:rFonts w:ascii="arial" w:eastAsia="arial" w:hAnsi="arial" w:cs="arial"/>
          <w:color w:val="000000"/>
          <w:sz w:val="20"/>
          <w:u w:val="single"/>
          <w:lang w:val="en-US" w:eastAsia="en-US" w:bidi="ar-SA"/>
        </w:rPr>
        <w:t>wishes to</w:t>
      </w:r>
      <w:r>
        <w:rPr>
          <w:rFonts w:ascii="arial" w:eastAsia="arial" w:hAnsi="arial" w:cs="arial"/>
          <w:color w:val="000000"/>
          <w:sz w:val="20"/>
          <w:lang w:val="en-US" w:eastAsia="en-US" w:bidi="ar-SA"/>
        </w:rPr>
        <w:t xml:space="preserve"> pursue a claim. Rather, the Court of Appeal's conclusion was that the certification judge had not made any error in accepting Mr. Green's affidavit as meeting the evidentiary burden. The Court of Appeal did not need to express any opinion on whether something less or different would be sufficient for purposes of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[2013] 3 S.C.R. 545</w:t>
        </w:r>
      </w:hyperlink>
      <w:r>
        <w:rPr>
          <w:rFonts w:ascii="arial" w:eastAsia="arial" w:hAnsi="arial" w:cs="arial"/>
          <w:color w:val="000000"/>
          <w:sz w:val="20"/>
          <w:lang w:val="en-US" w:eastAsia="en-US" w:bidi="ar-SA"/>
        </w:rPr>
        <w:t>, the Supreme Court of Canada discussed the "identifiable class" criterion at some length. Mr. Justice Rothstein (who wrote the majority judgment) said,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 agree with the courts that have found that the purpose of the class definition is to (i) identify those persons who have a potential claim for relief against the defendants; (ii) define the parameters of the lawsuit so as to identify those persons who are bound by its result; (iii) describe who is entitled to notice of the action [citations omitted].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states that "[i]t is necessary . . . that any particular person's claim to membership in the class be determinable by stated, objective criteria" (para. 38). According to Eizenga et al., "[t]he general principle is that the class must simply be defined in a way that will allow for a later determination of class membership" (s.&lt;check-sect/&gt;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Justice Rothstein did not say that, in addition, there was a need to show that there are two or more persons interested in pursuing the claim or claims at issue. Rather, the focus was on whether there was some basis in fact to conclude that two or more persons would be able to determine if they were in fact a member of the class: see paras. 57, 69, 72 and 77. Without evidence on that point, there was no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Douez</w:t>
      </w:r>
      <w:r>
        <w:rPr>
          <w:rFonts w:ascii="arial" w:eastAsia="arial" w:hAnsi="arial" w:cs="arial"/>
          <w:color w:val="000000"/>
          <w:sz w:val="20"/>
          <w:lang w:val="en-US" w:eastAsia="en-US" w:bidi="ar-SA"/>
        </w:rPr>
        <w:t>, Madam Justice Griffin concluded, at paras. 228-230: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[228] I find the reasoning in the </w:t>
      </w:r>
      <w:r>
        <w:rPr>
          <w:rFonts w:ascii="arial" w:eastAsia="arial" w:hAnsi="arial" w:cs="arial"/>
          <w:i/>
          <w:color w:val="000000"/>
          <w:sz w:val="20"/>
          <w:lang w:val="en-US" w:eastAsia="en-US" w:bidi="ar-SA"/>
        </w:rPr>
        <w:t>Keatley Appeal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Keatley Surveying Ltd. v. Teranet Inc.</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2014 ONSC 1677</w:t>
        </w:r>
      </w:hyperlink>
      <w:r>
        <w:rPr>
          <w:rFonts w:ascii="arial" w:eastAsia="arial" w:hAnsi="arial" w:cs="arial"/>
          <w:color w:val="000000"/>
          <w:sz w:val="20"/>
          <w:lang w:val="en-US" w:eastAsia="en-US" w:bidi="ar-SA"/>
        </w:rPr>
        <w:t xml:space="preserve"> (Div. Ct.)] compelling:</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does not impose a requirement that the plaintiff must show that there are two or more people in the proposed class that are desirous of pursuing such a claim;</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of Canada jurisprudence also does not import such a requirement;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entrenching such a requirement could undermine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[229] On the latter point, it can often take some courage to come forward to advance a claim in the courts. Individuals who have been wronged can fear that the social or political or economic repercussions of bringing forward a claim will outweigh the potential benefits to them personally, even if the wrong on a global scale is quite large.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[230] I conclude that showing some basis in fact that two or more persons are in the proposed class is all that is necessary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there is no additional requirement of showing that two or more persons are interested in pursuing a claim. The courts' role as gatekeeper can be adequately performed based on the existing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agree with Madam Justice Griffin's analysis and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However, in my opinion, the evidence in this case (and in contrast to the evidence before the court in </w:t>
      </w:r>
      <w:r>
        <w:rPr>
          <w:rFonts w:ascii="arial" w:eastAsia="arial" w:hAnsi="arial" w:cs="arial"/>
          <w:b/>
          <w:i/>
          <w:color w:val="000000"/>
          <w:sz w:val="20"/>
          <w:lang w:val="en-US" w:eastAsia="en-US" w:bidi="ar-SA"/>
        </w:rPr>
        <w:t>Douez</w:t>
      </w:r>
      <w:r>
        <w:rPr>
          <w:rFonts w:ascii="arial" w:eastAsia="arial" w:hAnsi="arial" w:cs="arial"/>
          <w:color w:val="000000"/>
          <w:sz w:val="20"/>
          <w:lang w:val="en-US" w:eastAsia="en-US" w:bidi="ar-SA"/>
        </w:rPr>
        <w:t xml:space="preserve"> and in </w:t>
      </w:r>
      <w:r>
        <w:rPr>
          <w:rFonts w:ascii="arial" w:eastAsia="arial" w:hAnsi="arial" w:cs="arial"/>
          <w:b/>
          <w:i/>
          <w:color w:val="000000"/>
          <w:sz w:val="20"/>
          <w:lang w:val="en-US" w:eastAsia="en-US" w:bidi="ar-SA"/>
        </w:rPr>
        <w:t>Wakelam</w:t>
      </w:r>
      <w:r>
        <w:rPr>
          <w:rFonts w:ascii="arial" w:eastAsia="arial" w:hAnsi="arial" w:cs="arial"/>
          <w:color w:val="000000"/>
          <w:sz w:val="20"/>
          <w:lang w:val="en-US" w:eastAsia="en-US" w:bidi="ar-SA"/>
        </w:rPr>
        <w:t>), fails to satisfy the burden on the plaintiff. Although the burden is not an onerous one, Ms. Marcia's Affidavit No. 5 is not admissible to prove that anyone (including Megan Ritchie and Rahiman Sutter) purchased an iDevice that "utilizes" iOS4, and there is no other evidence on the point. Thus, there is insufficient evidence that two or more persons fall within the proposed class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summary, I find that the proposed class definition does not satisfy the requirement under s. 4(1)(b)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The proposed class definition is, at the same time, too broad and too narrow, and it is not rationally related to the proposed common issues. There is no basis to certify a non-resident sub-class. In addition, the plaintiff has failed to satisfy the evidentiary burden on her to show that two or more persons fall within the proposed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have considered whether the plaintiff should be given the opportunity to try and salvage her case on this requirement. I have concluded that she should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difficulties with the proposed class definition were not obscure or technical. When a problem with the original class definition (which had been flagged in Apple's written submissions and would have meant that Ms. Ladas herself did not fall within the class) was discussed during the hearing, the current class definition was proposed. The plaintiff's position is that this definition satisfies the requirements of s. 4(1)(b). No other possible amendments were suggested or identified. I am not inclined to attempt to craft something on my own: see </w:t>
      </w:r>
      <w:r>
        <w:rPr>
          <w:rFonts w:ascii="arial" w:eastAsia="arial" w:hAnsi="arial" w:cs="arial"/>
          <w:b/>
          <w:i/>
          <w:color w:val="000000"/>
          <w:sz w:val="20"/>
          <w:lang w:val="en-US" w:eastAsia="en-US" w:bidi="ar-SA"/>
        </w:rPr>
        <w:t>Ragoonanan v. Imperial Tobacco Canada Ltd.</w:t>
      </w:r>
      <w:r>
        <w:rPr>
          <w:rFonts w:ascii="arial" w:eastAsia="arial" w:hAnsi="arial" w:cs="arial"/>
          <w:color w:val="000000"/>
          <w:sz w:val="20"/>
          <w:lang w:val="en-US" w:eastAsia="en-US" w:bidi="ar-SA"/>
        </w:rPr>
        <w:t xml:space="preserve">, 2005 CanLII 40373, </w:t>
      </w:r>
      <w:hyperlink r:id="rId964" w:history="1">
        <w:r>
          <w:rPr>
            <w:rFonts w:ascii="arial" w:eastAsia="arial" w:hAnsi="arial" w:cs="arial"/>
            <w:i/>
            <w:color w:val="0077CC"/>
            <w:sz w:val="20"/>
            <w:u w:val="single"/>
            <w:shd w:val="clear" w:color="auto" w:fill="FFFFFF"/>
            <w:lang w:val="en-US" w:eastAsia="en-US" w:bidi="ar-SA"/>
          </w:rPr>
          <w:t>78 O.R. (3d) 98</w:t>
        </w:r>
      </w:hyperlink>
      <w:r>
        <w:rPr>
          <w:rFonts w:ascii="arial" w:eastAsia="arial" w:hAnsi="arial" w:cs="arial"/>
          <w:color w:val="000000"/>
          <w:sz w:val="20"/>
          <w:lang w:val="en-US" w:eastAsia="en-US" w:bidi="ar-SA"/>
        </w:rPr>
        <w:t xml:space="preserve"> (S.C.J.), at paras. 47-48.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7. Common Issues -- s.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have concluded that the plaintiff has failed to satisfy the requirement under s. 4(1)(b) to show some basis in fact that there is an identifiable class of 2 or more persons. A failure to satisfy any one requirement under s. 4(1)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would justify dismissal of the certification application. However, even if the plaintiff had been able to satisfy the requirement that there be an identifiable class, in my opinion, the plaintiff has failed to satisfy the "common issues" requirement under s.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Resolution of common issues is the heart of a class proceeding. Section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requires the plaintiff to provide some basis in fact for concluding that at least some of the issues raised by the claims are either "common but not necessarily identical issues of fact" or "common but not necessarily identical issues of law that arise from common but not necessarily identical issues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Chief Justice McLachlin explained (at para. 39) that the underlying question when analyzing commonality is "whether allowing the suit to proceed as a [class proceeding] will avoid duplication of fact-finding or legal analysis."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Mr. Justice Rothstein conveniently summarized the other holdings of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regarding commonality as follows (see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at para. 108, citing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at paras. 39-40):</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commonality question should be approached purposively.</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will be "common" only where its resolution is necessary to the resolution of each class member's claim.</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essential that the class members be identically situated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opposing party.</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common issues predominate over non-common issues. However, the class members' claims must share a substantial common ingredient to justify a class action. The court will examine the significance of the common issues in relation to individual issues.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must mean success for all. All members of the class must benefit from the successful prosecution of the action, although not necessarily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As Chief Justice Bauman noted in </w:t>
      </w:r>
      <w:r>
        <w:rPr>
          <w:rFonts w:ascii="arial" w:eastAsia="arial" w:hAnsi="arial" w:cs="arial"/>
          <w:b/>
          <w:i/>
          <w:color w:val="000000"/>
          <w:sz w:val="20"/>
          <w:lang w:val="en-US" w:eastAsia="en-US" w:bidi="ar-SA"/>
        </w:rPr>
        <w:t>Watson</w:t>
      </w:r>
      <w:r>
        <w:rPr>
          <w:rFonts w:ascii="arial" w:eastAsia="arial" w:hAnsi="arial" w:cs="arial"/>
          <w:color w:val="000000"/>
          <w:sz w:val="20"/>
          <w:lang w:val="en-US" w:eastAsia="en-US" w:bidi="ar-SA"/>
        </w:rPr>
        <w:t>,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Court recently clarified the final point and held that "success for one member of the class does not necessarily have to lead to success for all the members. However, success for one member must not result in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 Further, questions may be common even if the answers to those questions vary from class member to class member (</w:t>
      </w:r>
      <w:r>
        <w:rPr>
          <w:rFonts w:ascii="arial" w:eastAsia="arial" w:hAnsi="arial" w:cs="arial"/>
          <w:i/>
          <w:color w:val="000000"/>
          <w:sz w:val="20"/>
          <w:lang w:val="en-US" w:eastAsia="en-US" w:bidi="ar-SA"/>
        </w:rPr>
        <w:t>Vivendi</w:t>
      </w:r>
      <w:r>
        <w:rPr>
          <w:rFonts w:ascii="arial" w:eastAsia="arial" w:hAnsi="arial" w:cs="arial"/>
          <w:color w:val="000000"/>
          <w:sz w:val="20"/>
          <w:lang w:val="en-US" w:eastAsia="en-US" w:bidi="ar-SA"/>
        </w:rPr>
        <w:t xml:space="preserve"> at paras. 45-46). In any event, concerns about unproven material differences are not determinative at certification. If they actually emerge during the proceeding, Courts can deal with them when the time comes, through decertification if necessary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at para. 29, Chief Justice McLachlin acknowledged the potential danger of framing a common issue too broadly: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There is clearly something to the appellant's argument that a court should avoid framing commonality between class members in overly broad terms. . . . It would not serve the ends of either fairness or efficiency to certify an action on the basis of issues that are common only when stated in the most general terms. Inevitably such an action would ultimately break down into individual proceedings. That the suit had initially been certified as a class action could only make the proceeding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However, Chief Justice McLachlin also noted (at para. 33) that, under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"the question at the commonality stage is . . . quite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During the hearing of the certification application, the proposed common issues were revised, and the plaintiff now seeks certification of the following issues: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violated the privacy rights of class members by the design, production, distribution and/or operation of iOS4?</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recording of locational data including geographic locations, dates and times by iOS4 and the copying of that data to other computers to which iOS4 devices are backed up or synchronized with and the transmission of that data to the Defendant constitute a deceptive act or practice that has the capability, tendency or effect of deceiving or misleading class members?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iOS4 is found to have recorded locational data including geographic locations, dates and times and copied that data to other computers with which iOS4 devices were backed up or synchronized with and that data was transmitted to the Defendant in a systematic fashion are the class members entitled to aggravated, punitive and/or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Proposed common issue (b) is based on a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xml:space="preserve">. However, I have concluded that no reasonable claim has been pleaded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Therefore, proposed common issue (b), either in its original form or its revised form, cannot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Moreover, as I noted above, there is no allegation in the NCC that any data is </w:t>
      </w:r>
      <w:r>
        <w:rPr>
          <w:rFonts w:ascii="arial" w:eastAsia="arial" w:hAnsi="arial" w:cs="arial"/>
          <w:color w:val="000000"/>
          <w:sz w:val="20"/>
          <w:u w:val="single"/>
          <w:lang w:val="en-US" w:eastAsia="en-US" w:bidi="ar-SA"/>
        </w:rPr>
        <w:t>transmitted</w:t>
      </w:r>
      <w:r>
        <w:rPr>
          <w:rFonts w:ascii="arial" w:eastAsia="arial" w:hAnsi="arial" w:cs="arial"/>
          <w:color w:val="000000"/>
          <w:sz w:val="20"/>
          <w:lang w:val="en-US" w:eastAsia="en-US" w:bidi="ar-SA"/>
        </w:rPr>
        <w:t xml:space="preserve"> to Apple. Since, based on the pleadings, transmission is not an issue of fact in the case, there would be no point in having an issue concerning transmission certified as a common issue. This comment applies to both proposed common issues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Proposed common issue (a) arises out of the only claim to survive following my analysis under s. 4(1)(a): the breach of privacy claim. For B.C. residents, that claim exists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only; there is no common law claim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Proposed common issue (a) endeavours to focus on Apple's conduct ("design, production, distribution and/or operation of iOS4"). This is often an effective way to frame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But the issue raised is whether Apple's conduct violates the plaintiff's and class members' privacy rights; in other words, whether Apple is </w:t>
      </w:r>
      <w:r>
        <w:rPr>
          <w:rFonts w:ascii="arial" w:eastAsia="arial" w:hAnsi="arial" w:cs="arial"/>
          <w:color w:val="000000"/>
          <w:sz w:val="20"/>
          <w:u w:val="single"/>
          <w:lang w:val="en-US" w:eastAsia="en-US" w:bidi="ar-SA"/>
        </w:rPr>
        <w:t>liable</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Resolution of proposed common issue (a) requires the court to look not only at Apple, but also at the individual circumstances of the plaintiff and other proposed class members in order to make a determination of the issue on the merits. As Madam Justice Griffin pointed out in </w:t>
      </w:r>
      <w:r>
        <w:rPr>
          <w:rFonts w:ascii="arial" w:eastAsia="arial" w:hAnsi="arial" w:cs="arial"/>
          <w:b/>
          <w:i/>
          <w:color w:val="000000"/>
          <w:sz w:val="20"/>
          <w:lang w:val="en-US" w:eastAsia="en-US" w:bidi="ar-SA"/>
        </w:rPr>
        <w:t>Douez</w:t>
      </w:r>
      <w:r>
        <w:rPr>
          <w:rFonts w:ascii="arial" w:eastAsia="arial" w:hAnsi="arial" w:cs="arial"/>
          <w:color w:val="000000"/>
          <w:sz w:val="20"/>
          <w:lang w:val="en-US" w:eastAsia="en-US" w:bidi="ar-SA"/>
        </w:rPr>
        <w:t xml:space="preserve"> (at para. 283), the subjective elements of reasonableness and context are relevant under ss. 1(2) and (3) of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This point is illustrated by Mr. Justice Walker's analysis in </w:t>
      </w:r>
      <w:r>
        <w:rPr>
          <w:rFonts w:ascii="arial" w:eastAsia="arial" w:hAnsi="arial" w:cs="arial"/>
          <w:b/>
          <w:i/>
          <w:color w:val="000000"/>
          <w:sz w:val="20"/>
          <w:lang w:val="en-US" w:eastAsia="en-US" w:bidi="ar-SA"/>
        </w:rPr>
        <w:t>Heckert v. 5470 Investments Ltd.</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2008 BCSC 1298</w:t>
        </w:r>
      </w:hyperlink>
      <w:r>
        <w:rPr>
          <w:rFonts w:ascii="arial" w:eastAsia="arial" w:hAnsi="arial" w:cs="arial"/>
          <w:color w:val="000000"/>
          <w:sz w:val="20"/>
          <w:lang w:val="en-US" w:eastAsia="en-US" w:bidi="ar-SA"/>
        </w:rPr>
        <w:t>, a case that Mr. Justice Walker described (at para. 1) as involving "the competing claims of a tenant's right to privacy and a landlord's right to protect its property and its obligation to protect the interests of other tenants in a residential apartment building." The plaintiff alleged that, by the placement of a camera on the floor where her apartment was located, the landlord had, in effect, placed her under video surveillance and therefore breached her privacy. Mr. Justice Walker wrote, at paras. 75-76: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Simply adopting an explanation or definition of privacy does not, of itself, determine a person's rights since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provides that an individual's right to privacy, as well as a defendant's obligation not to violate it, are not fixed: </w:t>
      </w:r>
      <w:r>
        <w:rPr>
          <w:rFonts w:ascii="arial" w:eastAsia="arial" w:hAnsi="arial" w:cs="arial"/>
          <w:b/>
          <w:i/>
          <w:color w:val="000000"/>
          <w:sz w:val="20"/>
          <w:lang w:val="en-US" w:eastAsia="en-US" w:bidi="ar-SA"/>
        </w:rPr>
        <w:t>Davis</w:t>
      </w:r>
      <w:r>
        <w:rPr>
          <w:rFonts w:ascii="arial" w:eastAsia="arial" w:hAnsi="arial" w:cs="arial"/>
          <w:color w:val="000000"/>
          <w:sz w:val="20"/>
          <w:lang w:val="en-US" w:eastAsia="en-US" w:bidi="ar-SA"/>
        </w:rPr>
        <w:t xml:space="preserve">, S.C. at 254. This point is made clear in s. 1(2)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which entitles citizens to a privacy interest that is reasonable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The concept of privacy has an inherent elasticity and requires that all of the varying circumstances of each case be taken into account: </w:t>
      </w:r>
      <w:r>
        <w:rPr>
          <w:rFonts w:ascii="arial" w:eastAsia="arial" w:hAnsi="arial" w:cs="arial"/>
          <w:b/>
          <w:i/>
          <w:color w:val="000000"/>
          <w:sz w:val="20"/>
          <w:lang w:val="en-US" w:eastAsia="en-US" w:bidi="ar-SA"/>
        </w:rPr>
        <w:t>Davis</w:t>
      </w:r>
      <w:r>
        <w:rPr>
          <w:rFonts w:ascii="arial" w:eastAsia="arial" w:hAnsi="arial" w:cs="arial"/>
          <w:color w:val="000000"/>
          <w:sz w:val="20"/>
          <w:lang w:val="en-US" w:eastAsia="en-US" w:bidi="ar-SA"/>
        </w:rPr>
        <w:t xml:space="preserve">, S.C. at 255. The Court of Appeal said in </w:t>
      </w:r>
      <w:r>
        <w:rPr>
          <w:rFonts w:ascii="arial" w:eastAsia="arial" w:hAnsi="arial" w:cs="arial"/>
          <w:b/>
          <w:i/>
          <w:color w:val="000000"/>
          <w:sz w:val="20"/>
          <w:lang w:val="en-US" w:eastAsia="en-US" w:bidi="ar-SA"/>
        </w:rPr>
        <w:t>Davis</w:t>
      </w:r>
      <w:r>
        <w:rPr>
          <w:rFonts w:ascii="arial" w:eastAsia="arial" w:hAnsi="arial" w:cs="arial"/>
          <w:color w:val="000000"/>
          <w:sz w:val="20"/>
          <w:lang w:val="en-US" w:eastAsia="en-US" w:bidi="ar-SA"/>
        </w:rPr>
        <w:t xml:space="preserve"> at 763-764: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plain that whether there has been a violation of the privacy of another must be decided on the particular facts of each case. As the learned Judge below said in his reasons for judgment...: "It is necessary to consider all of the circumstances before determining 'The nature and degree of privacy to which a person is entitled,'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Justice Walker also noted (at paras. 83-84) the "contextual approach" that had been adopted by courts dealing with claims that video surveillance breached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has not shown any basis in fact to conclude that reasonableness and context could be proved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addition, one of the factual issues on which a defendant's liability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depends is whether Apple acted "without a claim of right" (see s. 1(1)). Another is whether the act or conduct complained of was consented to by a person entitled to consent (see s. 2(2)(a)). The plaintiff has not shown a basis in fact to conclude that either of these issues could be proved on a class-wide basis. They are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Of course, a common issue does not need to be determinative of liability. It simply needs to move the litigation forward. I do not know whether it would be possible to draft a more surgical issue or issues in this case that would meet the commonality requirements described in the authorities. Often, separate -- and common -- factual issues can be embedded in liability issues, and these factual issues may satisfy the definition of "common issue" under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However, here, nothing else has been proposed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my opinion, proposed common issue (a) is an example of an issue drafted at a high level of generality so as to appear common, when it is not. Based on the language in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and the cases interpreting it, a determination of proposed common issue (a) will require the determination of individual issues. It cannot be certified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Proposed common issue (c) seeks to have an entitlement to "aggravated, punitive and/or exemplary damages" certified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 concluded above that the facts pleaded in the NCC did not state a reasonable claim for aggravated damages. However, there is an additional problem. Aggravated damages are </w:t>
      </w:r>
      <w:r>
        <w:rPr>
          <w:rFonts w:ascii="arial" w:eastAsia="arial" w:hAnsi="arial" w:cs="arial"/>
          <w:color w:val="000000"/>
          <w:sz w:val="20"/>
          <w:u w:val="single"/>
          <w:lang w:val="en-US" w:eastAsia="en-US" w:bidi="ar-SA"/>
        </w:rPr>
        <w:t>compensatory</w:t>
      </w:r>
      <w:r>
        <w:rPr>
          <w:rFonts w:ascii="arial" w:eastAsia="arial" w:hAnsi="arial" w:cs="arial"/>
          <w:color w:val="000000"/>
          <w:sz w:val="20"/>
          <w:lang w:val="en-US" w:eastAsia="en-US" w:bidi="ar-SA"/>
        </w:rPr>
        <w:t xml:space="preserve"> damages and may only be awarded for that purpose: see </w:t>
      </w:r>
      <w:r>
        <w:rPr>
          <w:rFonts w:ascii="arial" w:eastAsia="arial" w:hAnsi="arial" w:cs="arial"/>
          <w:b/>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at p. 1099. They are intended to augment ordinary compensatory damages. Any entitlement to aggravated damages is clearly an individual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"Punitive damages" and "exemplary damages" are not two different things. Rather, as McIntyre J. explains in </w:t>
      </w:r>
      <w:r>
        <w:rPr>
          <w:rFonts w:ascii="arial" w:eastAsia="arial" w:hAnsi="arial" w:cs="arial"/>
          <w:b/>
          <w:i/>
          <w:color w:val="000000"/>
          <w:sz w:val="20"/>
          <w:lang w:val="en-US" w:eastAsia="en-US" w:bidi="ar-SA"/>
        </w:rPr>
        <w:t>Vorvis</w:t>
      </w:r>
      <w:r>
        <w:rPr>
          <w:rFonts w:ascii="arial" w:eastAsia="arial" w:hAnsi="arial" w:cs="arial"/>
          <w:color w:val="000000"/>
          <w:sz w:val="20"/>
          <w:lang w:val="en-US" w:eastAsia="en-US" w:bidi="ar-SA"/>
        </w:rPr>
        <w:t xml:space="preserve"> (referring to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(2nd ed. 1983), at p. 562, para. 979), they are different names for the same thing. It is unnecessary to plead both of them, and improper to plead them as alternatives. However, this is not the only difficulty with proposed common issue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There are examples where a defendant's </w:t>
      </w:r>
      <w:r>
        <w:rPr>
          <w:rFonts w:ascii="arial" w:eastAsia="arial" w:hAnsi="arial" w:cs="arial"/>
          <w:color w:val="000000"/>
          <w:sz w:val="20"/>
          <w:u w:val="single"/>
          <w:lang w:val="en-US" w:eastAsia="en-US" w:bidi="ar-SA"/>
        </w:rPr>
        <w:t>liability</w:t>
      </w:r>
      <w:r>
        <w:rPr>
          <w:rFonts w:ascii="arial" w:eastAsia="arial" w:hAnsi="arial" w:cs="arial"/>
          <w:color w:val="000000"/>
          <w:sz w:val="20"/>
          <w:lang w:val="en-US" w:eastAsia="en-US" w:bidi="ar-SA"/>
        </w:rPr>
        <w:t xml:space="preserve"> to pay punitive damages has been certified as a common issue (see, e.g., </w:t>
      </w:r>
      <w:r>
        <w:rPr>
          <w:rFonts w:ascii="arial" w:eastAsia="arial" w:hAnsi="arial" w:cs="arial"/>
          <w:b/>
          <w:i/>
          <w:color w:val="000000"/>
          <w:sz w:val="20"/>
          <w:lang w:val="en-US" w:eastAsia="en-US" w:bidi="ar-SA"/>
        </w:rPr>
        <w:t>Watson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The ultimate determination of the plaintiff's and class members' </w:t>
      </w:r>
      <w:r>
        <w:rPr>
          <w:rFonts w:ascii="arial" w:eastAsia="arial" w:hAnsi="arial" w:cs="arial"/>
          <w:color w:val="000000"/>
          <w:sz w:val="20"/>
          <w:u w:val="single"/>
          <w:lang w:val="en-US" w:eastAsia="en-US" w:bidi="ar-SA"/>
        </w:rPr>
        <w:t>entitlement to</w:t>
      </w:r>
      <w:r>
        <w:rPr>
          <w:rFonts w:ascii="arial" w:eastAsia="arial" w:hAnsi="arial" w:cs="arial"/>
          <w:color w:val="000000"/>
          <w:sz w:val="20"/>
          <w:lang w:val="en-US" w:eastAsia="en-US" w:bidi="ar-SA"/>
        </w:rPr>
        <w:t xml:space="preserve"> and quantification of punitive damages must be deferred until the conclusion of individual trials concerning liability and compensatory damages. However, often in these cases, an element (or some elements) of a claim for punitive damages can be certified as a common issue. For example, the question of whether a defendant's conduct was sufficiently reprehensible or high-handed to warrant punishment can be determined as a common issue at a trial where other common issues (or at least one other common issue relevant to the defendant's conduct) will be determined. See, for example, </w:t>
      </w:r>
      <w:r>
        <w:rPr>
          <w:rFonts w:ascii="arial" w:eastAsia="arial" w:hAnsi="arial" w:cs="arial"/>
          <w:b/>
          <w:i/>
          <w:color w:val="000000"/>
          <w:sz w:val="20"/>
          <w:lang w:val="en-US" w:eastAsia="en-US" w:bidi="ar-SA"/>
        </w:rPr>
        <w:t>Fakhri v. Wild Oats Markets Canada, Inc.</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2004 BCCA 549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at paras. 31-33.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However, even if there were no problems with proposed common issue (c), or even if the problems I have identified could be rectified by some redrafting, it cannot be certified as a common issue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plaintiff has failed, therefore, to satisfy the requirement under s.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8. Preferable Procedure --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view of my conclusions that there is no identifiable class and that there are no issues that can be certified as common issues, I do not see any utility in discussing the requirement under s. 4(1)(d), that "a class proceeding would be the preferable procedure for the fair and efficient resolution of the common issues." There is no point discussing whether a class proceeding would be preferable to resolve issues that I have concluded are not found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9. The representative Plaintiff and Litigation Plan --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Again, in view of my conclusions regarding. s. 4(1)(b) and (c), I will comment on the s. 4(1)(e) requirement only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Watson</w:t>
      </w:r>
      <w:r>
        <w:rPr>
          <w:rFonts w:ascii="arial" w:eastAsia="arial" w:hAnsi="arial" w:cs="arial"/>
          <w:color w:val="000000"/>
          <w:sz w:val="20"/>
          <w:lang w:val="en-US" w:eastAsia="en-US" w:bidi="ar-SA"/>
        </w:rPr>
        <w:t>, Bauman C.J.S.C. summarized the applicable principles as follows (at paras. 71-75):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Finally, under subsection (e), the plaintiff must show some basis in fact that she is an appropriate representative plaintiff with reference to the three specified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First, the plaintiff must fairly and accurately represent the interests of the class. The Court considered the nature of this requirement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In assessing whether the proposed representative is adequate, the court may look to the motivation of the representative, the competence of the representative's counsel, and the capacity of the representative to bear any costs that may be incurred by the representative in particular (as opposed to by counsel or by the class members generally). The proposed representative need not be "typical" of the class, nor the "best" possible representative. The court should be satisfied, however, that the proposed representative will vigorously and capably prosecute the interests of the class [citations omitted].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Further, the most important attributes of a representative plaintiff are a common interest with class members and the ability and desire to vigorously prosecute the claims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Second, the plaintiff must have a litigation plan with a workable method of advancing the proceeding and of notifying the class members. The purpose of this requirement was described in </w:t>
      </w:r>
      <w:r>
        <w:rPr>
          <w:rFonts w:ascii="arial" w:eastAsia="arial" w:hAnsi="arial" w:cs="arial"/>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[77]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Moreover, the plan must support the idea that a class action is the preferable procedure for the resolution of the claim. The amount of detail in the plan must correspond to the circumstances and the complexity of each specific case, but the plan must at least be individualized and not a mere outline of the steps that would occur in any case. The plan must also deal with individual issues that will be left over after the common issues are resolved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Third, the plaintiff must not have a conflict of interest with other class members on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My comments will focus on the proposed litigation plan, which is contained in Ms. Ladas's Affidavit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Some of the statements made by Ms. Ladas about the litigation plan can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For example, in para. 10, under the heading "Evidence of Class Members," Ms. Ladas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counsel have collected documentary evidence from identified class members.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Ladas could only know what class counsel had done if she had been told about it, so her evidence is disguised hearsay. Hearsay evidence would be admissible, however Ms. Ladas does not identify the source of her information or say that she believes it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Moreover, based on Ms. Ladas's evidence on cross-examination, the "documentary evidence" referred to in para. 10 of her affidavit appears to be contact information of individuals who have expressed an interest in the litigation. Ms. Ladas was not aware of anything else. The statement in her affidavit implies that more has been done to advance the case, and is somewhat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para. 12, Ms. Ladas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Discovery of individual class members is not likely because all class members are similarly situated both factually and documentarily.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Ladas could not have any personal knowledge of facts that would allow her to express the conclusion (and opinion) that "Discovery of individual class members is not likely." On cross-examination, when asked to explain why she thought others would be similar to her, Ms. Ladas said that that was what she was instructed by her lawyer. She acknowledged that she had not had discussions with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cause of action described in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contemplates an examination of individual circumstances and context to determine whether a breach of privacy has occurred. This is a necessary part of the case. But in the proposed litigation plan it is addressed in only the most superficial way -- by the proposal to have a case management conference after determination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 litigation plan can be quite spare and simple, provided spare and simple are suitable for the case. The plan can be amended as the case develops, if amendments are required. However, I was not provided with any examples in the decided cases where the type of litigation plan that Ms. Ladas describes was judged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my opinion, the plaintiff has failed to produce a plan for the proceeding that sets out a workable method of advancing the proceeding. The litigation plan presented here fails to demonstrate that the representative plaintiff and class counsel have a clear grasp of the potential complexities involved in this case, and a plan to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its written and oral submissions, Apple advanced additional reasons why I should find that Ms. Ladas is not an adequate representative plaintiff. However, in the circumstances, I do not consider it necessary to discuss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10.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In summary, the plaintiff has satisfied the requirement under s. 4(1)(a) with respect to her claim under the </w:t>
      </w:r>
      <w:r>
        <w:rPr>
          <w:rFonts w:ascii="arial" w:eastAsia="arial" w:hAnsi="arial" w:cs="arial"/>
          <w:b/>
          <w:i/>
          <w:color w:val="000000"/>
          <w:sz w:val="20"/>
          <w:lang w:val="en-US" w:eastAsia="en-US" w:bidi="ar-SA"/>
        </w:rPr>
        <w:t>Privacy Act (B.C.)</w:t>
      </w:r>
      <w:r>
        <w:rPr>
          <w:rFonts w:ascii="arial" w:eastAsia="arial" w:hAnsi="arial" w:cs="arial"/>
          <w:color w:val="000000"/>
          <w:sz w:val="20"/>
          <w:lang w:val="en-US" w:eastAsia="en-US" w:bidi="ar-SA"/>
        </w:rPr>
        <w:t xml:space="preserve"> and similar legislation in 3 other Provinces, and (for those Provinces without such legislation) with respect to her claim for intentional breach of privacy. However, she has not pleaded a reasonable claim under the </w:t>
      </w:r>
      <w:r>
        <w:rPr>
          <w:rFonts w:ascii="arial" w:eastAsia="arial" w:hAnsi="arial" w:cs="arial"/>
          <w:b/>
          <w:i/>
          <w:color w:val="000000"/>
          <w:sz w:val="20"/>
          <w:lang w:val="en-US" w:eastAsia="en-US" w:bidi="ar-SA"/>
        </w:rPr>
        <w:t>BPA</w:t>
      </w:r>
      <w:r>
        <w:rPr>
          <w:rFonts w:ascii="arial" w:eastAsia="arial" w:hAnsi="arial" w:cs="arial"/>
          <w:color w:val="000000"/>
          <w:sz w:val="20"/>
          <w:lang w:val="en-US" w:eastAsia="en-US" w:bidi="ar-SA"/>
        </w:rPr>
        <w:t>. The plaintiff has failed to satisfy the requirements under s. 4(1)(b) (identifiable class) and s. 4(1)(c) (common issues). In view of my conclusions on ss. 4(1)(b) and (c), I have not addressed the requirement under s. 4(1)(d) and made only brief comments regarding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a result, the plaintiff's certification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Laidar Holdings Ltd. v. Lindt &amp; Sprungli (Canada) Inc., [2019] B.C.J. No. 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 and 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Laidar Holdings Ltd. and Sherry Wittenberg, Plaintiffs/Defendants by Counterclaim, and Lindt &amp; Sprungli (Canada) Inc., Defendants/Plaintiffs by Counterclaim, and DTZ Barnicke Limited and DTZ Barnicke Vancouver Limited, Third Parties, and DTZ Barnicke Vancouver Limited, Fourth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3" w:name="Keywords_40"/>
      <w:bookmarkEnd w:id="383"/>
      <w:r>
        <w:rPr>
          <w:rFonts w:ascii="arial" w:eastAsia="arial" w:hAnsi="arial" w:cs="arial"/>
          <w:b/>
          <w:color w:val="000000"/>
          <w:sz w:val="20"/>
          <w:lang w:val="en-US" w:eastAsia="en-US" w:bidi="ar-SA"/>
        </w:rPr>
        <w:t>Civil litigation — Civil procedure — Costs — Particular orders — Party and party or partial indemnity — Special orders — Increase in scale of costs — Unproved allegations of fraud — Particular circumstances — Liability of third party — Where success divided — Offers to settle — Bullock or Sanderson order — Set-off — Interest — Calculation of — Date from which interest runs — Post-judgment interest — Pre-judgment interest — Supplementary judgment to determine costs and quantum of landlords' damages — Tenant had not acted in bad faith in advancing counterclaim for fraudulent misrepresentation — Special costs or uplift of costs not warranted — Tenant entitled to costs from service of offer, to be set off against liability for costs it owed landlord — DTZ was to indemnify tenant for 70 per cent of costs it was required to pay landlord — DTZ and tenant were to bear own costs following service of DTZ's offer — DTZ Vancouver was entitled to double costs from tenant from date of its offer — Supreme Court Civil Rules, Rules 9-1, 14-1(15).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Proceedings — Practice and procedure — Costs — Offers to settle — Interest — Pre-judgment interest — Supplementary judgment to determine costs and quantum of landlords' damages — Tenant had not acted in bad faith in advancing counterclaim for fraudulent misrepresentation — Special costs or uplift of costs not warranted — Tenant entitled to costs from service of offer, to be set off against liability for costs it owed landlord — DTZ was to indemnify tenant for 70 per cent of costs it was required to pay landlord — DTZ and tenant were to bear own costs following service of DTZ's offer — DTZ Vancouver was entitled to double costs from tenant from date of its offer — Supreme Court Civil Rules, Rules 9-1, 14-1(15).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4" w:name="Case Summary_38"/>
            <w:bookmarkEnd w:id="3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Supplementary judgment to determine costs and issues relating to the quantum of the landlords' damages. The defendant tenant walked away from a commercial lease after the City refused to issue permits relating to the premises. Following a 28-day trial, the plaintiff landlords' claim for compensable loss was granted in part. It was awarded damages of $151,721 plus costs. The tenant's counterclaim for fraudulent misrepresentation was dismissed as was its third party claim against its real estate brokers, DTZ Vancouver. Its third party claim against its other brokers, DTZ, was allowed with 70 per cent fault apportioned to DTZ. DTZ's fourth party claim against DTZ Vancouver for indemnification was dismissed. In 2014, DTZ made an offer to settle the tenant's third party claim for $145,000. In 2015, the tenant made an offer to settle, via email to the landlord, of $305,000 and DTZ Vancouver made an offer to settle to the tenant for $62,500.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5" w:name="Holdings of Court_33"/>
            <w:bookmarkEnd w:id="385"/>
            <w:r>
              <w:rPr>
                <w:rFonts w:ascii="arial" w:eastAsia="arial" w:hAnsi="arial" w:cs="arial"/>
                <w:color w:val="000000"/>
                <w:sz w:val="20"/>
                <w:lang w:val="en-US" w:eastAsia="en-US" w:bidi="ar-SA"/>
              </w:rPr>
              <w:t>HELD: The landlords' damages were quantified and various costs orders were made.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landlords were entitled to recover only that portion of the commission that pertained to the portion of property covered by the lease and for the period of time that could be attributed to the renting of the premises for the balance of the tenant's term. The commission amount was quantified at $4,016. The language of the lease and the evidence of the surrounding circumstances led to the conclusion the lease provided for the payment of simple, not compound, interest. Post-judgment interest commenced on the date of judgment. Costs were set at Scale B for all parties. The tenant had not acted in bad faith in advancing its counterclaim for fraudulent misrepresentation. Special costs or an uplift of costs were not warranted. Service by email was not defective service of the tenant's offer. The parties had clearly implicitly agreed to email as an accepted method of written communication. The tenant's offer ought reasonably to have been accepted. The tenant was entitled to its costs after service of the offer, to be set off against the costs the landlord was entitled to prior to the offer. The tenant ought reasonably to have accepted DTZ Vancouver's offer. DTZ Vancouver was awarded double costs following the date of its offer. The tenant was not entitled to Sanderson order that required DTZ to pay the costs the tenant owed DTZ Vancouver. DTZ was to indemnify the tenant for 70 per cent of the costs it was required to pay the landlord. DTZ's offer to the tenant ought reasonably to have been accepted. Given the amount of the offer compared to the judgment obtained, DTZ and the tenant were to bear their own costs from the date of the service of DTZ's offer.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6" w:name="Legislation Cited_30"/>
      <w:bookmarkEnd w:id="3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hyperlink r:id="rId976" w:history="1">
        <w:r>
          <w:rPr>
            <w:rFonts w:ascii="arial" w:eastAsia="arial" w:hAnsi="arial" w:cs="arial"/>
            <w:i/>
            <w:color w:val="0077CC"/>
            <w:sz w:val="20"/>
            <w:u w:val="single"/>
            <w:shd w:val="clear" w:color="auto" w:fill="FFFFFF"/>
            <w:lang w:val="en-US" w:eastAsia="en-US" w:bidi="ar-SA"/>
          </w:rPr>
          <w:t>R.S.B.C. 1996, c. 79, s. 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77"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 Rule 9-1(4), Rule 9-1(5), Rule 9-1(6), Rule 14-1(7), Rule 14-1(15),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7" w:name="Counsel_42"/>
      <w:bookmarkEnd w:id="3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Laidar Holdings Ltd.: Vivienne H.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Joseph C. McArthur, Brady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DTZ Barnicke Limited: John D. Dives.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and Fourth Party, DTZ Barnicke Vancouver Limited: Gregory J. Nash.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8" w:name="Judgment_42"/>
      <w:bookmarkEnd w:id="388"/>
      <w:r>
        <w:pict>
          <v:line id="_x0000_s1235"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Settlement of the Quantum of Laidar's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Costs Between Laidar and Lindt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Costs Between Lindt and DTZ</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Costs of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QUANTIFICATION OF THE PLAINTIFF'S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Cushman &amp; Wakefield Commission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Timing of the deduction of the deposit and fixturing allowance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Contractual Interest - Simple or Compound?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Crystallization of judgement and the commencement of 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SCALE OF COSTS/SPECIAL COSTS/ UPLIFT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Scale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Uplift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OFFERS TO SETTLE, APPORTIONMENT, SANDERSON ORDER, APPLICATION FOR DIRECTIONS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Rules - offers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Email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Lindt's Offer to Laidar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DTZ Vancouver Offer to Lindt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Direction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Sanderson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Disposition - DTZ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Lindt - DTZ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Apportionment - R. 14-1(15)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DISPOSITION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on Quantum and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address issues with respect to the quantum of the plaintiff's damages and costs for all parties. They are supplementary to the reasons for judgment (the "Reasons") indexed at </w:t>
      </w:r>
      <w:hyperlink r:id="rId978" w:history="1">
        <w:r>
          <w:rPr>
            <w:rFonts w:ascii="arial" w:eastAsia="arial" w:hAnsi="arial" w:cs="arial"/>
            <w:i/>
            <w:color w:val="0077CC"/>
            <w:sz w:val="20"/>
            <w:u w:val="single"/>
            <w:shd w:val="clear" w:color="auto" w:fill="FFFFFF"/>
            <w:lang w:val="en-US" w:eastAsia="en-US" w:bidi="ar-SA"/>
          </w:rPr>
          <w:t>2018 BCSC 66</w:t>
        </w:r>
      </w:hyperlink>
      <w:r>
        <w:rPr>
          <w:rFonts w:ascii="arial" w:eastAsia="arial" w:hAnsi="arial" w:cs="arial"/>
          <w:color w:val="000000"/>
          <w:sz w:val="20"/>
          <w:lang w:val="en-US" w:eastAsia="en-US" w:bidi="ar-SA"/>
        </w:rPr>
        <w:t>. That judgment is under appeal. Therefore, I will deal with the remaining issues with a minimum of commentary.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proceeding arises out of a lease of a commercial property (the "Property") located on Terminal Avenue in Vancouver, British Columbia (the "Lease"). In the negotiations leading up to the signing of the Lease, the plaintiff landlord, Laidar Holdings Ltd. ("Laidar"), was represented by a management firm and real estate agents. The defendant tenant Lindt &amp; Sprungli (Canada) Inc. ("Lindt") was represented by two firms of real estate brokers, DTZ Barnicke Limited ("DTZ"), based in Ontario, and DTZ Barnicke Vancouver Limited ("DTZ Vancouver"), based in Vancouver. In addition, both the landlord and tenant had the assistance of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a lengthy negotiation, Laidar and Lindt signed the Lease and Lindt prepared to take possession of its portion of the Property, which consisted of a 3,158 square foot main floor showroom space (the "Premises"). However no one had confirmed that Lindt's proposed use of the Premises was compliant with the applicable zoning before the Lease was signed. When Lindt's contractor applied to the city of Vancouver for the necessary permits, the City took the position that the tenant's proposed use of the space was not compliant with the applicable zoning and did not issue the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Lindt was given the names of several consultants to assist with negotiations with the City. Instead Lindt opted to walk away from the Lease, taking the position that it was entitled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Laidar did not accept the repudiation of the Lease and commenced this proceeding. Lindt took the position that the Lease was void or voidable and defended the suit. Lindt commenced a counterclaim seeking damages from Laidar. Lindt also initiated third party proceedings against DTZ and DTZ Vancouver seeking damages and contribution or indemnity in relation to the claims brought by Laidar. DTZ issued a fourth party notice against DTZ Vancouver seeking contribution and indemnity in relation to Lindt's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protracted and expensive litigation that followed included two failed attempts to resolve the dispute through mediation and a 28 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result at trial:</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rectification was granted. The Lease was to be rectified by substituting the correct legal description of the Property to be leased and by deleting the phrase "Registered Owner and Bare Trustee for SHERY WITTENBERG" as a descriptor of the Landlord.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compensable loss was granted in part. Laidar was to recover: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unpaid rent being Annual Base Rent of $18.75 per square foot for 3,158 square feet plus 5% GST for the period June 1, 2008 to August 1, 2010;</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Cushman &amp; Wakefield commission that is attributable to the rental of the Premises for the balance of the Lindt lease;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Party and party legal fees pertaining to its efforts to collect sums due or payable as rent by Lindt in the amount to be determined by the Registrar;</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on amounts awarded as loss of rent in the amount to be determined by the Registrar;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Less deductions in the amount of $15,866.58 (the deposit) and $17,500 (fixturing);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counterclaim was dismissed.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third party claim against DTZ Vancouver was dismissed with costs.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DTZ's fourth party claim for indemnification from DTZ Vancouver was dismissed with costs.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claim for indemnification from DTZ in respect to amounts awarded to the plaintiffs was granted subject to the apportionment of fault being 70% to DTZ and 30% to Lindt.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claim against DTZ for the recovery of expenses was allowed in part. Lindt was to recover $25,854.88 in relation to the contractor expense, subject to the apportionment of fault being 70% to DTZ and 30% to Lindt.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were given leave to address costs not otherwise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Settlement of the Quantum of Laidar's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with respect to the quantum of Laidar's damages are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Cushman &amp; Wakefield commission. Lindt submits that Laidar is only entitled to commission: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portion of the Property covered by the Lease, which does not include the second floor;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portion that can be attributed to the renting of the Premises for the balance of the Lindt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Laidar's position is that the judgment is not clear on this point. Laidar further takes issue with Lindt's calculation of the amount in the event that Lindt's position is adopted.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deduction of the deposit and fixturing allowance. Lindt submits that pursuant to the Lease the fixturing costs would have been required to be incurred at the beginning of the Lease. The deposit was to be paid at the beginning of the Lease and was to be applied to obligations outstanding at the termination of the Lease. Therefore, in calculating the damages awarded to Laidar, the deposit should be deducted from the obligation outstanding at the end of the Lease, July 31, 2010 and the fixturing allowance should be deducted from the obligations at the commencement of the Lease. Laidar's position is that the amounts should simply be deducted from the overall award. Laidar submits that Lindt's position is not consistent with the language of the Lease.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contractual interest awarded on amounts awarded as loss of rent should be simple or compound. Laidar submits that the interest should be compounded monthly. Lindt's position is that the interest should be simple. DTZ submits that the interest should be simple but if compound, should be compounded annually and not in advance.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Crystallization of judgment and the commencement of post-judgment interest. Laidar submits that because there are outstanding issues with the quantification of the judgment, the contractual interest should continue to apply until the determination of the remaining quantification issues. Lindt's position is that post-judgment interest should commence as at the date of the original judgment because there were no substantial issues left unresolved.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Between Laidar and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in relation to this set of costs are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 Uplift in costs. Laidar seeks an award of special costs or in the alternative an uplift in costs based on Lindt's unsuccessful allegations against Laidar and its agents of fraudulent misrepresentation. Lindt submits that neither special costs nor an uplift are appropriate.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of costs. Laidar seeks its costs at Scale C. Lindt and the DTZ parties submit the appropriate level is Scale B for all parties.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offer to settle. On March 28, 2015 Lindt made an offer to settle of $305,000.</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issue is whether this constitutes an offer to settle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because it was sent by email and Laidar had not set email as a method of service.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this is an offer to settle pursuant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what effect, if any, should be given to it? Lindt submits that Laidar should receive its costs to the date of the offer and that Laidar should pay its costs after the date of the offer. Laidar submits that the offer should have no effect on costs.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seeks an order for interest on costs from the date of judgment.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Between Lindt and DTZ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in relation to this set of costs are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an apportionment pursuant to R. 14-1(15)?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DTZ submits that Lindt's costs should be apportioned 60% to the plaintiffs' claim, 20% to Lindt's claim against DTZ and 20% to Lindt's claim against DTZ Vancouver. Lindt's position is that there should be no such apportionment.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Laidar's costs be apportioned based on degrees of fault? Lindt's claim for indemnification from DTZ in respect to amounts awarded to Laidar was granted subject to the apportionment of fault being 70% to DTZ and 30% to Lindt. Lindt submitted that liability for Laidar's costs should be apportioned in the same proportion as their respective liability pursuant to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c.333</w:t>
      </w:r>
      <w:r>
        <w:rPr>
          <w:rFonts w:ascii="arial" w:eastAsia="arial" w:hAnsi="arial" w:cs="arial"/>
          <w:color w:val="000000"/>
          <w:sz w:val="20"/>
          <w:lang w:val="en-US" w:eastAsia="en-US" w:bidi="ar-SA"/>
        </w:rPr>
        <w:t>, or in the alternative that DTZ should be responsible for payment of all of Laidar's costs. DTZ's position was that the responsibility for costs should be apportioned consistent with the division of liability.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effect, if any, should be given to DTZ's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9, 2014 DTZ made an offer to settle Lindt's third party claim in the amount of $145,000 representing DTZ's contribution to Laidar's damages. DTZ submits that Lindt should receive 70% of the costs of the third party claim against DTZ set off against DTZ's 30% of costs to the date of the offer and that DTZ should received double costs thereafter. Lindt submits that the offer should have no effect on costs.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 Sanderson Order be made requiring DTZ to pay directly Lindt's costs liability to DTZ Vancouver?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of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in relation to these costs are: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effect, if any, should be given to the offer to settle made to Lindt on January 15, 2015 in the amount of $62,500?</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an allowance for two counsel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Quantification of the Plaintiff's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Cushman &amp; Wakefield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Lindt's submission that Laidar is entitled to recover only that portion of the commission which pertains to the portion of Property covered by the Lease and for the period of time that can be attributed to the renting the Premises for the balance of the Lindt term. In my view that is the meaning of para. 366 (c) of the Reasons when read in the context of conclusion at para. 365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commission claimed in relation to Cushman &amp; Wakefield, I agree that Laidar is not entitled to recover for the entire commission, given that it pertains as well to renting the second floor and it covers a term longer than Lindt's remaining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agree with Laidar's calculation of the correct amount. The total commission was $23,625.63 for 120 months or ten years of which 34 months is the relevant period for the purposes of damages amounting to $6,693.93. The allowable floor space of the Premises is 3,158 square feet of 5,297 square feet or 60% of the total, which is $4,016.36. This is amount to which Laidar is entitled.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Timing of the deduction of the deposit and fixturing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agree with Lindt's submission that the fixturing allowance should be deducted from Lindt's obligations to Laidar from the commencement of the Lease when Laidar's obligation to pay the fixturing costs crystallized and the deposit should be deducted from the obligation outstanding at the end of the Lease, July 31,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Contractual Interest - Simple or Compound?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question of whether a provision for interest in a contract is to be construed as simple or compound interest is a matter of contractual interpretation. Interest provisions are to be interpreted pursuant to the ordinary rules of contractual construction. Justice Levine, for the court, articulated this proposition in </w:t>
      </w:r>
      <w:r>
        <w:rPr>
          <w:rFonts w:ascii="arial" w:eastAsia="arial" w:hAnsi="arial" w:cs="arial"/>
          <w:i/>
          <w:color w:val="000000"/>
          <w:sz w:val="20"/>
          <w:lang w:val="en-US" w:eastAsia="en-US" w:bidi="ar-SA"/>
        </w:rPr>
        <w:t>CSRS Ltd. v. Embley</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2008 BCCA 533</w:t>
        </w:r>
      </w:hyperlink>
      <w:r>
        <w:rPr>
          <w:rFonts w:ascii="arial" w:eastAsia="arial" w:hAnsi="arial" w:cs="arial"/>
          <w:color w:val="000000"/>
          <w:sz w:val="20"/>
          <w:lang w:val="en-US" w:eastAsia="en-US" w:bidi="ar-SA"/>
        </w:rPr>
        <w:t xml:space="preserve"> at para. 53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the presumption of simple interest, the interest provisions in the promissory notes must be construed in accordance with the ordinary principles for the construction of all written contracts. The question is what the parties intended with respect to interest on the promissory notes. That question is answered by reference to the language used in the context of the surrounding circumstances, including the wording and structure of the promissory notes as a whole, and the terms and structure of the entire transaction between the parties: see A.G. Guest, </w:t>
      </w:r>
      <w:r>
        <w:rPr>
          <w:rFonts w:ascii="arial" w:eastAsia="arial" w:hAnsi="arial" w:cs="arial"/>
          <w:i/>
          <w:color w:val="000000"/>
          <w:sz w:val="20"/>
          <w:lang w:val="en-US" w:eastAsia="en-US" w:bidi="ar-SA"/>
        </w:rPr>
        <w:t>Chalmers and Guest on Bills of Exchange, Cheques and Promissory Notes, 16th ed</w:t>
      </w:r>
      <w:r>
        <w:rPr>
          <w:rFonts w:ascii="arial" w:eastAsia="arial" w:hAnsi="arial" w:cs="arial"/>
          <w:color w:val="000000"/>
          <w:sz w:val="20"/>
          <w:lang w:val="en-US" w:eastAsia="en-US" w:bidi="ar-SA"/>
        </w:rPr>
        <w:t xml:space="preserve">. (London: Sweet &amp; Maxwell, 2005) at para. 2-170, </w:t>
      </w:r>
      <w:r>
        <w:rPr>
          <w:rFonts w:ascii="arial" w:eastAsia="arial" w:hAnsi="arial" w:cs="arial"/>
          <w:i/>
          <w:color w:val="000000"/>
          <w:sz w:val="20"/>
          <w:lang w:val="en-US" w:eastAsia="en-US" w:bidi="ar-SA"/>
        </w:rPr>
        <w:t>citing Macdonald v. Whitfield</w:t>
      </w:r>
      <w:r>
        <w:rPr>
          <w:rFonts w:ascii="arial" w:eastAsia="arial" w:hAnsi="arial" w:cs="arial"/>
          <w:color w:val="000000"/>
          <w:sz w:val="20"/>
          <w:lang w:val="en-US" w:eastAsia="en-US" w:bidi="ar-SA"/>
        </w:rPr>
        <w:t xml:space="preserve"> (1883), 8 App. Cas. 733 at 745 (P.C.), in turn cited in </w:t>
      </w:r>
      <w:r>
        <w:rPr>
          <w:rFonts w:ascii="arial" w:eastAsia="arial" w:hAnsi="arial" w:cs="arial"/>
          <w:i/>
          <w:color w:val="000000"/>
          <w:sz w:val="20"/>
          <w:lang w:val="en-US" w:eastAsia="en-US" w:bidi="ar-SA"/>
        </w:rPr>
        <w:t>Yorkshire and Canadian Trust Ltd. v. Scott</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[1919] 2 W.W.R. 87</w:t>
        </w:r>
      </w:hyperlink>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27 B.C.R. 5</w:t>
        </w:r>
      </w:hyperlink>
      <w:r>
        <w:rPr>
          <w:rFonts w:ascii="arial" w:eastAsia="arial" w:hAnsi="arial" w:cs="arial"/>
          <w:color w:val="000000"/>
          <w:sz w:val="20"/>
          <w:lang w:val="en-US" w:eastAsia="en-US" w:bidi="ar-SA"/>
        </w:rPr>
        <w:t xml:space="preserve"> at 10 (C.A.); </w:t>
      </w:r>
      <w:r>
        <w:rPr>
          <w:rFonts w:ascii="arial" w:eastAsia="arial" w:hAnsi="arial" w:cs="arial"/>
          <w:i/>
          <w:color w:val="000000"/>
          <w:sz w:val="20"/>
          <w:lang w:val="en-US" w:eastAsia="en-US" w:bidi="ar-SA"/>
        </w:rPr>
        <w:t>McIntosh v. McNaughton</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[1935] O.R. 155</w:t>
        </w:r>
      </w:hyperlink>
      <w:r>
        <w:rPr>
          <w:rFonts w:ascii="arial" w:eastAsia="arial" w:hAnsi="arial" w:cs="arial"/>
          <w:color w:val="000000"/>
          <w:sz w:val="20"/>
          <w:lang w:val="en-US" w:eastAsia="en-US" w:bidi="ar-SA"/>
        </w:rPr>
        <w:t xml:space="preserve"> at 159 (C.A.); </w:t>
      </w:r>
      <w:r>
        <w:rPr>
          <w:rFonts w:ascii="arial" w:eastAsia="arial" w:hAnsi="arial" w:cs="arial"/>
          <w:i/>
          <w:color w:val="000000"/>
          <w:sz w:val="20"/>
          <w:lang w:val="en-US" w:eastAsia="en-US" w:bidi="ar-SA"/>
        </w:rPr>
        <w:t>Re McKay's Dairy Ltd. (Bankrupt)</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(1995), 163 N.B.R. (2d) 343</w:t>
        </w:r>
      </w:hyperlink>
      <w:r>
        <w:rPr>
          <w:rFonts w:ascii="arial" w:eastAsia="arial" w:hAnsi="arial" w:cs="arial"/>
          <w:color w:val="000000"/>
          <w:sz w:val="20"/>
          <w:lang w:val="en-US" w:eastAsia="en-US" w:bidi="ar-SA"/>
        </w:rPr>
        <w:t xml:space="preserve"> at para. 17 (C.A.). </w:t>
      </w:r>
      <w:r>
        <w:rPr>
          <w:rFonts w:ascii="arial" w:eastAsia="arial" w:hAnsi="arial" w:cs="arial"/>
          <w:i/>
          <w:color w:val="000000"/>
          <w:sz w:val="20"/>
          <w:lang w:val="en-US" w:eastAsia="en-US" w:bidi="ar-SA"/>
        </w:rPr>
        <w:t>Chalmers and Guest</w:t>
      </w:r>
      <w:r>
        <w:rPr>
          <w:rFonts w:ascii="arial" w:eastAsia="arial" w:hAnsi="arial" w:cs="arial"/>
          <w:color w:val="000000"/>
          <w:sz w:val="20"/>
          <w:lang w:val="en-US" w:eastAsia="en-US" w:bidi="ar-SA"/>
        </w:rPr>
        <w:t xml:space="preserve"> references H.G. Beale, </w:t>
      </w:r>
      <w:r>
        <w:rPr>
          <w:rFonts w:ascii="arial" w:eastAsia="arial" w:hAnsi="arial" w:cs="arial"/>
          <w:i/>
          <w:color w:val="000000"/>
          <w:sz w:val="20"/>
          <w:lang w:val="en-US" w:eastAsia="en-US" w:bidi="ar-SA"/>
        </w:rPr>
        <w:t>Chitty on Contracts Volume I General Principles</w:t>
      </w:r>
      <w:r>
        <w:rPr>
          <w:rFonts w:ascii="arial" w:eastAsia="arial" w:hAnsi="arial" w:cs="arial"/>
          <w:color w:val="000000"/>
          <w:sz w:val="20"/>
          <w:lang w:val="en-US" w:eastAsia="en-US" w:bidi="ar-SA"/>
        </w:rPr>
        <w:t>, 29th ed. (London: Sweet &amp; Maxwell, 2004) at para. 12-118, for the following general principles of interpretation: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Evidence of surrounding circumstances</w:t>
      </w:r>
      <w:r>
        <w:rPr>
          <w:rFonts w:ascii="arial" w:eastAsia="arial" w:hAnsi="arial" w:cs="arial"/>
          <w:color w:val="000000"/>
          <w:sz w:val="20"/>
          <w:lang w:val="en-US" w:eastAsia="en-US" w:bidi="ar-SA"/>
        </w:rPr>
        <w:t>. ... So the court is entitled (and, indeed, bound) to enquire beyond the language of the document and see what the circumstances were with reference to which words were used, and the object appearing from those circumstances which the person using them had in view. The court must place itself in the same "factual matrix" as that in which the parties were.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An entitlement to compound interest has been found where the contract uses the language "compounded monthly" or "calculated monthly": </w:t>
      </w:r>
      <w:r>
        <w:rPr>
          <w:rFonts w:ascii="arial" w:eastAsia="arial" w:hAnsi="arial" w:cs="arial"/>
          <w:i/>
          <w:color w:val="000000"/>
          <w:sz w:val="20"/>
          <w:lang w:val="en-US" w:eastAsia="en-US" w:bidi="ar-SA"/>
        </w:rPr>
        <w:t>Dyson Estate v. Moser</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2002 BCSC 1486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past there was a presumption of simple interest. In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2002 SCC 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Bank of America</w:t>
      </w:r>
      <w:r>
        <w:rPr>
          <w:rFonts w:ascii="arial" w:eastAsia="arial" w:hAnsi="arial" w:cs="arial"/>
          <w:color w:val="000000"/>
          <w:sz w:val="20"/>
          <w:lang w:val="en-US" w:eastAsia="en-US" w:bidi="ar-SA"/>
        </w:rPr>
        <w:t xml:space="preserve">], the Court rejected the presumption of simple interest. Laidar argues that in </w:t>
      </w:r>
      <w:r>
        <w:rPr>
          <w:rFonts w:ascii="arial" w:eastAsia="arial" w:hAnsi="arial" w:cs="arial"/>
          <w:i/>
          <w:color w:val="000000"/>
          <w:sz w:val="20"/>
          <w:lang w:val="en-US" w:eastAsia="en-US" w:bidi="ar-SA"/>
        </w:rPr>
        <w:t>Bank of America</w:t>
      </w:r>
      <w:r>
        <w:rPr>
          <w:rFonts w:ascii="arial" w:eastAsia="arial" w:hAnsi="arial" w:cs="arial"/>
          <w:color w:val="000000"/>
          <w:sz w:val="20"/>
          <w:lang w:val="en-US" w:eastAsia="en-US" w:bidi="ar-SA"/>
        </w:rPr>
        <w:t>, the Court rejected that presumption "in favour of compound interest". This appears to suggest that there is now a presumption of compound interest. In my view, it is clear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Bank of America</w:t>
      </w:r>
      <w:r>
        <w:rPr>
          <w:rFonts w:ascii="arial" w:eastAsia="arial" w:hAnsi="arial" w:cs="arial"/>
          <w:color w:val="000000"/>
          <w:sz w:val="20"/>
          <w:lang w:val="en-US" w:eastAsia="en-US" w:bidi="ar-SA"/>
        </w:rPr>
        <w:t xml:space="preserve"> was whether there was jurisdiction to award compound interest. In that case, the contract expressly provided for compound interest. The question before the Court was whether courts have jurisdiction to award compound interest for the breach of a contract that expressly provided for compound interest. The Court did not substitute one presumption for another. Rather, Justice Major, for the Court, stated at para. 55 that compound interest could be awarded for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compound pre- and post-judgment interest will generally be limited to breach of contract cases where there is evidence that the parties agreed, knew, or should have known, that the money which is the subject of the dispute would bear compound interest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noted above, in </w:t>
      </w:r>
      <w:r>
        <w:rPr>
          <w:rFonts w:ascii="arial" w:eastAsia="arial" w:hAnsi="arial" w:cs="arial"/>
          <w:i/>
          <w:color w:val="000000"/>
          <w:sz w:val="20"/>
          <w:lang w:val="en-US" w:eastAsia="en-US" w:bidi="ar-SA"/>
        </w:rPr>
        <w:t>CSRS</w:t>
      </w:r>
      <w:r>
        <w:rPr>
          <w:rFonts w:ascii="arial" w:eastAsia="arial" w:hAnsi="arial" w:cs="arial"/>
          <w:color w:val="000000"/>
          <w:sz w:val="20"/>
          <w:lang w:val="en-US" w:eastAsia="en-US" w:bidi="ar-SA"/>
        </w:rPr>
        <w:t>, our Court of Appeal held that the matter is to be determined as an issue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provision of the Lease that provides for the payment of interest is Clause 15.1 (c), which provides:</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Tenant shall fail to pay any Rent promptly when due, shall be entitled, if it shall demand it, to interest thereon at a rate of 5% per annum in excess of the rate of interest charged and published from time to time by the main branch in the City in which the Building is located, of the Landlord's bank, as its most favourable rate of interest to its most creditworthy and substantial commercial customers commonly known as its prime rate, from the date upon which the same was due until actual payment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note first that the language of the Lease does not make express reference to compound interest, such as the reference "Such interest shall be compounded on a monthly basis" in </w:t>
      </w:r>
      <w:r>
        <w:rPr>
          <w:rFonts w:ascii="arial" w:eastAsia="arial" w:hAnsi="arial" w:cs="arial"/>
          <w:i/>
          <w:color w:val="000000"/>
          <w:sz w:val="20"/>
          <w:lang w:val="en-US" w:eastAsia="en-US" w:bidi="ar-SA"/>
        </w:rPr>
        <w:t>Fast Trac Bobcat &amp; Excavating Service v. Riverfront Corporate Centre Ltd.</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2009 BCSC 840</w:t>
        </w:r>
      </w:hyperlink>
      <w:r>
        <w:rPr>
          <w:rFonts w:ascii="arial" w:eastAsia="arial" w:hAnsi="arial" w:cs="arial"/>
          <w:color w:val="000000"/>
          <w:sz w:val="20"/>
          <w:lang w:val="en-US" w:eastAsia="en-US" w:bidi="ar-SA"/>
        </w:rPr>
        <w:t xml:space="preserve">, or "compounded monthly" as in </w:t>
      </w:r>
      <w:r>
        <w:rPr>
          <w:rFonts w:ascii="arial" w:eastAsia="arial" w:hAnsi="arial" w:cs="arial"/>
          <w:i/>
          <w:color w:val="000000"/>
          <w:sz w:val="20"/>
          <w:lang w:val="en-US" w:eastAsia="en-US" w:bidi="ar-SA"/>
        </w:rPr>
        <w:t>Bank of America</w:t>
      </w:r>
      <w:r>
        <w:rPr>
          <w:rFonts w:ascii="arial" w:eastAsia="arial" w:hAnsi="arial" w:cs="arial"/>
          <w:color w:val="000000"/>
          <w:sz w:val="20"/>
          <w:lang w:val="en-US" w:eastAsia="en-US" w:bidi="ar-SA"/>
        </w:rPr>
        <w:t xml:space="preserve">. In addition, the clause does not use language that has been held to mean compound interest, namely "calculated annually" or "calculated", as in </w:t>
      </w:r>
      <w:r>
        <w:rPr>
          <w:rFonts w:ascii="arial" w:eastAsia="arial" w:hAnsi="arial" w:cs="arial"/>
          <w:i/>
          <w:color w:val="000000"/>
          <w:sz w:val="20"/>
          <w:lang w:val="en-US" w:eastAsia="en-US" w:bidi="ar-SA"/>
        </w:rPr>
        <w:t>Dyson Estate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CSRS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Notwithstanding the absence of a reference to compounding interest, Laidar argues that the surrounding circumstances should lead the court to conclude that compound interest was intended. Laidar describes the following in this regard: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are sophisticated entities;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had the benefit of experienced representatives;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15.1(c) refers to bank rates which the parties knew or ought to have known is a compound interest rate;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is complex;</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compound interest is the norm in commercial dealings;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simple interest was intended;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would likely have been accruing compound interest on the unpaid rent and it can be assumed that Laidar would have done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my view, these factors do not support a conclusion that the clause should be interpreted to provide for compound interest. I do not agree that this a particularly complex agreement, certainly not in comparison to the agreement at issue in </w:t>
      </w:r>
      <w:r>
        <w:rPr>
          <w:rFonts w:ascii="arial" w:eastAsia="arial" w:hAnsi="arial" w:cs="arial"/>
          <w:i/>
          <w:color w:val="000000"/>
          <w:sz w:val="20"/>
          <w:lang w:val="en-US" w:eastAsia="en-US" w:bidi="ar-SA"/>
        </w:rPr>
        <w:t>CSRS</w:t>
      </w:r>
      <w:r>
        <w:rPr>
          <w:rFonts w:ascii="arial" w:eastAsia="arial" w:hAnsi="arial" w:cs="arial"/>
          <w:color w:val="000000"/>
          <w:sz w:val="20"/>
          <w:lang w:val="en-US" w:eastAsia="en-US" w:bidi="ar-SA"/>
        </w:rPr>
        <w:t>. The reference to the bank rate in the clause is to establish the quantum of the interest. There is no reference beyond the quantum of the rate. This does not in my view inform the type of interest intended. In particular I do not agree that the reference to the bank rate establishes, as Laidar contends, that the parties were adopting bank practice of charging compound interest on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the parties' benefit of experienced representatives, in my recollection of the evidence at trial, there is no evidence of any advice, discussion or input into the type of interest from any of these representatives and none was referred to in the course of these submissions. The fact that these are sophisticated entities who would likely invest their funds earning compound interest does not in my view inform their intentions with respect to this clause. Further, given the relative sophistication of the parties, one could equally assume that if compound interest had been intended, express language manifesting this intention would have been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agree that there was no evidence that simple interest was intended. As I recall there was no evidence about this issue at all. However, this submission appears to suggest that there is now a presumption in favor of compound interest which must be displaced. As noted above, in my view that is not the state of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Tri-City Contracting Ltd. v. Brighton Land Development Corp.</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[1994] B.C.J. No. 1001</w:t>
        </w:r>
      </w:hyperlink>
      <w:r>
        <w:rPr>
          <w:rFonts w:ascii="arial" w:eastAsia="arial" w:hAnsi="arial" w:cs="arial"/>
          <w:color w:val="000000"/>
          <w:sz w:val="20"/>
          <w:lang w:val="en-US" w:eastAsia="en-US" w:bidi="ar-SA"/>
        </w:rPr>
        <w:t xml:space="preserve"> (S.C), the interest provision at issue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may delay payment of the balance of the Contract Price (less the Delay Charge) for one year, but interest at 15.5% per year on the unpaid amount is due and payable on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is language similar to that of the Lease. The determination in that case was that this was a provision for simple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regard to the authorities cited, the language of the Lease and the evidence of the surrounding circumstances, I have concluded that Clause 15.1(c) of the Lease provides for the payment of simple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Crystallization of judgement and the commencement of 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R.S.B.C. 1996, c.79, s.7</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w:t>
      </w:r>
      <w:r>
        <w:rPr>
          <w:rFonts w:ascii="arial" w:eastAsia="arial" w:hAnsi="arial" w:cs="arial"/>
          <w:b/>
          <w:color w:val="000000"/>
          <w:sz w:val="20"/>
          <w:lang w:val="en-US" w:eastAsia="en-US" w:bidi="ar-SA"/>
        </w:rPr>
        <w:t>interest rate</w:t>
      </w:r>
      <w:r>
        <w:rPr>
          <w:rFonts w:ascii="arial" w:eastAsia="arial" w:hAnsi="arial" w:cs="arial"/>
          <w:color w:val="000000"/>
          <w:sz w:val="20"/>
          <w:lang w:val="en-US" w:eastAsia="en-US" w:bidi="ar-SA"/>
        </w:rPr>
        <w:t>" means an annual simple interest rate that is equal to the prime lending rate of the banker to the government.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pecuniary judgment bears simple interest from the later of the date the judgment is pronounced or the date money is payable under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authority for the proposition that post-judgment interest does not begin to run until the amount of the judgment has been crystallized to the point when the amount is known or determined. The amount is not crystallized if there is a substantial matter left to be determined: </w:t>
      </w:r>
      <w:r>
        <w:rPr>
          <w:rFonts w:ascii="arial" w:eastAsia="arial" w:hAnsi="arial" w:cs="arial"/>
          <w:i/>
          <w:color w:val="000000"/>
          <w:sz w:val="20"/>
          <w:lang w:val="en-US" w:eastAsia="en-US" w:bidi="ar-SA"/>
        </w:rPr>
        <w:t>0679372 B.C. Ltd. v. The Winking Judge Pub Ltd.</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2011 BCSC 633</w:t>
        </w:r>
      </w:hyperlink>
      <w:r>
        <w:rPr>
          <w:rFonts w:ascii="arial" w:eastAsia="arial" w:hAnsi="arial" w:cs="arial"/>
          <w:color w:val="000000"/>
          <w:sz w:val="20"/>
          <w:lang w:val="en-US" w:eastAsia="en-US" w:bidi="ar-SA"/>
        </w:rPr>
        <w:t xml:space="preserve"> at paras. 16-19. In that decision, default judgment did not end the entitlement to contractual interest because the quantification of damages and amount of set-off were yet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Laidar submits that the judgment has not crystallized because of the matters that are being determined in this application, in particular the issue relating to interest. Laidar submits that as a consequence contractual interest should continue to run until the issues relating to quantum are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there is no dispute about the amount of unpaid base rent that was awarded. That is clearly a pecuniary judgment in a crystallized amount. Contractual interest was also ordered. The final determination of the interest question will affect the total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Lomax v. Weins</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2004 BCSC 1051</w:t>
        </w:r>
      </w:hyperlink>
      <w:r>
        <w:rPr>
          <w:rFonts w:ascii="arial" w:eastAsia="arial" w:hAnsi="arial" w:cs="arial"/>
          <w:color w:val="000000"/>
          <w:sz w:val="20"/>
          <w:lang w:val="en-US" w:eastAsia="en-US" w:bidi="ar-SA"/>
        </w:rPr>
        <w:t>, an award for damages had been made in a personal injury case. Following the judgment there were a number of issues that remained concerning various deductions and additions as well as the question of whether the award should take the form of a structured settlement. The defendants argued that because of these issues, the award was not yet crystallized and post-judgment interest had not started to run. Smith J. rejected that proposition, stating:</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issue is whether the judgment of September 5, 2003, is a pecuniary judgment in the absence of the court's decision on the ancillary orders sought regarding the deductions to be calculated pursuant to s. 25(5)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particular, the defendant submits that given the outstanding issue of whether the award should be structured or paid in lump sum, the decision of September 5, 2003, was not a pecuniary judgment and therefore post-judgment interest is not owed.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I find this submission to be utilitarian. Mr. Lomax was awarded the sum of $1,016,744.93 on September 5, 2003. This award is subject to deductions for any advance payments, deductions required by ss. 25(5) and 54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additions for management fees and interest. These deductions and additions which may change the exact final amount of the award do not change the character of the award from a pecuniary to a non-pecuniary award. If that were the case no award for damages that required calculations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could be characterized as a pecuniary award.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date of the award, September 5, 2003, is the date when money that is owed under the judgment is payable, subject to any additions and deductions. That date may be varied if the Court within its judgment orders the monies to be payable on some other date, but that was not ordered in this case.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these reasons, I am satisfied that Mr. Lomax is entitled to post-judgment interest on the award from September 5, 2003, to the date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view, the circumstances in the present case are similar to those in </w:t>
      </w:r>
      <w:r>
        <w:rPr>
          <w:rFonts w:ascii="arial" w:eastAsia="arial" w:hAnsi="arial" w:cs="arial"/>
          <w:i/>
          <w:color w:val="000000"/>
          <w:sz w:val="20"/>
          <w:lang w:val="en-US" w:eastAsia="en-US" w:bidi="ar-SA"/>
        </w:rPr>
        <w:t>Lomax</w:t>
      </w:r>
      <w:r>
        <w:rPr>
          <w:rFonts w:ascii="arial" w:eastAsia="arial" w:hAnsi="arial" w:cs="arial"/>
          <w:color w:val="000000"/>
          <w:sz w:val="20"/>
          <w:lang w:val="en-US" w:eastAsia="en-US" w:bidi="ar-SA"/>
        </w:rPr>
        <w:t xml:space="preserve">. A pecuniary award was made in a crystallized amount with some remaining matters whose determination will affect the final amount due. As in </w:t>
      </w:r>
      <w:r>
        <w:rPr>
          <w:rFonts w:ascii="arial" w:eastAsia="arial" w:hAnsi="arial" w:cs="arial"/>
          <w:i/>
          <w:color w:val="000000"/>
          <w:sz w:val="20"/>
          <w:lang w:val="en-US" w:eastAsia="en-US" w:bidi="ar-SA"/>
        </w:rPr>
        <w:t>Lomax</w:t>
      </w:r>
      <w:r>
        <w:rPr>
          <w:rFonts w:ascii="arial" w:eastAsia="arial" w:hAnsi="arial" w:cs="arial"/>
          <w:color w:val="000000"/>
          <w:sz w:val="20"/>
          <w:lang w:val="en-US" w:eastAsia="en-US" w:bidi="ar-SA"/>
        </w:rPr>
        <w:t xml:space="preserve"> I find that post-judgment interest began to run from the date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post-judgment interest will run commencing January 18, 2018, the date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Scale of Costs/Special Costs/ Uplift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Laidar succeeded in its claim against Lindt. The parties agree that Laidar is entitled to its costs of the action from Lindt. The issues with respect to these costs are the applicable scale and whether Laidar is entitled to special costs or costs with an uplift.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three applicable scales for party-party costs are set out in Appendix B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Appendix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Scale of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(1) If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Maras v. Seemore Entertainment Ltd.</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2014 BCSC 1842</w:t>
        </w:r>
      </w:hyperlink>
      <w:r>
        <w:rPr>
          <w:rFonts w:ascii="arial" w:eastAsia="arial" w:hAnsi="arial" w:cs="arial"/>
          <w:color w:val="000000"/>
          <w:sz w:val="20"/>
          <w:lang w:val="en-US" w:eastAsia="en-US" w:bidi="ar-SA"/>
        </w:rPr>
        <w:t xml:space="preserve"> at para. 11, Abrioux J. enumerated factors to be considered by the court in determining the appropriate scale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Mort v. Saanich School District No. 63</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sets out various factors to be considered in determining the appropriate scale of costs under the former scales. They include: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issues involved;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the complexity of pretrial applications;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action was hard fought with little conceded;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 and</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Goepel J., as he then was, noted in </w:t>
      </w:r>
      <w:r>
        <w:rPr>
          <w:rFonts w:ascii="arial" w:eastAsia="arial" w:hAnsi="arial" w:cs="arial"/>
          <w:i/>
          <w:color w:val="000000"/>
          <w:sz w:val="20"/>
          <w:lang w:val="en-US" w:eastAsia="en-US" w:bidi="ar-SA"/>
        </w:rPr>
        <w:t>Monument Mining Ltd. v. Balendran Chong &amp; Bodi</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2013 BCSC 179</w:t>
        </w:r>
      </w:hyperlink>
      <w:r>
        <w:rPr>
          <w:rFonts w:ascii="arial" w:eastAsia="arial" w:hAnsi="arial" w:cs="arial"/>
          <w:color w:val="000000"/>
          <w:sz w:val="20"/>
          <w:lang w:val="en-US" w:eastAsia="en-US" w:bidi="ar-SA"/>
        </w:rPr>
        <w:t xml:space="preserv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factors set out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xml:space="preserve"> are not exhaustive. Not all the factors will be present in every case and the court can take into account other considerations: </w:t>
      </w:r>
      <w:r>
        <w:rPr>
          <w:rFonts w:ascii="arial" w:eastAsia="arial" w:hAnsi="arial" w:cs="arial"/>
          <w:i/>
          <w:color w:val="000000"/>
          <w:sz w:val="20"/>
          <w:lang w:val="en-US" w:eastAsia="en-US" w:bidi="ar-SA"/>
        </w:rPr>
        <w:t>Kinloch v. Edmonds</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2008 BCSC 1684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While the hard fought nature of the action is a factor to be considered, it must be approached with caution. As Goepel J. noted in </w:t>
      </w:r>
      <w:r>
        <w:rPr>
          <w:rFonts w:ascii="arial" w:eastAsia="arial" w:hAnsi="arial" w:cs="arial"/>
          <w:i/>
          <w:color w:val="000000"/>
          <w:sz w:val="20"/>
          <w:lang w:val="en-US" w:eastAsia="en-US" w:bidi="ar-SA"/>
        </w:rPr>
        <w:t>Monument Mining</w:t>
      </w:r>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action was hard fought, consideration of this factor "must be approached with caution": </w:t>
      </w:r>
      <w:r>
        <w:rPr>
          <w:rFonts w:ascii="arial" w:eastAsia="arial" w:hAnsi="arial" w:cs="arial"/>
          <w:i/>
          <w:color w:val="000000"/>
          <w:sz w:val="20"/>
          <w:lang w:val="en-US" w:eastAsia="en-US" w:bidi="ar-SA"/>
        </w:rPr>
        <w:t>Slocan Forest Products v. Trapper Enterprises Ltd.</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at para. 14. The fact that the parties were tenacious in putting forward their clients' case is a hallmark of most actions. It does not make the proceeding more than ordinarily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determination is not formulaic. As the court noted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(1991), 64 B.C.L.R. (2d) 125</w:t>
        </w:r>
      </w:hyperlink>
      <w:r>
        <w:rPr>
          <w:rFonts w:ascii="arial" w:eastAsia="arial" w:hAnsi="arial" w:cs="arial"/>
          <w:color w:val="000000"/>
          <w:sz w:val="20"/>
          <w:lang w:val="en-US" w:eastAsia="en-US" w:bidi="ar-SA"/>
        </w:rPr>
        <w:t xml:space="preserve"> at para. 20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do not give any empirical formula for determining what is and what is not "of more than unusual difficulty" or what is or what is not "of unusual difficulty." They do give some guidance but the trial judge should, or is at least expected to, recognize such a case when he hears and sees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Dardi J. noted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2012 BCSC 37</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observations are also apposite to the formulation of what constitutes a matter of "more than ordinary difficulty" under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case did not engage any issue of general interest or importance. It did not determine rights and obligations beyond the general relief granted. The case did not present unusually difficult issues of law, fact or construction, nor in my view was an unusual effort required in the collection and proof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was a longer than usual trial of 28 days. While this factor suggests that the matter could be one of more than ordinary difficulty, it is not determinative: </w:t>
      </w:r>
      <w:r>
        <w:rPr>
          <w:rFonts w:ascii="arial" w:eastAsia="arial" w:hAnsi="arial" w:cs="arial"/>
          <w:i/>
          <w:color w:val="000000"/>
          <w:sz w:val="20"/>
          <w:lang w:val="en-US" w:eastAsia="en-US" w:bidi="ar-SA"/>
        </w:rPr>
        <w:t>Acciona Infrastructure Canada Inc. v. Allianz Global Risks US Insurance Company</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2014 BCSC 1907</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were numerous issues to be determined. However in my view the issues, while numerous, were not individually complex. There were a number of pre-trial applications and examinations for discovery but again, in my view, nothing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litigation could fairly be described as hard fought; however as noted above this factor must be approached with caution. Laidar appears to suggest that participation in the two failed mediations is a factor to be considered to increase the scale of costs. I agree with Lindt's submission that it should not be penalized in costs for attempting to mediate in good faith for the settlement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Considering all of the factors, I have concluded that costs should be set at Scale B for all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for special costs is set out by Lambert J.A., speaking for the court,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at para. 17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Gropper J. outlined the principles to be applied in addressing the issue of special costs as follows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my review of the authorities, I have derived the following principles for awarding special costs:</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 costs;</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well established that unproven allegations of fraud or dishonesty can amount to reprehensible conduct: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xml:space="preserve"> at para. 117. However it is also well established that the failure to prove allegations of fraud will not automatically result in a special costs award: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xml:space="preserve"> at para. 26. In addressing the issue, the court should consider whether the allegation was obviously unfounded from the alleging party's perspective, or whether, instead, there was a reasonable basis to make the allegation: </w:t>
      </w:r>
      <w:r>
        <w:rPr>
          <w:rFonts w:ascii="arial" w:eastAsia="arial" w:hAnsi="arial" w:cs="arial"/>
          <w:i/>
          <w:color w:val="000000"/>
          <w:sz w:val="20"/>
          <w:lang w:val="en-US" w:eastAsia="en-US" w:bidi="ar-SA"/>
        </w:rPr>
        <w:t>Neilson v. Lam</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2011 BCSC 1282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and findings with respect to this issue are canvassed in the Reasons and I will not repeat them here. Having reviewed the matter, I have concluded that Lindt's claim for fraudulent misrepresentation, while weak and ultimately rejected, was not wholly without foundation. Laidar submits that the claim was advanced in bad faith with an ulterior motive: to attack the character of Dr. Wittenberg, Mr. Chan and Mr. Romer in order to influence the trial judge against them. I am not persuaded that this was the case or that in advancing and maintaining the claim Lindt was acting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concluded that the unproven allegations of fraudulent misrepresentation in this case did not constitute reprehensible conduct in all the circumstances and decline to make an award of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Uplift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 2 (5) of Appendix B provides for an uplift in costs as follows:</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numPr>
          <w:numId w:val="7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(5) of this section, an award of costs is not grossly inadequate or unjust merely because there is a difference between the actual legal expenses of a party and the costs to which that party would be entitled under the scale of costs fixed under subsection (1) or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respect to the uplift, the rationale is not substantially different from the rationale for an order for increased costs under the repealed s. 7: </w:t>
      </w:r>
      <w:r>
        <w:rPr>
          <w:rFonts w:ascii="arial" w:eastAsia="arial" w:hAnsi="arial" w:cs="arial"/>
          <w:i/>
          <w:color w:val="000000"/>
          <w:sz w:val="20"/>
          <w:lang w:val="en-US" w:eastAsia="en-US" w:bidi="ar-SA"/>
        </w:rPr>
        <w:t>Bajwa v. British Columbia Veterinary Medical Assoc.</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2008 BCSC 905</w:t>
        </w:r>
      </w:hyperlink>
      <w:r>
        <w:rPr>
          <w:rFonts w:ascii="arial" w:eastAsia="arial" w:hAnsi="arial" w:cs="arial"/>
          <w:color w:val="000000"/>
          <w:sz w:val="20"/>
          <w:lang w:val="en-US" w:eastAsia="en-US" w:bidi="ar-SA"/>
        </w:rPr>
        <w:t xml:space="preserve"> at para. 71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are obvious differences between the two provisions concerning the methodology of calculation of increased costs, in my opinion, the rationale for the award is not substantively different. Under both provisions, the intent is to allow a party who is entitled to costs to be compensated to a greater extent than would occur by application of the usual principles of cost assessment if the application of those usual principles would be "unjust"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There must be a finding of unusual circumstances that is linked to the gross inadequacy: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at paras. 71-76.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Examples of misconduct amounting to unusual circumstances warranting increased costs were given in </w:t>
      </w:r>
      <w:r>
        <w:rPr>
          <w:rFonts w:ascii="arial" w:eastAsia="arial" w:hAnsi="arial" w:cs="arial"/>
          <w:i/>
          <w:color w:val="000000"/>
          <w:sz w:val="20"/>
          <w:lang w:val="en-US" w:eastAsia="en-US" w:bidi="ar-SA"/>
        </w:rPr>
        <w:t>National Hockey League v. Pepsi-Cola Canada Ltd</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(1995), 2 B.C.L.R. (3d) 13</w:t>
        </w:r>
      </w:hyperlink>
      <w:r>
        <w:rPr>
          <w:rFonts w:ascii="arial" w:eastAsia="arial" w:hAnsi="arial" w:cs="arial"/>
          <w:color w:val="000000"/>
          <w:sz w:val="20"/>
          <w:lang w:val="en-US" w:eastAsia="en-US" w:bidi="ar-SA"/>
        </w:rPr>
        <w:t xml:space="preserve"> at paras. 30-33 (C.A.) as follows:</w:t>
      </w:r>
      <w:r>
        <w:rPr>
          <w:rFonts w:ascii="arial" w:eastAsia="arial" w:hAnsi="arial" w:cs="arial"/>
          <w:sz w:val="20"/>
          <w:lang w:val="en-US" w:eastAsia="en-US" w:bidi="ar-SA"/>
        </w:rPr>
        <w:cr/>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in </w:t>
      </w:r>
      <w:r>
        <w:rPr>
          <w:rFonts w:ascii="arial" w:eastAsia="arial" w:hAnsi="arial" w:cs="arial"/>
          <w:i/>
          <w:color w:val="000000"/>
          <w:sz w:val="20"/>
          <w:lang w:val="en-US" w:eastAsia="en-US" w:bidi="ar-SA"/>
        </w:rPr>
        <w:t>Barlee v. Capozzi</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[1976] 5 W.W.R. 110</w:t>
        </w:r>
      </w:hyperlink>
      <w:r>
        <w:rPr>
          <w:rFonts w:ascii="arial" w:eastAsia="arial" w:hAnsi="arial" w:cs="arial"/>
          <w:color w:val="000000"/>
          <w:sz w:val="20"/>
          <w:lang w:val="en-US" w:eastAsia="en-US" w:bidi="ar-SA"/>
        </w:rPr>
        <w:t xml:space="preserve"> (B.C.S.C.), increased costs were awarded to a plaintiff against a defendant who used every means at his disposal to delay complying with a court order without any concern for the harm caused to others by his non-compliance. In </w:t>
      </w:r>
      <w:r>
        <w:rPr>
          <w:rFonts w:ascii="arial" w:eastAsia="arial" w:hAnsi="arial" w:cs="arial"/>
          <w:i/>
          <w:color w:val="000000"/>
          <w:sz w:val="20"/>
          <w:lang w:val="en-US" w:eastAsia="en-US" w:bidi="ar-SA"/>
        </w:rPr>
        <w:t>Rastad Construction Ltd. v. City of Port Coquitlam</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(1979), 18 B.C.L.R. 97</w:t>
        </w:r>
      </w:hyperlink>
      <w:r>
        <w:rPr>
          <w:rFonts w:ascii="arial" w:eastAsia="arial" w:hAnsi="arial" w:cs="arial"/>
          <w:color w:val="000000"/>
          <w:sz w:val="20"/>
          <w:lang w:val="en-US" w:eastAsia="en-US" w:bidi="ar-SA"/>
        </w:rPr>
        <w:t xml:space="preserve"> (B.C.S.C.), the successful plaintiff was awarded increased costs against a municipality which was guilty of "unworthy conduct" throughout the time the litigation was ongoing, including the time it was before the court. In </w:t>
      </w:r>
      <w:r>
        <w:rPr>
          <w:rFonts w:ascii="arial" w:eastAsia="arial" w:hAnsi="arial" w:cs="arial"/>
          <w:i/>
          <w:color w:val="000000"/>
          <w:sz w:val="20"/>
          <w:lang w:val="en-US" w:eastAsia="en-US" w:bidi="ar-SA"/>
        </w:rPr>
        <w:t>Mitchell v. Mitchell</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(1982), 42 B.C.L.R. 261</w:t>
        </w:r>
      </w:hyperlink>
      <w:r>
        <w:rPr>
          <w:rFonts w:ascii="arial" w:eastAsia="arial" w:hAnsi="arial" w:cs="arial"/>
          <w:color w:val="000000"/>
          <w:sz w:val="20"/>
          <w:lang w:val="en-US" w:eastAsia="en-US" w:bidi="ar-SA"/>
        </w:rPr>
        <w:t xml:space="preserve"> (B.C.S.C.) an order for increased costs was made against the wife in a matrimonial action who persisted in prolonging the proceedings by bringing scandalous and vicious allegations of cruelty against the husband which were irrelevant to any issue the court was ultimately asked to decide. In </w:t>
      </w:r>
      <w:r>
        <w:rPr>
          <w:rFonts w:ascii="arial" w:eastAsia="arial" w:hAnsi="arial" w:cs="arial"/>
          <w:i/>
          <w:color w:val="000000"/>
          <w:sz w:val="20"/>
          <w:lang w:val="en-US" w:eastAsia="en-US" w:bidi="ar-SA"/>
        </w:rPr>
        <w:t>Owen v. Wickens</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(1980), 19 B.C.L.R. 320</w:t>
        </w:r>
      </w:hyperlink>
      <w:r>
        <w:rPr>
          <w:rFonts w:ascii="arial" w:eastAsia="arial" w:hAnsi="arial" w:cs="arial"/>
          <w:color w:val="000000"/>
          <w:sz w:val="20"/>
          <w:lang w:val="en-US" w:eastAsia="en-US" w:bidi="ar-SA"/>
        </w:rPr>
        <w:t xml:space="preserve"> (B.C.S.C.) it was held that increased costs were justified where a party had put forward unwarranted allegations of fraud resulting in a lengthy and expensive trial over a relatively trivial amount of money.</w:t>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some of these cases the misconduct could properly be characterized as reprehensible, thus justifying an order for solicitor-client costs. In others, while deserving of condemnation, it may have fallen short of the "reprehensible" threshold. But in all cases, the exercise of the discretion to award what are now called "increased costs" was based in whole or in part on such misconduct. I note that the same approach has been considered and adopted in other cases decided under s. 7 of the new Appendix B; see: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(1992), 9 C.P.C. (3d) 302</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McPhillips v. B.C. Ferry Corporation</w:t>
      </w:r>
      <w:r>
        <w:rPr>
          <w:rFonts w:ascii="arial" w:eastAsia="arial" w:hAnsi="arial" w:cs="arial"/>
          <w:color w:val="000000"/>
          <w:sz w:val="20"/>
          <w:lang w:val="en-US" w:eastAsia="en-US" w:bidi="ar-SA"/>
        </w:rPr>
        <w:t xml:space="preserve"> (1993), 16 C.P.C. (3d) 284 (B.C.S.C.).</w:t>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Misconduct may lead either to an award of increased costs or, where increased costs would in any event be appropriate, to an award amounting to a higher proportion of special costs than would otherwise have been the case. In neither case is the result intended to punish the offending party. Punishment is a primary function of the discretion to award special costs, a discretion which may only be exercised when the conduct in question can properly be regarded as at least reprehensible. Increased party and party costs are intended as an indemnity: </w:t>
      </w:r>
      <w:r>
        <w:rPr>
          <w:rFonts w:ascii="arial" w:eastAsia="arial" w:hAnsi="arial" w:cs="arial"/>
          <w:i/>
          <w:color w:val="000000"/>
          <w:sz w:val="20"/>
          <w:lang w:val="en-US" w:eastAsia="en-US" w:bidi="ar-SA"/>
        </w:rPr>
        <w:t>Bradshaw Construction Ltd. v. Bank of Nova Scotia</w:t>
      </w:r>
      <w:r>
        <w:rPr>
          <w:rFonts w:ascii="arial" w:eastAsia="arial" w:hAnsi="arial" w:cs="arial"/>
          <w:color w:val="000000"/>
          <w:sz w:val="20"/>
          <w:lang w:val="en-US" w:eastAsia="en-US" w:bidi="ar-SA"/>
        </w:rPr>
        <w:t>, supra.</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where one party to an action is guilty of misconduct in the litigation, and the innocent party is required to spend time and effort responding to such conduct, in most cases it would be unjust if the latter was not adequately indemnified for the costs associated with defending against that which should never have happened. It is in that sense that, whether reprehensible or not, the misconduct of one party is relevant when a court is considering or exercising the discretion to award increased costs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Laidar cites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2009 BCSC 1209</w:t>
        </w:r>
      </w:hyperlink>
      <w:r>
        <w:rPr>
          <w:rFonts w:ascii="arial" w:eastAsia="arial" w:hAnsi="arial" w:cs="arial"/>
          <w:color w:val="000000"/>
          <w:sz w:val="20"/>
          <w:lang w:val="en-US" w:eastAsia="en-US" w:bidi="ar-SA"/>
        </w:rPr>
        <w:t xml:space="preserve"> at para. 37, in relation to the list of factors which could amount to unusual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question is whether an award of ordinary costs at Scale C would be grossly inadequate or unjust because of "unusual circumstances". Factors which may constitute such unusual circumstances and justify increased costs include the following:</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Misconduct by the unsuccessful party in the litigation: </w:t>
      </w:r>
      <w:r>
        <w:rPr>
          <w:rFonts w:ascii="arial" w:eastAsia="arial" w:hAnsi="arial" w:cs="arial"/>
          <w:i/>
          <w:color w:val="000000"/>
          <w:sz w:val="20"/>
          <w:lang w:val="en-US" w:eastAsia="en-US" w:bidi="ar-SA"/>
        </w:rPr>
        <w:t>Gary Young Agencies Ltd. v. McComber</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2008 BCSC 143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Rieta v. North American Air Travel Insurance Agents Ltd</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(1998), 52 B.C.L.R. (3d) 114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1999 BCCA 133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National Hockey League v. L.A. Kings</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(1995), 2 B.C.L.R. (3d) 13</w:t>
        </w:r>
      </w:hyperlink>
      <w:r>
        <w:rPr>
          <w:rFonts w:ascii="arial" w:eastAsia="arial" w:hAnsi="arial" w:cs="arial"/>
          <w:color w:val="000000"/>
          <w:sz w:val="20"/>
          <w:lang w:val="en-US" w:eastAsia="en-US" w:bidi="ar-SA"/>
        </w:rPr>
        <w:t xml:space="preserve"> (C.A.);</w:t>
      </w:r>
    </w:p>
    <w:p>
      <w:pPr>
        <w:numPr>
          <w:numId w:val="1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serious nature of the allegations: </w:t>
      </w:r>
      <w:r>
        <w:rPr>
          <w:rFonts w:ascii="arial" w:eastAsia="arial" w:hAnsi="arial" w:cs="arial"/>
          <w:i/>
          <w:color w:val="000000"/>
          <w:sz w:val="20"/>
          <w:lang w:val="en-US" w:eastAsia="en-US" w:bidi="ar-SA"/>
        </w:rPr>
        <w:t>Future Shop Ltd. v. Northwest-Atlantic (B.C.) Broker Inc. et al</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2002 BCSC 58</w:t>
        </w:r>
      </w:hyperlink>
      <w:r>
        <w:rPr>
          <w:rFonts w:ascii="arial" w:eastAsia="arial" w:hAnsi="arial" w:cs="arial"/>
          <w:color w:val="000000"/>
          <w:sz w:val="20"/>
          <w:lang w:val="en-US" w:eastAsia="en-US" w:bidi="ar-SA"/>
        </w:rPr>
        <w:t>;</w:t>
      </w:r>
    </w:p>
    <w:p>
      <w:pPr>
        <w:numPr>
          <w:numId w:val="1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complexity or difficulty of the issues in the litigation: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and</w:t>
      </w:r>
    </w:p>
    <w:p>
      <w:pPr>
        <w:numPr>
          <w:numId w:val="1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importance of the litigation to the parties or to the development of the law: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Laidar submits that there should be an award for costs with an uplift based upon the unproven allegations of fraudulent misrepresentation noting that conduct not sufficiently egregious to warrant an order for special costs can serve as unusual circumstances warranting an uplift, citing </w:t>
      </w:r>
      <w:r>
        <w:rPr>
          <w:rFonts w:ascii="arial" w:eastAsia="arial" w:hAnsi="arial" w:cs="arial"/>
          <w:i/>
          <w:color w:val="000000"/>
          <w:sz w:val="20"/>
          <w:lang w:val="en-US" w:eastAsia="en-US" w:bidi="ar-SA"/>
        </w:rPr>
        <w:t>Wong v. Rashidi</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2011 BCSC 66</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concluded that the circumstances of the present litigation do not justify an award of an uplift of costs. Lindt was not guilty of misconduct in the litigation. Not every allegation of fraud that is not made out will amount to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Laidar argues that Lindt opposed its suggestion of a summary trial on several issues and that Lindt suggested mediation as an alternative. In the result, the parties undertook a mediation that failed to achieve a settlement. In the end Laidar chose not to bring an application for a summary trial, so there is no finding concerning suitability of the matter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surely cannot be contended that proposing that the parties attend mediation in a case such as this amounts to misconduct worthy of rebuke in costs, even if the mediation fails. There is no suggestion of any other misconduct in the litigation. In addition, there is in my view nothing about the complexity, difficulty or importance of this litigation as to amount to unusual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clear that there is a significant disparity between Laidar's actual legal costs of approximately $392,605 and its recovery under regular costs. However as noted above, significant disparity between recovery under the tariff and actual legal costs is not sufficient to warrant an uplift. Unusual circumstances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Offers to Settle, Apportionment, Sanderson Order, Application for Directions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Rules -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underlying purposes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relating to costs were described by Frankel J.A., for the court,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74 as follows:</w:t>
      </w:r>
      <w:r>
        <w:rPr>
          <w:rFonts w:ascii="arial" w:eastAsia="arial" w:hAnsi="arial" w:cs="arial"/>
          <w:sz w:val="20"/>
          <w:lang w:val="en-US" w:eastAsia="en-US" w:bidi="ar-SA"/>
        </w:rPr>
        <w:cr/>
      </w:r>
    </w:p>
    <w:p>
      <w:pPr>
        <w:numPr>
          <w:numId w:val="1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for which costs rules exist must be kept in mind in determining whether appellate intervention is warranted. In addition to indemnifying a successful litigant, those purposes have been described as follows by this Court: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"[D]eterring frivolous actions or defences"</w:t>
      </w:r>
      <w:r>
        <w:rPr>
          <w:rFonts w:ascii="arial" w:eastAsia="arial" w:hAnsi="arial" w:cs="arial"/>
          <w:i/>
          <w:color w:val="000000"/>
          <w:sz w:val="20"/>
          <w:lang w:val="en-US" w:eastAsia="en-US" w:bidi="ar-SA"/>
        </w:rPr>
        <w:t>: Houweling Nurseries Ltd. v. Fisons Western Corp</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1017"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1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1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Rule 9-1 deals with offers to settle. An offer to settle relevant to the present proceedings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9-1 -- Offers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w:t>
      </w:r>
    </w:p>
    <w:p>
      <w:pPr>
        <w:numPr>
          <w:numId w:val="1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 "</w:t>
      </w:r>
      <w:r>
        <w:rPr>
          <w:rFonts w:ascii="arial" w:eastAsia="arial" w:hAnsi="arial" w:cs="arial"/>
          <w:b/>
          <w:color w:val="000000"/>
          <w:sz w:val="20"/>
          <w:lang w:val="en-US" w:eastAsia="en-US" w:bidi="ar-SA"/>
        </w:rPr>
        <w:t>offer to settle</w:t>
      </w:r>
      <w:r>
        <w:rPr>
          <w:rFonts w:ascii="arial" w:eastAsia="arial" w:hAnsi="arial" w:cs="arial"/>
          <w:color w:val="000000"/>
          <w:sz w:val="20"/>
          <w:lang w:val="en-US" w:eastAsia="en-US" w:bidi="ar-SA"/>
        </w:rPr>
        <w:t>"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offer to settle made after July 1, 2008 under Rule 37B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as that rule read on the date of the offer to settle, or made under this rule, that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writing by a party to a proceeding,</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served on all parties of record, and</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following sentence: "The ...[party(ies)]..., ...[name(s) of party(ies)]..., reserve(s) the right to bring this offer to the attention of the court for consideration in relation to costs after the court has pronounced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Rule 9-1(4) provides that the court has the discretion to consider an offer to settle made pursuant to the Rule in relation to the issue of costs. The options available are set out in R. 9-1(5)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1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Rule 9-1(6) describes factors to be considered by the court in the exercise of this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rationale for the Rule was addressed by the Court of Appeal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Hartshorn</w:t>
      </w:r>
      <w:r>
        <w:rPr>
          <w:rFonts w:ascii="arial" w:eastAsia="arial" w:hAnsi="arial" w:cs="arial"/>
          <w:color w:val="000000"/>
          <w:sz w:val="20"/>
          <w:lang w:val="en-US" w:eastAsia="en-US" w:bidi="ar-SA"/>
        </w:rPr>
        <w:t>e notes at para. 27 that the time to consider the first factor, whether the offer to settle was one that ought reasonably to have been accepted, is not to be determined by the award that was made. Rather it is to be assessed without reference to the decision, considering such factors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Email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Rule 9-1 provides that offers to settle are to be served on all parties. In this case all parties communicated through email, including the delivery of the various offers to settle and responses. No party had established an email address for delivery. During the course of the litigation, no party commented on the method of delivery. With respect to each of the offers to settle at issue, all parties acknowledge that the offers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 course of the present application Laidar takes the position that Lindt's March 28, 2015 offer did not constitute an effective offer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because it was delivered by email, citing the Rule and </w:t>
      </w:r>
      <w:r>
        <w:rPr>
          <w:rFonts w:ascii="arial" w:eastAsia="arial" w:hAnsi="arial" w:cs="arial"/>
          <w:i/>
          <w:color w:val="000000"/>
          <w:sz w:val="20"/>
          <w:lang w:val="en-US" w:eastAsia="en-US" w:bidi="ar-SA"/>
        </w:rPr>
        <w:t>BCI Bulkhaul Carriers Inc. v. Wallace</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2015 BCSC 107</w:t>
        </w:r>
      </w:hyperlink>
      <w:r>
        <w:rPr>
          <w:rFonts w:ascii="arial" w:eastAsia="arial" w:hAnsi="arial" w:cs="arial"/>
          <w:color w:val="000000"/>
          <w:sz w:val="20"/>
          <w:lang w:val="en-US" w:eastAsia="en-US" w:bidi="ar-SA"/>
        </w:rPr>
        <w:t xml:space="preserve">. In every other respect the offer complies with the requirements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for formal offers to settle. The other parties take the position that the conduct of all parties during the litigation with respect to email communication amounted to an implicit agreement that email was an acceptable form of written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Hanson v. Sharma</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2017 BCSC 2310</w:t>
        </w:r>
      </w:hyperlink>
      <w:r>
        <w:rPr>
          <w:rFonts w:ascii="arial" w:eastAsia="arial" w:hAnsi="arial" w:cs="arial"/>
          <w:color w:val="000000"/>
          <w:sz w:val="20"/>
          <w:lang w:val="en-US" w:eastAsia="en-US" w:bidi="ar-SA"/>
        </w:rPr>
        <w:t>, Dley J. adopted the approach advanced by the parties other than Laidar, stating at para. 15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fatal to the communication of a formal offer if it is not made to the formal address for delivery of the receiving party. If the parties had implicitly agreed to email as an accepted form of written communication, then the communications regarding offers to settle can be made using that method: </w:t>
      </w:r>
      <w:r>
        <w:rPr>
          <w:rFonts w:ascii="arial" w:eastAsia="arial" w:hAnsi="arial" w:cs="arial"/>
          <w:i/>
          <w:color w:val="000000"/>
          <w:sz w:val="20"/>
          <w:lang w:val="en-US" w:eastAsia="en-US" w:bidi="ar-SA"/>
        </w:rPr>
        <w:t>Great Wall</w:t>
      </w:r>
      <w:r>
        <w:rPr>
          <w:rFonts w:ascii="arial" w:eastAsia="arial" w:hAnsi="arial" w:cs="arial"/>
          <w:color w:val="000000"/>
          <w:sz w:val="20"/>
          <w:lang w:val="en-US" w:eastAsia="en-US" w:bidi="ar-SA"/>
        </w:rPr>
        <w:t xml:space="preserve"> at paras. 8-9. As long as the party has actual notice of the offer, the method of delivery is not restricted to the address for delivery: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2013 BCSC 1818</w:t>
        </w:r>
      </w:hyperlink>
      <w:r>
        <w:rPr>
          <w:rFonts w:ascii="arial" w:eastAsia="arial" w:hAnsi="arial" w:cs="arial"/>
          <w:color w:val="000000"/>
          <w:sz w:val="20"/>
          <w:lang w:val="en-US" w:eastAsia="en-US" w:bidi="ar-SA"/>
        </w:rPr>
        <w:t xml:space="preserve"> at paras. 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Hanson</w:t>
      </w:r>
      <w:r>
        <w:rPr>
          <w:rFonts w:ascii="arial" w:eastAsia="arial" w:hAnsi="arial" w:cs="arial"/>
          <w:color w:val="000000"/>
          <w:sz w:val="20"/>
          <w:lang w:val="en-US" w:eastAsia="en-US" w:bidi="ar-SA"/>
        </w:rPr>
        <w:t xml:space="preserve"> cites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2013 BCSC 1818</w:t>
        </w:r>
      </w:hyperlink>
      <w:r>
        <w:rPr>
          <w:rFonts w:ascii="arial" w:eastAsia="arial" w:hAnsi="arial" w:cs="arial"/>
          <w:color w:val="000000"/>
          <w:sz w:val="20"/>
          <w:lang w:val="en-US" w:eastAsia="en-US" w:bidi="ar-SA"/>
        </w:rPr>
        <w:t>, where Adair J. rejected an objection similar to Laidar's, stating at paras. 52 and 53:</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September 13 letter does not fall within the definition of "offer to settle" because it was not properly "served" on him. He says (and the notice of civil claim filed on August 30, 2012 confirms) that he had not given an e-mail address for service, and that, although from time to time he accepted service of documents by e-mail, it was on the basis that he had given his consent in advance to such service. Since there was no advance consent to e-mail service of the offer to settle, the defendants could not serve the document on him by e-mail.</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Technically the plaintiff is correct. However, I would not give effect to his argument, because I do not consider his position - in effect allowing him to dictate at his own whim when the defendants would have to incur the additional expense in relation to service of court documents - to be compatible with the object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as stated in Rule 1-3. The plaintiff does not dispute that in fact he received the e-mail and the September 13 letter, so he had actual notice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am not giving effect to Laidar's objection based upon defective service. Here the parties had clearly implicitly agreed to email as an accepted method of written communication. Laidar had actual notice of the offer. In these circumstances, I prefer the approach in </w:t>
      </w:r>
      <w:r>
        <w:rPr>
          <w:rFonts w:ascii="arial" w:eastAsia="arial" w:hAnsi="arial" w:cs="arial"/>
          <w:i/>
          <w:color w:val="000000"/>
          <w:sz w:val="20"/>
          <w:lang w:val="en-US" w:eastAsia="en-US" w:bidi="ar-SA"/>
        </w:rPr>
        <w:t>Hanson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Lindt's Offer to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above, on March 28, 2015 Lindt made an offer to settle pursuant to R. 9-1 to Laidar in the amount of $305,000 to settle all claims. The offer was delivered at 10:48 am on March 28 and was open for acceptance until 7:00 pm on March 29. The offer was made during the trial, which had commenced on March 23,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Laidar submits that the offer should not have any impact on costs because it was not one that ought reasonably to have been accepted, there was not enough time to consider it, and there was an insufficient rationale given. Laidar submits that at the time of the offer it anticipated a judgement in relation to the first floor claim, apart from costs in the order of $555,978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Unpaid rent including tax and expenses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$ 308,239.54</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Rent differential to end of Lease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$ 60,396.75</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Contractual interest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$ 187,978.89</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Laidar submits that an offer can be safely ignored for purposes of costs consideration if the questions to be answered at trial were questions on which reasonable lawyers could disagree, citing </w:t>
      </w:r>
      <w:r>
        <w:rPr>
          <w:rFonts w:ascii="arial" w:eastAsia="arial" w:hAnsi="arial" w:cs="arial"/>
          <w:i/>
          <w:color w:val="000000"/>
          <w:sz w:val="20"/>
          <w:lang w:val="en-US" w:eastAsia="en-US" w:bidi="ar-SA"/>
        </w:rPr>
        <w:t>Brooks-Martin v. Martin</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2011 BCSC 497</w:t>
        </w:r>
      </w:hyperlink>
      <w:r>
        <w:rPr>
          <w:rFonts w:ascii="arial" w:eastAsia="arial" w:hAnsi="arial" w:cs="arial"/>
          <w:color w:val="000000"/>
          <w:sz w:val="20"/>
          <w:lang w:val="en-US" w:eastAsia="en-US" w:bidi="ar-SA"/>
        </w:rPr>
        <w:t xml:space="preserve"> at para. 38. Laidar submits that each of the issues on which Lindt relied to base its offer were matters about which reasonable lawyers could disagree and hence, given Laidar's confidence in its case, it was not reasonable to accept Lindt's offer. Laidair notes that the landlord's election issue, which in the result at trial had a significant impact on the quantum of damages, emerged only in the course of trial and therefore could not have been anticipated at the time the offer was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Lindt submits that the offer was one that ought reasonably have been accepted at the time. Lindt notes that there were numerous serious issues with respect to the basic question of the validity of the Lease. Thus there was a live issue about whether Laidar would recover anything. In addition, there were several live issues with respect to quantum. Lindt submits that the offer was reasonable given the litigation risk, range of possible outcomes and the cost of the impending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Brooks-Martin</w:t>
      </w:r>
      <w:r>
        <w:rPr>
          <w:rFonts w:ascii="arial" w:eastAsia="arial" w:hAnsi="arial" w:cs="arial"/>
          <w:color w:val="000000"/>
          <w:sz w:val="20"/>
          <w:lang w:val="en-US" w:eastAsia="en-US" w:bidi="ar-SA"/>
        </w:rPr>
        <w:t xml:space="preserve"> does not stand for the broad proposition that Laidar submits it advances, nor are the circumstances of </w:t>
      </w:r>
      <w:r>
        <w:rPr>
          <w:rFonts w:ascii="arial" w:eastAsia="arial" w:hAnsi="arial" w:cs="arial"/>
          <w:i/>
          <w:color w:val="000000"/>
          <w:sz w:val="20"/>
          <w:lang w:val="en-US" w:eastAsia="en-US" w:bidi="ar-SA"/>
        </w:rPr>
        <w:t>Brooks-Martin</w:t>
      </w:r>
      <w:r>
        <w:rPr>
          <w:rFonts w:ascii="arial" w:eastAsia="arial" w:hAnsi="arial" w:cs="arial"/>
          <w:color w:val="000000"/>
          <w:sz w:val="20"/>
          <w:lang w:val="en-US" w:eastAsia="en-US" w:bidi="ar-SA"/>
        </w:rPr>
        <w:t xml:space="preserve"> applicable to those in the present case. In </w:t>
      </w:r>
      <w:r>
        <w:rPr>
          <w:rFonts w:ascii="arial" w:eastAsia="arial" w:hAnsi="arial" w:cs="arial"/>
          <w:i/>
          <w:color w:val="000000"/>
          <w:sz w:val="20"/>
          <w:lang w:val="en-US" w:eastAsia="en-US" w:bidi="ar-SA"/>
        </w:rPr>
        <w:t>Brooks-Martin</w:t>
      </w:r>
      <w:r>
        <w:rPr>
          <w:rFonts w:ascii="arial" w:eastAsia="arial" w:hAnsi="arial" w:cs="arial"/>
          <w:color w:val="000000"/>
          <w:sz w:val="20"/>
          <w:lang w:val="en-US" w:eastAsia="en-US" w:bidi="ar-SA"/>
        </w:rPr>
        <w:t xml:space="preserve"> the plaintiff in a personal injury case had sued two defendants. The plaintiff succeeded against one defendant, with an apportionment of liability of 70% to that defendant and 30% to the plaintiff. The action against the second defendant, MacNutt Enterprises Ltd. was dismissed. MacNutt Enterprises had made an offer to settle prior to the commencement of the trial for $1 plus the plaintiff's costs, which the plaintiff had rejected. It was this clearly nominal offer that was under consideration by the court. Halyard J. concluded that the plaintiff's position, although weak, was arguable and that in those circumstances the nominal offer did not provide a genuine incentive to the plaintiff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Lindt's offer in the present case did provide a genuine incentive to Laidar to settle having regard to the risks and expense of the litigation. While less than the plaintiff's best case for recovery, it fell well within a range of possible outcomes in the event that Laidar succeeded in establishing that the Lease was valid and enforceable. The damages at issue involved rent, expenses and interest, and therefore were easily quantifiable. While the issue with respect to the implications of Laidar's election arose late in the litigation, it was founded on well-settled jurisprudence concerning the landlord's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addition, at the time of the offer mitigation was a serious issue. Had Lindt succeeded on this issue, there would have been a very significant reduction in the damages. I note that while in the result, I concluded that Laidar's duty to mitigate arose only after the Lease was terminated, I found that Laidar had not acted reasonably in refusing an offer to rent the Premises such that if it had been under a duty to mitigate at the time, it would have been in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were commercial parties who had been litigating this matter since March 2009. The trial had commenced. There had been two failed mediations and previous exchanges of settlement proposals. In the circumstances although the offer was open for a short time, I conclude that there was sufficient time to consider it. Furthermore, given the stage of the litigation and the previous attempts at resolution, I conclude that Laidar was able to analyze and consider the offer without the need for any further rationale from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this was an offer that ought reasonably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award at trial is considerably less than the offer. The approximate amount that Laidar recovered is as follows. I describe this as approximate because the following incorporates Laidar's submission with respect to the Cushman commission but Lindt's calculation of interest, which might require a modest adjustment. However for this purpose any difference will be inconsequential.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Base rent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 708.44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Less deduction for fixturing</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($ 17, 500.00)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Less deduction for deposit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 866.56)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Interest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$ 46, 363.05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Portion of Cushman commission</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 016.36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Total before costs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$ 151, 721.27</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Estimated costs at Scale B</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$ 63, 296.55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 Total award as at March offer</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$ 215, 017.82</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this is a commercial case with relatively sophisticated parties. The relative financial circumstances are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have concluded that in these circumstances, the Lindt offer should have an effect on costs. Considering the options defined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 direct as follows: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will have its costs from Lindt, on a party and party basis at Scale B with no uplift up to and including March 28, 2015.</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will have its costs with respect to the defence of the claim and the prosecution of the counterclaim, from Laidar on a party and party basis at Scale B from March 29, 2015 forward with such amount set off against liability for costs Lindt may have to Laidar.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DTZ Vancouver Offer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DTZ Vancouver was entirely successful in its defence of the third and fourth party claims. It was awarded its costs in the Reasons against Lindt with respect to the third party claim and against DTZ with respect to the fourth party claim. These costs will be at Scale B with no uplift for the reasons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January 15, 2015 DTZ Vancouver made an all-inclusive offer to settle to Lindt pursuant to R. 9-1 in the amount of $62,500. The offer was open for acceptance until March 15, 2015. DTZ had made an offer to Lindt pursuant to R. 9-1 on December 9, 2014 to settle the third party claim for $145,000. That offer was open for acceptance until February 23, 2015. Lindt did not accept DTZ Vancouver's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Lindt submitted that DTZ Vancouver's offer was not an offer that was reasonable to accept at the time for several reasons. First, Lindt submits that the DTZ parties were blaming each other and would continue to do so at trial in any event of Lindt's response. There were credibility issues between the DTZ parties' witnesses. In addition, Lindt submits that the offer would not have resolved DTZ's claim against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Lindt, citing </w:t>
      </w:r>
      <w:r>
        <w:rPr>
          <w:rFonts w:ascii="arial" w:eastAsia="arial" w:hAnsi="arial" w:cs="arial"/>
          <w:i/>
          <w:color w:val="000000"/>
          <w:sz w:val="20"/>
          <w:lang w:val="en-US" w:eastAsia="en-US" w:bidi="ar-SA"/>
        </w:rPr>
        <w:t>Aulakh v. Nahal</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2018 BCSC 719</w:t>
        </w:r>
      </w:hyperlink>
      <w:r>
        <w:rPr>
          <w:rFonts w:ascii="arial" w:eastAsia="arial" w:hAnsi="arial" w:cs="arial"/>
          <w:color w:val="000000"/>
          <w:sz w:val="20"/>
          <w:lang w:val="en-US" w:eastAsia="en-US" w:bidi="ar-SA"/>
        </w:rPr>
        <w:t xml:space="preserve"> at para. 28, submits that the offer was not one that was capable of being accepted without obtaining the cooperation or consent of another party, and hence is not relevant with respect to the issue of costs. Lindt submits further that where it is difficult to assess the reasonableness of an offer due to there being multiple defendants, it is not inappropriate to refuse an offer to settle, citing </w:t>
      </w:r>
      <w:r>
        <w:rPr>
          <w:rFonts w:ascii="arial" w:eastAsia="arial" w:hAnsi="arial" w:cs="arial"/>
          <w:i/>
          <w:color w:val="000000"/>
          <w:sz w:val="20"/>
          <w:lang w:val="en-US" w:eastAsia="en-US" w:bidi="ar-SA"/>
        </w:rPr>
        <w:t>B.S.A. Investors Ltd. and Gang Ranch Ltd. v. Mosly et al.</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2005 BCSC 703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B.S.A. Investors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Lindt submits that the DTZ Vancouver offer was so low that it would only have been reasonably accepted if both Lindt and DTZ had no reasonable prospect of success, and that at the time there was in fact a reasonable prospect of success. Lindt also argues that it was reasonable to believe that the issues concerning the responsibility of DTZ and DTZ Vancouver could only be sorted out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DTZ Vancouver submits that the offer was one that ought reasonably to have been accepted. DTZ Vancouver notes that the offer was made when document discovery was essentially complete and examinations for discovery were complete, that it was made well before trial and was open for approximately six weeks, and that it contained a rationale.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DTZ Vancouver submits that unlike </w:t>
      </w:r>
      <w:r>
        <w:rPr>
          <w:rFonts w:ascii="arial" w:eastAsia="arial" w:hAnsi="arial" w:cs="arial"/>
          <w:i/>
          <w:color w:val="000000"/>
          <w:sz w:val="20"/>
          <w:lang w:val="en-US" w:eastAsia="en-US" w:bidi="ar-SA"/>
        </w:rPr>
        <w:t>Aulakh</w:t>
      </w:r>
      <w:r>
        <w:rPr>
          <w:rFonts w:ascii="arial" w:eastAsia="arial" w:hAnsi="arial" w:cs="arial"/>
          <w:color w:val="000000"/>
          <w:sz w:val="20"/>
          <w:lang w:val="en-US" w:eastAsia="en-US" w:bidi="ar-SA"/>
        </w:rPr>
        <w:t xml:space="preserve"> and the other cases relied upon by Lindt for this point, its offer did not require the consent or cooperation of any other party for Lindt to accept. Lindt could have accepted the offer without any agreement or negotiation with DTZ or contribution from DTZ. The parties could then have implemented the settlement through a BC Ferries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DTZ Vancouver also distinguishes </w:t>
      </w:r>
      <w:r>
        <w:rPr>
          <w:rFonts w:ascii="arial" w:eastAsia="arial" w:hAnsi="arial" w:cs="arial"/>
          <w:i/>
          <w:color w:val="000000"/>
          <w:sz w:val="20"/>
          <w:lang w:val="en-US" w:eastAsia="en-US" w:bidi="ar-SA"/>
        </w:rPr>
        <w:t>B.S.A. Investors</w:t>
      </w:r>
      <w:r>
        <w:rPr>
          <w:rFonts w:ascii="arial" w:eastAsia="arial" w:hAnsi="arial" w:cs="arial"/>
          <w:color w:val="000000"/>
          <w:sz w:val="20"/>
          <w:lang w:val="en-US" w:eastAsia="en-US" w:bidi="ar-SA"/>
        </w:rPr>
        <w:t>, noting that in that case Williamson J.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point of Rule 37 is to encourage settlement. That laudable aim should not, however, force parties to consider accepting single offers to multiple parties in circumstances where they are not in a position to make an intelligent assessment of the reasonableness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Unlike those circumstances, in the present case the offer was not a single offer to multiple parties. In addition, DTZ Vancouver submits that, unlike the offerees in </w:t>
      </w:r>
      <w:r>
        <w:rPr>
          <w:rFonts w:ascii="arial" w:eastAsia="arial" w:hAnsi="arial" w:cs="arial"/>
          <w:i/>
          <w:color w:val="000000"/>
          <w:sz w:val="20"/>
          <w:lang w:val="en-US" w:eastAsia="en-US" w:bidi="ar-SA"/>
        </w:rPr>
        <w:t>B.S.A. Investors</w:t>
      </w:r>
      <w:r>
        <w:rPr>
          <w:rFonts w:ascii="arial" w:eastAsia="arial" w:hAnsi="arial" w:cs="arial"/>
          <w:color w:val="000000"/>
          <w:sz w:val="20"/>
          <w:lang w:val="en-US" w:eastAsia="en-US" w:bidi="ar-SA"/>
        </w:rPr>
        <w:t>, Lindt was in a position to assess the reasonableness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this was an offer that ought reasonably have been accepted by Lindt. First, I agree with the submission of DTZ Vancouver that this was an offer that could have been accepted by Lindt without the cooperation or concurrence of any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it was possible for Lindt to assess the reasonableness of the offer at the time. While there are many circumstances in which a plaintiff facing multiple defendants who are casting blame upon each other will not be able to make a reasoned assessment of the fault of each, this was not such a case. Quite apart from whatever DTZ asserted about relative fault, at the time of the offer Lindt knew from the evidence of its own witnesses and from the documents that DTZ Vancouver never made a recommendation about the Property, and played no role in the drafting of the offer or the Lease. Lindt's evidence was that it did not rely on DTZ Vancouver. Its representatives regarded Mr. Chow as "the man with the keys". Finally by the time of the offer Lindt was in receipt of Mr. Klein's expert report on the standard of care of Mr. Chow to the effect that Mr. Chow complied with the standard of care. There were no contrary opinions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Pursuant to R. 9-1(6), the relationship between the offer and the final judgment is considered as an independent factor. In the offer, DTZ Vancouver sets out its rationale for the conclusion that the claims of DTZ Vancouver "will very likely be dismissed with costs payable." This was the outcome at trial, for reasons that are essentially those set out in DTZ Vancouver's offer. Moreover the offer was well in excess of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financial circumstances of both parties, I note that that is a commercial case and both parties are sophisticated commercial entities. In my view this factor is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conclude that this was an offer that ought to have cost consequences. Given the state of Lindt's knowledge at the time of the offer, I conclude that it is appropriate for this offer to have more significant cost consequences than the Lindt offer to Laidar. Accordingly, DTZ Vancouver will have an award of double costs with respect to the third party proceedings following the date of delivery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for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DTZ Vancouver seeks a direction pursuant to R. 14-1 (7) for the costs of two counsel, citing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2014 BCSC 968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Rule 14-1(7) provides: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has made an order for costs,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may, at any time before a registrar issues a certificate under subrule (27), apply for directions to the judge or master who made the order for costs,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or master may direct that any item of costs, including any item of disbursements, be allowed or disallowed, and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is bound by any direction given by the judge or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Chan v. Lee Estate</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2006 BCSC 155</w:t>
        </w:r>
      </w:hyperlink>
      <w:r>
        <w:rPr>
          <w:rFonts w:ascii="arial" w:eastAsia="arial" w:hAnsi="arial" w:cs="arial"/>
          <w:color w:val="000000"/>
          <w:sz w:val="20"/>
          <w:lang w:val="en-US" w:eastAsia="en-US" w:bidi="ar-SA"/>
        </w:rPr>
        <w:t>, Mr. Justice Hood said at para. 10, with respect to the previous iteration of the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clear that an application pursuant to Rule 57(7) may be brought at any time prior to a Certificate being issued. The purpose of the Rule is not to have judges become taxing officers. The judge should not exercise his or her discretion under the Rule, unless there are special circumstances (facts) which arose during the trial (or application in the case of a master), which enables the judge to determine, and then direct the registrar, that an item, or items of cost, charges or disbursements be allowed or disallowed on taxation. If the judge is not in this "uniquely favourable position" then he or she cannot make the determination and give the direction envisaged by Rule 57(7).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this case I did not preside over the trial. I therefore do not occupy a uniquely favorable position with respect to this issue. In these circumstances I decline to exercise the discretion provided by the Rule to make a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Lindt was unsuccessful in its third party claim against DTZ Vancouver but successful in it s claim against DTZ. Lindt seeks an order pursuant to R.14-1(18) for DTZ to pay directly to DTZ Vancouver Lindt's liability for DTZ Vancouver's costs. Rule 14-1(18) provides: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Lindt submits that a Sanderson order is appropriate here because:</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for Lindt to join DTZ Vancouver because both DTZ entities were involved in giving advice on the preparation, negotiation and execution of the Lease and the failed transaction and dealings and only by joining both could the respective liability be ascertained;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each entity were interrelated and not independent;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blamed DTZ Vancouver as evident by the fourth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would observe that Lindt was aware from the outset that, as noted above, DTZ Vancouver made no recommendation and had no role in the preparation, negotiation and execution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DTZ submits that Lindt should be solely responsible for the costs of DTZ Vancouver in relation to the third party claim because:</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initiated the third party claim against each DTZ entity simultaneously;</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refused reasonable formal settlement offers from each;</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conduct of DTZ added substantially to the litigation costs of DTZ Vancouver or caused Lindt to initiate and then maintain the claim against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 party seeking a Sanderson order must satisfy a threshold test. As noted in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xml:space="preserve"> at para. 134:</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seeking a Bullock or Sanderson order must satisfy a two-part test. It must be reasonable for the plaintiff to have sued the successful defendant and there must be something that the unsuccessful defendant did to warrant being made liable to reimburse the plaintiff for the successful defendant's costs: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2010 BCCA 528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Southin J.A. articulated at paras. 32-34 the appropriate considerations: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the single issue is whether the respondents Eamor and WIC "ought" to pay the costs to which the respondents Doern and City of Vancouver are entitled as against the appellant.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go so far, as some of the cases have suggested, as to say that such an order should be made "whenever it was reasonable for the plaintiff to have sued the successful defendant", if, by "reasonable", one is looking at the matter from the perspective of counsel for the plaintiff. One must bear in mind that the present rule as to joinder of causes of action is so broad that the causes of action alleged against the various defendants may be completely different, even though they arise out of the same transaction. To illustrate the point, in </w:t>
      </w:r>
      <w:r>
        <w:rPr>
          <w:rFonts w:ascii="arial" w:eastAsia="arial" w:hAnsi="arial" w:cs="arial"/>
          <w:i/>
          <w:color w:val="000000"/>
          <w:sz w:val="20"/>
          <w:lang w:val="en-US" w:eastAsia="en-US" w:bidi="ar-SA"/>
        </w:rPr>
        <w:t>Can-Dive Services v. Pacific Coast Energy</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the plaintiff, a subcontractor in a construction project, sued the contractor, alleging breach of contract; the owner, alleging breach of a duty of care; and the owner's engineer, alleging a breach of duty of care. To sue the owner and the engineer, although the claims ultimately failed, may well have been reasonable from the point of view of the plaintiff but that would not, in my opinion, have warranted, if the contractual claim had succeeded, the contractor being required to pay the plaintiff the costs which the plaintiff was obliged to pay to the owner and the engineer. There must be something which the unsuccessful defendant did, such as asserting the other defendant was the culprit in the case, to warrant his being made to reimburse the plaintiff for the successful defendant's costs. That was what happened in </w:t>
      </w:r>
      <w:r>
        <w:rPr>
          <w:rFonts w:ascii="arial" w:eastAsia="arial" w:hAnsi="arial" w:cs="arial"/>
          <w:i/>
          <w:color w:val="000000"/>
          <w:sz w:val="20"/>
          <w:lang w:val="en-US" w:eastAsia="en-US" w:bidi="ar-SA"/>
        </w:rPr>
        <w:t>Bullock v. London General Omnibus Co</w:t>
      </w:r>
      <w:r>
        <w:rPr>
          <w:rFonts w:ascii="arial" w:eastAsia="arial" w:hAnsi="arial" w:cs="arial"/>
          <w:color w:val="000000"/>
          <w:sz w:val="20"/>
          <w:lang w:val="en-US" w:eastAsia="en-US" w:bidi="ar-SA"/>
        </w:rPr>
        <w:t>. The omnibus company asserted the cart driver was the cause of the accident.</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orders under Rule 57(18) are not restricted to cases where the unsuccessful defendant in the course of the litigation has blamed the successful defendant but may extend to acts of the unsuccessful defendant which caused the successful defendant to be brought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Once the threshold has been satisfied, the matter becomes a question of discretion to be exercised judicially taking into account all of the circumstances of the case: </w:t>
      </w:r>
      <w:r>
        <w:rPr>
          <w:rFonts w:ascii="arial" w:eastAsia="arial" w:hAnsi="arial" w:cs="arial"/>
          <w:i/>
          <w:color w:val="000000"/>
          <w:sz w:val="20"/>
          <w:lang w:val="en-US" w:eastAsia="en-US" w:bidi="ar-SA"/>
        </w:rPr>
        <w:t>Robertson v. North Island College Technical and Vocational Institute et. al</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xml:space="preserve"> at 24 (B.C.C.A.), per Lambert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the threshold for a Sanderson order is not made out in the present case. Given Lindt's knowledge of the relevant circumstances, it is arguable that it was not reasonable for Lindt to have sued DTZ Vancouver. DTZ did argue that DTZ Vancouver was to blame; however, in my view given the timing of the third party proceedings, it cannot be said that DTZ caused DTZ Vancouver to be brought into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any event, even if the threshold has been met, I decline to exercise my discretion to make the order in the circumstances of this case. In all of the circumstances it is my view that Lindt should bear the responsibility for the costs of its unsuccessful third party proceedings against DTZ Vancouver. Given Lindt's knowledge of the relevant circumstances relating to the potential liability of DTZ Vancouver, it is just and appropriate that it should bear the costs of its unsuccessful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result there will be an order that DTZ Vancouver will have its costs from Lindt with respect to the third party proceedings at Scale B with no uplift up to and including January 15, 2015. DTZ Vancouver will have double costs from Lindt with respect to the third party proceedings from January 16, 2015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DTZ Vancouver will have its costs with respect to the fourth party proceedings at Scale B with no uplift from DTZ.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Lindt - DTZ</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 R. 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Rule 14-1(15) confers a discretion to apportion responsibility for costs. The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of whole or part of proceeding</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DTZ seeks an apportionment pursuant to R. 14-1(15). DTZ submits that Lindt's costs should be apportioned 60% to the plaintiff's claim, 20% to Lindt's claim against DTZ and 20% to Lindt's claim against DTZ Vancouver. Lindt submits that the conditions for the application of this Rule are not made out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principles to be applied were identified by Chief Justice Finch for the court, in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xml:space="preserve"> at para. 31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the apportionment of costs under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57(15) can be set out as follows: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agree with the submission of Lindt that this is not an appropriate case for the application of this Rule. Rather, subject to apportionment on the basis of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the disposition of costs should follow the ordinary rule that costs follow the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Apportionment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at s.3(1)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DTZ was found 70% liable to indemnify Lindt with respect to Lindt's liability to Laidar. DTZ was also found to have direct liability to Lindt for its expenses in relation to contractor expenses, subject to the same apportionment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DTZ submits that, consistent with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DTZ should be responsible to indemnify Lindt for 70% of the costs, if any, that Lindt is required to pay to Laidar after set-off. Subject to the effect of the offer to settle, it should also be responsible for 70% of Lindt's costs with respect to the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appeared that Lindt agreed with this proposed disposition in its initial written submission in which its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circumstances suggesting there would be an injustice if the Plaintiff's costs are apportioned 70% to [DTZ] and 30%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However when the parties returned for reply and supplementary submissions, Lindt submitted that the court should exercise its discretion and order that DTZ is responsible for 100% of Lindt's costs of the third party proceedings and Lindt's responsibility for Laidar's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support of this submission, Lindt emphasized the award for the contractor's expenses amounting to $25,854.88. I note however that this award was also subject to apportionment on the basis of 70% to DTZ and 30%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Lindt cited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Ekman v. Cook</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2015 BCSC 1863</w:t>
        </w:r>
      </w:hyperlink>
      <w:r>
        <w:rPr>
          <w:rFonts w:ascii="arial" w:eastAsia="arial" w:hAnsi="arial" w:cs="arial"/>
          <w:color w:val="000000"/>
          <w:sz w:val="20"/>
          <w:lang w:val="en-US" w:eastAsia="en-US" w:bidi="ar-SA"/>
        </w:rPr>
        <w:t xml:space="preserve"> in support of this submission. I note that both of these cases concern personal injury actions in which the plaintiff had suffered serious injury but was found to have been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application of s.3(1)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discretionary.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Gray J. notes at para. 11 that the principal consideration exercising this discretion is whether an injustice will result by following s. 3(1).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contains a very helpful review of the jurisprudence and describes many factors that courts have considered in the exercise of the discretion. In my view no injustice would arise from the application of the usual rule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Accordingly, with respect to the issue of Laidar's costs, DTZ will indemnify Lindt for 70% of the costs, if any, that Lindt is required to pay to Laidar after set-off in relation to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noted above, on December 9, 2014, DTZ made an offer to settle the third party claim for $145,000. The offer was open until February 23, 2015, thus overlapping with the DTZ Vancouver offer from January 15, 2015 to February 23, 2015. Lindt did not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Lindt argues that this was not an offer that Lindt ought reasonably have accepted, largely for the reasons advanced in relation to the DTZ Vancouver offer. It notes that the offer was premised upon a notional division of responsibility for Laidar's damages that was rejected in the final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DTZ argues that this offer should have been considered in conjunction with the offer from DTZ Vancouver noting that if both offers had been accepted Lindt would have had $207,500 in hand and the litigation with Laidar would have been simplified and less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this was an offer that ought reasonably have been accepted at the time, in particular, once Lindt had offers from DTZ and DTZ Vancouver. I agree with Lindt that the DTZ and DTZ offers are not a joint offering. However, I agree with DTZ that the existence of the DTZ Vancouver offer, which overlapped this offer, is a factor that is appropriate to consider as part of the circumstances at the time of the offer given that Lindt could have accepted either or both of the offers at the time. Given the issue with respect to the degree of fault that could be attributed to Lindt with respect to the conduct of its officers and solicitor, this was an offer that fell within the range of possible outcomes at trial. Acceptance could have simplified the remaining issues and reduced the cost of the litigation, even if it would not have eliminated the necessity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noted above, the award to Laidar as at March 2015 amounted to $215,017.82. In addition Lindt was awarded $18,098.42 (70% of $25,854.88) for contractor costs for a total of $233,116.24. Seventy percent of that amount is $163,181,37. While the DTZ offer was less than that amount, if Lindt had also accepted the DTZ Vancouver offer, which I concluded it should reasonably have done, the combined amounts of $207,500 would exceed the liability for both the third party claim and contractor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noted above, these are sophisticated commercial parties. The relative financial circumstances of the parties is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for DTZ submits that in the present case, the combined taxable costs in issue are in excess of the damages obtained by the largely successful plaintiff by a factor of more than three. This discrepancy, counsel submits, speaks directly to the underlying purpose of the costs rules, to encourage reasonable early settlement of matters in order to avoid lengthy and costly litigation that ought reasonably to be avoided.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my view, it is appropriate that the DTZ offer be given effect with respect to costs. DTZ seeks an order for double costs from the date of the offer. However in my view an order for double costs is not appropriate in the circumstances given the relationship between the offer and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result there will be an order that:</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will pay 70% of Lindt's costs of the third party proceedings, to be set off against 30% of DTZ's costs of defending the third party proceedings to January 15, 2015 (the date of the DTZ Vancouver offer);</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and Lindt will each bear their own costs with respect to the third party proceeding from January 16, 2015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respect to Laidar's damages: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recovers $4,016.36 with respect to the Cushman &amp; Wakefield commission;</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calculation of the damages awarded to Laidar, the deposit should be deducted from the obligation outstanding at the end of the Lease, July 31, 2010 and the fixturing allowance should be deducted from the obligations at the commencement of the Lease;</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15.1(c) of the Lease provides for the payment of simple interest;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Post-judgment interest began to run from January 18, 2018, the date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costs:</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costs will be calculated on the basis of Scale B with no uplift;</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will have its costs from Lindt, on a party and party basis at Scale B with no uplift up to and including March 28, 2015;</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will have its costs with respect to the defence of Laidar's claim and the prosecution of the counter claim, from Laidar on a party and party basis at Scale B from March 29, 2015 forward with such amount set off against liability for costs that Lindt may have to Laidar;</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will indemnify Lindt for 70% of the costs, if any, that Lindt is required to pay to Laidar after set-off in relation to the offer to settle;</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will pay 70% of Lindt's costs of the third party proceedings at Scale B with no uplift, to be set off against 30% of DTZ's costs of defending the third party proceedings up to and including January 15, 2015;</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and Lindt will each bear their own costs with respect to the third party proceedings from January 16, 2015 forward;</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Vancouver will have its costs from Lindt with respect to the third party proceedings at Scale B with no uplift up to and including January 15, 2015;</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Vancouver will have double costs from Lindt with respect to the third party proceedings from January 16, 2015 forward;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Vancouver will have its costs with respect to the fourth party proceedings at Scale B with no uplift from DTZ;</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Vancouver will have its costs with respect to this application. All other parties will bear their own costs with respect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Rizzolo v. Brett, [2009] B.C.J. No. 1098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M.J. 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23-27, 30-31, April 1-3 and 6-8,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M070543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1098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Michael Rizzolo, Plaintiff, and Josephine Clara Brett,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9" w:name="Keywords_41"/>
      <w:bookmarkEnd w:id="389"/>
      <w:r>
        <w:rPr>
          <w:rFonts w:ascii="arial" w:eastAsia="arial" w:hAnsi="arial" w:cs="arial"/>
          <w:b/>
          <w:color w:val="000000"/>
          <w:sz w:val="20"/>
          <w:lang w:val="en-US" w:eastAsia="en-US" w:bidi="ar-SA"/>
        </w:rPr>
        <w:t>Damages — Physical and psychological injuries — Physical injuries — Leg injuries — Ankle — Action by 41-year-old husband and father injured in motor vehicle accident against negligent driver allowed — Plaintiff sustained leg injury requiring two surgeries and other treatments — Left permanently injured and restricted in ability to work and participate in recreational activities — Awarded $125,000 for non-pecuniary damages, $69,368 for past income loss, $250,000 for lost earning capacity, $106,574 for future care costs and $11,161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Cost of future care — Loss of earning capacity — Retroactive loss of income — Special damages — Expenses and expenditures — Non-pecuniary loss — Action by 41-year-old husband and father injured in motor vehicle accident against negligent driver allowed — Plaintiff sustained leg injury requiring two surgeries and other treatments — Left permanently injured and restricted in ability to work and participate in recreational activities — Awarded $125,000 for non-pecuniary damages, $69,368 for past income loss, $250,000 for lost earning capacity, $106,574 for future care costs and $11,161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motorcyclist injured in motor vehicle accident against other driver allowed — Motorcyclist proceeding straight through intersection at reasonable speed when struck by left-turning driver — Driver making left turn failed to yield and was responsible for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Turns — Left turn at intersection — Liability — Civil actions — Breach of rules of the road — Action by motorcyclist injured in motor vehicle accident against other driver allowed — Motorcyclist proceeding straight through intersection at reasonable speed when struck by left-turning driver — Driver making left turn failed to yield and was responsible for accident — Motor Vehicle Act, s.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0" w:name="Case Summary_39"/>
            <w:bookmarkEnd w:id="3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Rizzolo to recover damages for personal injuries sustained in a 2005 motor vehicle accident with Brett. Brett turned left into Rizzolo's motorcycle as he proceeded straight through an intersection. Another driver going the same way as Rizzolo confirmed his evidence the light before them was green. Brett claimed she was completely unaware of the motorcycle and that she checked to make sure the way was clear and before making her left turn. Rizzolo and the other driver testified they were driving close to the speed limit. Rizzolo was unable to avoid the collision. Brett was charged with failing to yield when making a left turn, and did not contest the charge. Prior to the accident, Rizzolo worked three jobs to support his family and was an active athlete. He was 41 years old. He sustained a fractured tibia and fibula in the accident. He underwent two surgeries for his injuries. He was unable to work for 54 weeks, and after his return experienced great difficulty performing the physical tasks required of him as a caretaker. He was treated with physiotherapy and steroid injections. His range of motion improved and he was able to return to exercise and playing sports in 2006. His treating physician was of the opinion Rizzolo would continue to experience long-term pain in his ankle with continued use, walking and standing. An orthopaedic surgeon who first saw Rizzolo in 2007 for pain and swelling in his lower leg attributed his ongoing symptoms to scarring, swelling and thickening of soft tissue, attributable to the accident. He considered Rizzolo's symptoms permanent. By 2009, Rizzolo complained of more frequent and intense ankle pain and stated his coworkers and supervisors had noticed his reduced overall functional capacity. His recreational activities had greatly diminished because he was trying to preserve his functional capacity for work. His orthopaedic surgeon recommended a change in vocation. Brett raised the issue of several other accidents in which Rizzolo was involved after the 2005 accident, but his doctors noted no alteration of his condition from any of them. Rizzolo testified his relationship with his wife and son deteriorated after the accident, because he was unable to do things with them he did before. He became addicted to video gaming because he could no longer participate actively in sports. His wife had to work much more and the couple no longer slept in the same bedroom. They indicated the cause of their marital problems was the change in Rizzolo that took place after the accident. He was in constant pain, had to take several medications for pain and depression, and was grumpy all the time. His injuries affected all aspects of his life. He submitted he lost $54,776 in wages from his three jobs in the years between the accident and his trial, based on his employer's estimates of what he would have earned but for the toll his injuries took on his ability to work. An occupational therapist recommended a plan for future care that would cost about $650,000. Rizzolo submitted an award under this head of $200,000 was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1" w:name="Holdings of Court_34"/>
            <w:bookmarkEnd w:id="39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clear Brett was liable for the accident. She was responsible for ensuring she could make her turn safely. She was the servient driver and Rizzolo was the dominant driver, with the right of way. There was no evidence Rizzolo was speeding or driving without due care and attention. Rizzolo's life was permanently altered by the injuries he sustained in the accident. There was no evidence he could have done more to mitigate his losses. He was awarded $125,000 for non-pecuniary damages. The figure he submitted for pasty income loss was discounted by 20 percent to arrive at an award of $43,821, plus $25,547 in lost sick leave trust credits. His award for future income loss was set at $250,000, less than what he sought but more than the $50,000 suggested by Brett. Rizzolo's calculations were discounted because there were other factors than the accident that could limit his future earnings. The court arrived at a figure of $106,574 for future care costs, taking into account therapies Rizzolo had benefited from in the past as well as some home management assistance. Special damages for expenses incurred of $11,161 were also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2" w:name="Legislation Cited_31"/>
      <w:bookmarkEnd w:id="3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1047" w:history="1">
        <w:r>
          <w:rPr>
            <w:rFonts w:ascii="arial" w:eastAsia="arial" w:hAnsi="arial" w:cs="arial"/>
            <w:i/>
            <w:color w:val="0077CC"/>
            <w:sz w:val="20"/>
            <w:u w:val="single"/>
            <w:shd w:val="clear" w:color="auto" w:fill="FFFFFF"/>
            <w:lang w:val="en-US" w:eastAsia="en-US" w:bidi="ar-SA"/>
          </w:rPr>
          <w:t>RSBC 1996, CHAPTER 231, s. 25</w:t>
        </w:r>
      </w:hyperlink>
      <w:r>
        <w:rPr>
          <w:rFonts w:ascii="arial" w:eastAsia="arial" w:hAnsi="arial" w:cs="arial"/>
          <w:color w:val="000000"/>
          <w:sz w:val="20"/>
          <w:lang w:val="en-US" w:eastAsia="en-US" w:bidi="ar-SA"/>
        </w:rPr>
        <w:t>, s. 95,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1048" w:history="1">
        <w:r>
          <w:rPr>
            <w:rFonts w:ascii="arial" w:eastAsia="arial" w:hAnsi="arial" w:cs="arial"/>
            <w:i/>
            <w:color w:val="0077CC"/>
            <w:sz w:val="20"/>
            <w:u w:val="single"/>
            <w:shd w:val="clear" w:color="auto" w:fill="FFFFFF"/>
            <w:lang w:val="en-US" w:eastAsia="en-US" w:bidi="ar-SA"/>
          </w:rPr>
          <w:t>B.C. Reg. 447/83, s. 180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CHAPTER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049" w:history="1">
        <w:r>
          <w:rPr>
            <w:rFonts w:ascii="arial" w:eastAsia="arial" w:hAnsi="arial" w:cs="arial"/>
            <w:i/>
            <w:color w:val="0077CC"/>
            <w:sz w:val="20"/>
            <w:u w:val="single"/>
            <w:shd w:val="clear" w:color="auto" w:fill="FFFFFF"/>
            <w:lang w:val="en-US" w:eastAsia="en-US" w:bidi="ar-SA"/>
          </w:rPr>
          <w:t>RSBC 1996, CHAPTER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3" w:name="Counsel_43"/>
      <w:bookmarkEnd w:id="3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Marc A. Kazimirski &amp; Jennifer L. Conkie,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Jeffrey W. Joudrey &amp; John P.C.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4" w:name="Judgment_43"/>
      <w:bookmarkEnd w:id="394"/>
      <w:r>
        <w:pict>
          <v:line id="_x0000_s1240"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5" w:name="M.J. ALLAN J."/>
            <w:bookmarkEnd w:id="395"/>
            <w:r>
              <w:rPr>
                <w:rFonts w:ascii="arial" w:eastAsia="arial" w:hAnsi="arial" w:cs="arial"/>
                <w:b/>
                <w:color w:val="000000"/>
                <w:sz w:val="30"/>
                <w:lang w:val="en-US" w:eastAsia="en-US" w:bidi="ar-SA"/>
              </w:rPr>
              <w:t>M.J. 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14, 2005, the plaintiff Dennis Rizzolo was riding his Kawasaki motorcycle when he was struck by a left-turning vehicle driven by the defendant Josephine Brett at the intersection of Lougheed Highway and 216th Avenue in Maple Ridge. As a result of that Accident, he suffered a comminuted fracture of the left distal tibia and fibula that required surgery. He continues to suffer chronic pain that profoundly impacts his life and his ability to perform his job as a groundsman with the Coquitlam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Mr. Rizzolo was 41 years of age and happily married with a seven year old son. He was an avid athlete and family man and a hard worker. Since 1990, he had worked at two part time jobs in addition to a full time job to supplement the family's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has adamantly denied liability, notwithstanding the fact that Lisa Hancock, the only witness who supports the defendant's case, recounts a version of events at odds with that of both parties and the other eye witness, Christie Parks.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approximately 11:00 a.m. on March 14, 2005, on a clear day with light traffic. Mr. Rizzolo was riding his motorcycle eastbound on Lougheed Highway, intending to proceed straight through the intersection at 216th Avenue in the left hand lane. The curb lane was to his right and as he approached the intersection, there was a left-turn lane on his left. The traffic light facing him was green. He said that he was traveling at or below the posted speed limit of 60 kmh. He observed Mrs. Brett's vehicle waiting to turn left. As an experienced motorcycle rider, he was keenly aware of the danger of being struck by a left-turning vehicle. He was just entering the intersection when Mrs. Brett turned into his lane of travel. He had no time to gear down or stop to avoid the collision. He slammed on his brakes and swerved to the curb lane but Mrs. Brett's vehicle struck him on the left side of his motorcycle. After sliding through the intersection, Mr. Rizzolo got his motorcycle under control and pulled it over to the side of the road, keeping it upright until he received assistance in dismounting.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Brett's 1990 Oldsmobile was stopped in the left-turn lane across the intersection, facing eastbound traffic. She intended to turn south on 216th Avenue and stopped on a late green light at the stop line. Because she anticipated that the light would soon turn amber and then red, she stopped in order to wait for the next green light. She said it is her practice to turn only on green lights and never on amber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Brett has been driving for 60 years and she has never had an Accident. She is obviously a careful driver and she was a careful and honest witness. However, it is clear that the Accident occurred as a result of a miscalculation on her part. Although she saw Mr. Rizzolo's motorcycle approaching the intersection and Ms. Park's car in the curb lane, she anticipated that she had sufficient time to make her left turn. She estimated that the motorcycle was within 10 car lengths of the intersection. No other traffic was approaching. As Mrs. Brett turned, she was watching where she was going and she did not look to her right. She said she made the left turn at "a good speed. Not too fast, but I didn't linger." She said that she would have stopped if she had seen the motorcycle but she did not see it from the time she began to turn until she heard a thump. She took no evasive action and was surprised that she had hit the motorcycle. She did not know how fast Mr. Rizzolo had been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Mrs. Brett was charged pursuant to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xml:space="preserve">"] for "failure to yield left turn." She did not contest the charge. While statutory duties may provide evidence of the standard of reasonable conduct, the plaintiff does not suggest that the charge is determinative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Parks was driving her car about five feet behind Mr. Rizzolo and she was in the curb lane as they approached the intersection. She estimated that both of them were travelling between 50 and 60 kmh. She said as they approached the intersection, "all of a sudden a lady coming towards us going west, she just turned right into [Mr. Rizzolo]." She said Mrs. Brett made the turn quickly and did not slow down from the time she started her turn until the impact. Ms. Parks was positive that the light remained green up to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Despite the fact that Mr. Rizzolo, Mrs. Brett and Ms. Parks all testified that the light was green, Ms. Hancock, a witness called for the defence, said that she had slowed for a yellow light at the intersection and then observed Mrs. Brett's turn and the collision. She failed to see Ms. Parks' car, which was there to be seen. She mistakenly thought Mr. Rizzolo was travelling in the curb lane. Mr. Joudrey, co-counsel for the defendant, suggests that, on the basis of Ms. Hancock's evidence, Mr. Rizzolo must have proceeded into the intersection on a yellow, or even a red, light. That suggestion is untenable. The evidence is clear that both parties entered the intersection on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Hancock alone described Mrs. Brett as "inching forward" through her left turn. There is no question that Ms. Hancock was an honest and sincere witness but I conclude, in view of the inexplicable contradictions between her evidence and that of the other witnesses, that she is mistaken as to the details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the trial, counsel for the defendant forwarded the decision of </w:t>
      </w:r>
      <w:r>
        <w:rPr>
          <w:rFonts w:ascii="arial" w:eastAsia="arial" w:hAnsi="arial" w:cs="arial"/>
          <w:b/>
          <w:i/>
          <w:color w:val="000000"/>
          <w:sz w:val="20"/>
          <w:lang w:val="en-US" w:eastAsia="en-US" w:bidi="ar-SA"/>
        </w:rPr>
        <w:t>Bain v. Shafron</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2009 BCSC 543</w:t>
        </w:r>
      </w:hyperlink>
      <w:r>
        <w:rPr>
          <w:rFonts w:ascii="arial" w:eastAsia="arial" w:hAnsi="arial" w:cs="arial"/>
          <w:color w:val="000000"/>
          <w:sz w:val="20"/>
          <w:lang w:val="en-US" w:eastAsia="en-US" w:bidi="ar-SA"/>
        </w:rPr>
        <w:t xml:space="preserve"> for consideration. I find the facts in that case wholly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relevant section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xml:space="preserve"> is s. 174 which governs the right-of-way at intersections when one vehicle is turning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a left turning motorist, it was incumbent upon Mrs. Brett to ensure that she could clear each lane of her turn safely. Mr. Rizzolo entered the intersection on a green light and clearly had the right of way. He was the dominant driver and Mrs. Brett was the servient driver. In order to establish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Rizzolo, Mrs. Brett would have to present evidence of the sort described in </w:t>
      </w:r>
      <w:r>
        <w:rPr>
          <w:rFonts w:ascii="arial" w:eastAsia="arial" w:hAnsi="arial" w:cs="arial"/>
          <w:b/>
          <w:i/>
          <w:color w:val="000000"/>
          <w:sz w:val="20"/>
          <w:lang w:val="en-US" w:eastAsia="en-US" w:bidi="ar-SA"/>
        </w:rPr>
        <w:t>Walker v. Brownlee and Harmen</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Mr. Rizzolo was not driving at an excessive speed or without due care and attention. He saw Mrs. Brett's car and anticipated, reasonably, that she would not make her turn before he had cleared the intersection and it was safe for her to do so. She misjudged the speed and distance of the motorcycle and her unexpected actions gave Mr. Rizzolo no opportunity to avoid being struck by her. I find that Mrs. Brett failed in her primary duty to ensure that she could safely make her left hand turn before commencing it. Once she started her turn, she never looked to see where the motorcycle was. Had she done so, she would have appreciated that it was an immediate hazard. So intent was Mrs. Brett on completing her turn, she was unaware that she had struck Mr. Rizzolo until she heard the thump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Conclusion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conclude that the Accident occurred solely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Rizzolo suffered significant fractures of his left tibia and fibula. He underwent surgery which consisted of an internal fixation implanting a long plate and several screws. He remained in hospital for five days. He returned to work 54 weeks after the Accident but encountered great difficulty with the physical demands of his work. He noticed increased swelling in his leg and experienced significant pain while walking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Rizzolo undertook physiotherapy between June and September 2005 and between December 2005 and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20, 2006, Mr. Rizzolo underwent a second surgery to remove the hardware in his distal tibia. The surgeon smoothed the surface of the bone to minimize interference with the soft tissues. Mr. Rizzolo returned to work on July 11, 2006. That second operation significantly improved his range of motion, reduced the symptoms of numbness in his foot, and increased his mobility. Dr. Pankaj. Dhawan, a physiatrist, noted that the operation gave Mr. Rizzolo some ability to return to exercise and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Dhawan, first saw Mr. Rizzolo in March 2007 for the purpose of a medical examination and assessment. Dr. Dhawan then treated the plaintiff on four occasions in 2007 and 2008 with steroid injections in his ankle joint to temporarily relieve the pain. These steroid injections are not a long term solution because they carry their own risks. Dr. Dhawan produced medical reports in March 2007 and December 2008. He found that Mr. Rizzolo exhibited no exaggerated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first report, Dr. Dhawan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has a history suggestive of reflex sympathetic dystrophy with temperature changes and sweating changes into the foot but that has more or less resolved. His bone has healed satisfactorily. However, there is slight lateral angulation at the site of the old trauma of the distal tibia and fibula which is changing the alignment of his ankle and he is pronating his foot more, placing more strain on the medial aspect of the ankle. He still has some palpable swelling and distinct tenderness on the inner aspect of the ankle. He does not have a limp but, according to the patient, at the end of the day he tends to limp.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should avoid prolonged weightbearing, walking on uneven ground for prolonged periods and high-impact activities or exercises.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future, if he develops further degenerative change then he may require anti-inflammatories more regularly. He may require patellar weightbearing, ankle/foot orthosis or brace where we can bypass the weightbearing from the ankle joint up to the proximal tibia and that may allow some reduction of deterioration of the ankle joint. Down the road, he may require ankle fusion surgery to reduce his pain but that may create limping and some mechanical forces transmitted to the lower back, causing lower back pain. Before he goes to ankle/foot orthosis, it may be useful to wear high cut hiking type boots, laced tight. It would give him mediolateral support to the ankle, along with orthotics as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Dhawan noted that x-rays did not show degenerative change but the bone scan showed inflammatory changes which could suggest early degenerative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second report of December 15, 2008, Dr. Dhawan's opinion remained the same. He considered that Mr. Rizzolo was likely to have long term pain in his left medial ankle with continued use of that foot, walking on uneven ground, and prolonged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Murray Penner, an orthopaedic surgeon, examined Mr. Rizzolo on October 15, 2007 and January 20, 2009 and prepared three reports. Dr. Penner, who primarily treats injuries to the lower extremities, was an excellent witness. He was thorough, independent, and gave his evidence in a manner designed to be understood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he first examined Mr. Rizzolo on October 2007, Dr. Penner noted that the plaintiff's primary complaint was of left lower leg pain and swelling. Mr. Rizzolo described his pain as moderate to severe although his symptoms had been improved by the removal of his internal fixation. He had a sense of his ankle giving way intermittently. Mr. Rizzolo told Dr. Penner of his difficulties in his employment as a security runner and then as a groundsman. He said that his previous recreational activities and ability to do yard work and vehicle maintenance were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Penner noted that Mr. Rizzolo had a healed left distal tibia fracture with near anatomic alignment; a healed left distal fibula fracture, which was minimally displaced; and left ankle and lower left soft tissue scarring and fibrosis, which resulted in his left ankle having a reduced range of motion and swelling. He had possibly experienced a previous complex regional pain syndrome, but it was not clinically present at the time of the examination. Dr. Penner thought the plaintiff also had possible mild left ankle tendinitis involving the posterior tibial tendon and peroneal tendons, possibly secondary to scar tissue formation and impingement from adjacent bony irregularities secondary to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Penner made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Rizzolo clearly sustained a significant injury to the left lower leg. His distal tibia and fibular fractures occurred in the lower level of the leg at the musculotendinous junction. Such injuries often do result in some degree of 'tethering' of the soft tissues resulting in somewhat reduced range of motion and pain with stretching to the extremes of motion. His symptoms would be in keeping with such a phenomenon. In addition, he did have a long metal plate applied to the medial aspect of his tibia. The x-rays of his left ankle following removal of hardware demonstrate some irregularity along the medial border of the left tibia in the region of posterior tibial tendon. It is possible that some of his posteromedial ankle pain may well be related to a mild level of irritation of his posterior tibial tendon or possibly the other posteromedial tendons at the ankle due to this bony irregularity. Certainly, the combination of soft tissue fibrosis that is expected with a fracture in this area, together with possible bony roughening as noted could readily explain the persistence of symptoms involving the posteromedial tendinous soft tissues at the left ankle. Similarly, there is evidence of mild displacement and irregularity of the left lateral malleolus just above the level of the ankle. This may result in some irregularity of the tendon sheath of the peroneal tendons. Again, a similar phenomenon of soft tissue fibrosis and irregularity of the tendon tract likely explains most of his posterolateral ankle symptoms. His more diffuse ankle symptoms are likely attributable to generalized soft tissue scarring and swelling and thickening associated with a direct blow crushing injury to the left lower leg as he obtained at the time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Penner found Mr. Rizzolo's reported symptoms to be consistent with his clinical findings and diagnoses. Because his examination was 2 1/2 years after the Accident, and significant recovery had already occurred, Dr. Penner believed that Mr. Rizzolo's current symptoms and functional level were likely to remain permanent. He did not anticipate any dramatic improvement from Mr. Rizzolo's current level of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Dr. Penner examined Mr. Rizzolo in January 2009, Mr. Rizzolo complained of more frequent and increased pain in his left ankle. Mr. Rizzolo stated that his coworkers and supervisors noticed his reduced overall functional capacity and that fact caused him some stress. He was using pain medication including Tylenol 3s and anti-inflammatories. His recreational activities were greatly diminished, partly because he was trying to preserve as much of his functional capacity as possible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Penner concluded that Mr. Rizzolo's injuries were permanent and they significantly affected all aspects of his functioning. Dr. Penner's diagnosis was a healed left distal tibia and fibula fracture; mild valgus and external rotation malunion of distal tibia and fibula; mild left lower leg, ankle, and hindfoot post-traumatic fibrosis; and left ankle and hindfoot pain secondary to malunion.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Penner considered Mr. Rizzolo's diminished functional capacity to be "entirely in keeping with the diagnosis and current physical examination and status of his ankle." He anticipated a gradual progression of his symptoms and a gradual decrease in his ability to carry out his present level of function. Although the timing was unclear, Mr. Rizzolo required a change in his vocation and home maintenance situation. Dr. Penner did not think that arthritis was likely as a result of the plaintiff's injury, although the risk of arthritis was slightly higher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contends that proof of any ongoing symptoms after the second surgery relies heavily on the subjective reporting of Mr. Rizzolo. Dr. Penner agreed that 90% of his diagnosis, prognosis and recommendations are based on the history he receives from his patient. Moreover, in Dr. Dhawan's experience, the majority of patients with a similar surgical outcome would not have the significant ongoing symptoms that Mr. Rizzolo complains of. However, both doctors considered Mr. Rizzolo's complaints and symptoms genuine. I found Mr. Rizzolo, who does have significant ongoing symptoms, to be a credible and convincing witness who did not exaggerate his symptoms and who is not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makes much of the fact that following the Accident, Mr. Rizzolo was involved in two minor motor vehicle Accidents and that he also fractured a bone in his right foot when he dropped a dresser on it. Dr. Penner did not note any abnormalities in his right foot and testified that the fact of those three mishaps did not alter his opinion. I do not find that any of those incidents had an effect on the disability he sustained as a result of the Accident. Further, despite the defendant's suggestion, I do not draw any negative inference from a notation made by his family doctor's locum to the effect that he was concerned about the outcome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Dr. Rhonda Low, the plaintiff's family doctor for over 20 years, was clearly an advocate for her patient - as many family doctors are - she also described Mr. Rizzolo as stoic. She testified that she was sceptical about her patients who exaggerate their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Low also expressed the opinion that Mr. Rizzolo is doing the best he can in his physically active job. However, he is not getting better and he continues to suffer from daily pain and injuries as a result of his injuries. She expects his condition will deteriorate and he will be left with a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effect of the Accident on Mr. Rizzolo's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Unhappily, Mr. Rizzolo continues to suffer chronic pain and, although he is described by his caregivers as "stoic", the effects of the Accident have had a devastating effect on his family life. He married Olga Evstafieva in 1996. She is from Russia and when they met, he enjoyed showing her the outdoors of B.C. and teaching her the winter sports that he enjoyed. Their son Darren was born in 1998. Mr. Rizzolo was devoted to exposing his son to athletic endeavours and assisting in coaching his son's hockey teams. Darren has proved to be a gifted hockey player -- he is a member of the Vancouver Selects. He is also a good skier and a talented actor. Since the Accident, Mr. Rizzolo is unable to participate effectively in the sports, such as skiing and skating, that he previously enjoyed with his son. He feels that his son has reacted badly to what he perceives as a rejection by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order to take his mind off the pain after the Accident, Mr. Rizzolo began playing computer games online, particularly Runescape 2, and he appears to have become addicted to computer games. He generally comes home from work and heads straight to his bedroom to play Runescape.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Initially it was necessary for Mr. Rizzolo to sleep alone because of the pain and the physical awkwardness of his cast. That habit became permanent and he and his wife have separate bedrooms in their new home. Ms. Evstafieva now works 60 hours over a seven day week in an attempt to compensate for her husband's reduced income and maintain the family's lifestyle. Both spouses are unhappy about this arrangement - Ms. Evstafieva is resentful and unhappy that she is not spending enough time with Darren and Mr. Rizzolo is unhappy and humiliated that he is no longer the primary breadwinner. Ms. Evstafieva also finds it virtually impossible to communicate with Mr. Rizzolo who resents any of her attempts to talk to him about their problems. While the marital stress between Mr. Rizzolo and his wife increased in 2007, when their new home was being constructed and they lived in the basement of their friends' house, the core cause of their marital discord is clearly the changes in Mr. Rizzolo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many months after the Accident, Mr. Rizzolo and his family assumed that he would recover totally from his injuries and return to his previous level at work and in his recreational activities. That did not happen. Increasingly, as his symptoms persist, he is unhappy at work, scared of his future, grumpy and difficult to be with, guilty about his withdrawal from the family, and miserable because of his continuing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there was no expert evidence on this issue, it is abundantly clear from listening to Mr. Rizzolo and his wife that this family desperately needs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trite law that the most basic principle of tort law is to return the plaintiff to the original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this case, the defendant submits that the plaintiff's original position included living in a 700 square foot home with little or no mortgage; today he lives in a 3,900 square foot home with a large mortgage, newer cars, and several computers. Putting aside the fact that Mr. Rizzolo and his wife are clearly living beyond their means, the fact that the plaintiff is living in better surroundings now than before the Accident has nothing to do with the Accident itself or the disability that flowed from it. They had always planned to live in a bigger home, either in a lot Mr. Rizzolo owned in the Hemlock Valley or on the original lot that housed their small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Rizzolo s altered position, arising from the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characterized by continuing pain, changed mood, loss of ability to work effectively and happily, and a much-reduced capacity to engage in recreational sports. He must take pain killers and anti-inflammatories although they upset his stomach, requiring him to take additional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present, Mr. Rizzolo experiences constant pain in his left ankle, which is exacerbated by his work activities. His left foot swells and he experiences occasional pain in his left knee. He limps when he is tired or in severe pain. He takes the following medication: Advil once or twice a week for pain management; Celebrex, an anti-inflammatory, daily; and amitriptylene, an antidepressant, twice a week to help him sleep. He receives periodic cortisone injections from Dr.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Rizzolo's injuries are permanent and they affect his entire life - his job, his recreational and family life, and his sense of well-being. I do not find that he exaggerated his symptoms and he is highly motivated to be as active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takes the position that Mr. Rizzolo has failed to mitigate his loss following his recovery from the second surgery by not losing weight as Dr. Dhawan recommended; by not taking physiotherapy and massage treatments; and by failing to deal with his family problems. Mr. Joudrey, counsel for the defendant, submits that as a consequence of failing to follow the recommendations of his doctors, the plaintiff's damages should be reduced. There is no dispute that Mr. Rizzolo has a duty to mitigate his loss and behave in such a manner that his loss is not greater than it should reasonably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Did the plaintiff unreasonably fail to take reasonable steps to limit the loss for which he claims compensation? The burden of proving a failure to mitigate is on the defendant. The defendant must prove not only that the plaintiff failed to follow the recommended medical treatment, but also that it would probably have been effective had he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weight issue, Mr. Rizzolo is 5"11" and weighed 185 pounds shortly before the Accident. He apparently gained approximately 20 pounds after the Accident when he was immobilized but lost that weight when he returned to work. Dr. Low said that Mr. Rizzolo weighed 180 pounds when he was last weighed before the trial. When Dr. Dhawan examined him on March 9, 2007, Mr. Rizzolo weighed 183 pounds. In his independent medical report prepared for plaintiff's counsel, Dr. Dhawan recommended that Mr. Rizzolo lose at least 10 to 15 pounds in weight by diet and non-impact, non-weight-bearing exercise. It is not clear that that advice was communicated directly to Mr. Rizzolo.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obesity would increase the strain on Mr. Rizzolo's joints and soft tissues, Mr. Rizzolo is clearly not obese. He testified that he weighed about 175 pounds about a month before the trial. He appeared genuinely surprised by counsel's suggestion that he had been told he should lose more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the plaintiff's failure to undertake physiotherapy and massage treatments, Mr. Kazimirski noted that he had made many requests of ICBC to provide funding for physiotherapy but those requests had gone unanswered and, at trial, unexplained. In any event, the medical evidence at trial was that physiotherapy or massage would have given Mr. Rizzolo short term pain relief. It would not have "cured"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Hopefully, Mr. Rizzolo's family situation will be improved by counselling. However, I would not characterize his failure to undertake family counselling as a failure to mitigate his damages. There was no evidence that any of his medical advisors have recommended counselling. In large part, his failure to initiate counselling, together with his inability to communicate with his wife, stem from the psychological effect that his accident related injuries have had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the plaintiff has not acted unreasonably and there is little or no evidence that the effects of Mr. Rizzolo's injuries would have been lessened if he had lost more weight, taken more physiotherapy or attended counselling. The defendant has not met the onus of proof to establish that Mr. Rizzolo failed reasonably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Award for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submits that the appropriate award is $125,000 and relies on the following cases: </w:t>
      </w:r>
      <w:r>
        <w:rPr>
          <w:rFonts w:ascii="arial" w:eastAsia="arial" w:hAnsi="arial" w:cs="arial"/>
          <w:b/>
          <w:i/>
          <w:color w:val="000000"/>
          <w:sz w:val="20"/>
          <w:lang w:val="en-US" w:eastAsia="en-US" w:bidi="ar-SA"/>
        </w:rPr>
        <w:t>Moses v. Kim</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2007 BCSC 1388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Funk v. Carter</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Moore v. Brown</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2009 BCSC 190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Dufault v. Kathed Holdings Ltd.</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2007 BCSC 186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Mosher v. Bitonti</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[1998] B.C.J. No. 252</w:t>
        </w:r>
      </w:hyperlink>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1998 Canlii 5186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submits that the above cases involve much more serious injuries than those suffered by the plaintiff. Counsel suggests they involve joints, articulating surfaces of joints, and symptoms related to other parts of the body to an extent that they are of little assistance to the court. The defendant suggests a maximum award of $45,000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trite but true to say that each individual case depends on its own facts. Here the relevant factors to be considered in an award include Mr. Rizzolo's age, his injuries, the severity and duration of his pain, his disability, his emotional suffering, the impairment of his relationships with his wife and son, his loss of an active lifestyle, and his impaired functioning. His stoicism, commented upon by his caregivers, is not a factor that would reduce 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all of the circumstances, I award him $125,000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Rizzolo commenced work with the Coquitlam School District (the "District") as a casual caretaker in August 1990. The following year, he attained permanent status and by 1992, his hours per day had increased to 8. In July 2000, he successfully applied for a job as a security runner for the District. He held that job at the time of the Accident. His rate of pay was $18.64 an hour plus a 3% shift differential. A security runner responds to calls on the alarm systems of the schools within the District, checks the grounds, and opens the schools for emergency personnel and contractors. The position involves a lot of walking on uneven terrain, attending 15 to 20 schools a day, and checking the perimeters of the buildings. Vandalism on the school properties is a constant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Between 1992 and 2002, Mr. Rizzolo also drove a taxi and worked for a private maintenance business as a contracted caretaker. In March 1999, he became a noon hour supervisor at the Mission School District. In March 2002, he started part-time work as a bus driver for Third Wave Bus Services. He was employed in both of the last two positions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Accident on March 14, 2005, Mr. Rizzolo had to give up his part time job as a bus driver. He continued work as a noon hour supervisor for a very short time in 2006. He was unable to return to the District as a security runner until March 23, 2006. The following month, he transferred to a job as a temporary groundsman with the District, hoping that the job would be easier on his leg. He was off work recovering from his second surgery from June 20, 2006 until July 12, 2006. In August, his position as groundsman became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concedes that Mr. Rizzolo suffered past wage loss in the amount of $42,912.80 in respect of his employment with the District. That represents the 57 weeks that he was unable to work as a groundsman.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agree with Mr. Kazimirski, co-counsel for the plaintiff, that if the Accident had not occurred, Mr. Rizzolo would have continued with his additional jobs as noon hour supervisor and bus driver. In the 12 months prior to the Accident, Mr. Rizzolo earned $13.50 an hour for a total of $4,260.29 at Third Wave Bus Services. Ms. Janz, a representative of Third Wave, testified that Mr. Rizzolo was a dependable worker who would have easily enjoyed on-call employment for at least 400 hours a year, driving either a school bus or a charter bus. However, the medical requirements of the job preclude a driver taking painkillers or medication. Indeed, Mr. Rizzolo's wife complains that his concentration is poor and that he has become a bad driver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 noon hour supervisor, Mr. Rizzolo had earned $17.70 per hour and worked about 5 hours a week. In the 12 months prior to the Accident, he earned $2,969.18.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Both Mr. Rizzolo and Ms. Evstafieva have a strong work ethic and are dedicated to providing the best for their family. Mr. Rizzolo, who planned to work at additional jobs, as well as past retirement age, sought and maintained employment at the District because of the job security and financial stability provided by his union, the Canadian Union of Public Employees ["CUPE"].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Sick leave trust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Mr. Rizzolo's initial leave after the Accident between March 15, 2005 and March 23, 2006, he used up all of his sick leave days that he had in the District's sick leave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Pursuant to the collective agreement between Mr. Rizzolo's union, CUPE Local 561, and the District, any money that Mr. Rizzolo is awarded for past income loss must be paid back into the District's sick leave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Subrogation: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employee is involved in an Accident and as a result is paid sick leave during absence from work, any sick leave pay compensation recovered from an insurer or court award shall be repaid by the employee to the Board.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shall thereupon reinstate the number of sick leave credit represented by the repayment of wages and employer's cost of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Rizzolo was paid $21,734.24 from the sick leave trust for his work absences between March 14, 2005 and his initial return to work in March 2006. He received an additional $6,650.05 between his return to work and the end of 2008, bringing the total amount of sick trust money paid to Mr. Rizzolo to $28,384.29.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 submits that any amount awarded to replace sick leave credits constitutes double compensation. I do not agree. As Madam Justice Ballance noted recently in </w:t>
      </w:r>
      <w:r>
        <w:rPr>
          <w:rFonts w:ascii="arial" w:eastAsia="arial" w:hAnsi="arial" w:cs="arial"/>
          <w:b/>
          <w:i/>
          <w:color w:val="000000"/>
          <w:sz w:val="20"/>
          <w:lang w:val="en-US" w:eastAsia="en-US" w:bidi="ar-SA"/>
        </w:rPr>
        <w:t>Bjarnson v. Parks</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at para. 56, this court has long recognized the loss of sick leave trust credits as a compensable loss. However, the issue of whether or not deductions should be made for contingencies in quantifying that loss depends upon the presence or absence of a number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the collective agreement provides that an employee whose age and ten years of seniority equals 60 or more is entitled to a maximum of 80 days of accrued sick leave upon severance or retirement. Moreover, it is likely that Mr. Rizzolo will have flare-ups of his symptoms as a result of his injuries and will require time off work, thus utilizing his sick leave trust days. He may also suffer from other illnesses, such as the flu, from time to time. He should be compensated for his loss of sick leave trust days so that it can be replenished for his future needs. However, a 10% deduction is appropriate as, even if the Accident had not occurred, he would likely have used some of his sick leave trust days during the period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Bjarnson</w:t>
      </w:r>
      <w:r>
        <w:rPr>
          <w:rFonts w:ascii="arial" w:eastAsia="arial" w:hAnsi="arial" w:cs="arial"/>
          <w:color w:val="000000"/>
          <w:sz w:val="20"/>
          <w:lang w:val="en-US" w:eastAsia="en-US" w:bidi="ar-SA"/>
        </w:rPr>
        <w:t xml:space="preserve">, Ballance J. also held, at para. 66, that sick leave trust entitlement is not in the character of past wage loss and should not attract a deduction for income tax pursuant to ss. 95 and 98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sick leave trust credits paid to Mr. Rizzolo total $28,385. Allowing a 10% deduction from that amount, Mr. Rizzolo should receive $25,547 to compensate him for those sick leave trust credits.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Calculation of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Robert Carson testified as an economist qualified to give expert evidence with respect to the cost of past and future wage loss valuation, as well as the cost of future care. He estimated that Mr. Rizzolo's annual projected earnings would have been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2005: $40,155.60 (prorated to March 14, 2005 - 80% of $50,194.50)</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2006: $55,168</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$52,672</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$53,937</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$12,151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contrast, Mr. Rizzolo's gross actual earnings during the same period, were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$25,490.55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2006: $37,494.55</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2007: $43,749.28</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$42,015.15</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$7142.08 (using the weekly earnings from January 2009, which are $649.28, for 11 weeks of work in 2009 to the trial date); no taxes are payable on this amount because it is below the basic personal claim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Therefore, Mr. Rizzolo claims the following past wage loss: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$14,665.05</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2006: $17,673.45</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$8,922.72</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$11,921.85</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$5,008.92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Rizzolo submits that his gross lost earnings from the Accident through the date of trial total $58,191.99. In cross-examination, Mr. Carson conceded that the total loss from all three jobs was actually $54,776, being $51,811 from March 14, 2005 to March 23, 2006 and $2,965 from June 20 to July 12, 2006 following the second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Taxation of past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Counsel agree that an award for past income loss is subject to ss. 95 and 98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s. 180 of the </w:t>
      </w:r>
      <w:r>
        <w:rPr>
          <w:rFonts w:ascii="arial" w:eastAsia="arial" w:hAnsi="arial" w:cs="arial"/>
          <w:b/>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which restrict recovery to net income loss. In </w:t>
      </w:r>
      <w:r>
        <w:rPr>
          <w:rFonts w:ascii="arial" w:eastAsia="arial" w:hAnsi="arial" w:cs="arial"/>
          <w:b/>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the Court of Appeal has clarified the method of calculating such a loss, stating that the court has discretion to determine net income loss in all of the circumstances. At para. 185, Tysoe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situation where, at the time of injury, the plaintiff was working at a job and returned to that job after sufficiently recovering from the injuries, it would be appropriate, absent any complications, for the judge to allocate the gross income loss to the calendar years between the date of the accident and the date of trial as if the plaintiff had continued working. This would accord with the principle that, insofar as is possible, the plaintiff should be put in the position he or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Instead of utilizing a complicated calculation of Mr. Rizzolo's net income loss, Mr. Carson suggested taking 20% of his gross income. The defendant agrees with that approach in the circumstances of this case. Hence Mr. Rizzolo's net past income loss is $43,821.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Award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the plaintiff's total wage loss, including wage loss from the District, his part time jobs as noon hour supervisor and bus driver, and repayment of sick leave trust credits, is $69,368.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is often quoted for the principles involved in measuring diminishment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Diminished earning capacity was recently considered by our Court of Appeal in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paras. 16-17. The plaintiff must prove a real and substantial possibility of a future event leading to an actual income loss. The possibilities of such losses are to be given weight according to their relative likelihood. There is a duty on the plaintiff to mitigate his damages by seeking work that he can pursue despite his injuries and he may have to pursue training or education to qualify for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this case, the defendant takes the position that the plaintiff has little, if any, diminished capacity to earn income. I do not share that conclusion. I find that Mr. Rizzolo's symptoms are genuine and that he is overfunctioning; I accept the medical opinions that his capacity to do his present work will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Since the Accident, Mr. Rizzolo has found the physical demands of his work to be extremely difficult. He encounters difficulty with walking, standing, working in rough terrain, and carrying heavy loads. His job involves jackhammering, building retaining walls and playground perimeters, snow shovelling and salting, and tree branch removal and pruning. His co-workers consider him to be slow and do not want to work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Dr. Dhawan's opinion, Mr. Rizzolo is capable of working in his current job. However, if his symptoms worsen, he will likely be unable to continue working in his current occupation until he reaches retirement age at 65. He will have to look for a more sedentary job within the District, which may require educational upgrades and retraining or he may have to look for employment elsewhere. Dr. Dhawan believes that Mr. Rizzolo will become less and less competitive and marketable as he gets older with his ankle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Penner also believes that Mr. Rizzolo has been performing at a level somewhat above what might be expected given his symptomology. He predicts that Mr. Rizzolo's symptoms will progress and further reduce his overall work capacity. Although Mr. Rizzolo is stoic, he may require alternative, less physically demanding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Rizzolo did not graduate from high school and, while intelligent, he is not academically inclined. He sought employment with the District almost 20 years ago in order to enjoy job stability and financial security. He has to wait until 2018 before his pension is fully vested. If he undergoes retraining for a less demanding job, his unpaid leave of absence may delay that date. There is no doubt that, if he had remained in his pre-Accident health, he would have continued with additional jobs before and after retirement, probably to age 70. If he pursues employment outside his union, he has much to lose in terms of his pension and other union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 of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goal of accommodation in the workplace requires the employer to accommodate the employee in such a way that, without causing the employer undue hardship, will ensure that the employee can work: </w:t>
      </w:r>
      <w:r>
        <w:rPr>
          <w:rFonts w:ascii="arial" w:eastAsia="arial" w:hAnsi="arial" w:cs="arial"/>
          <w:b/>
          <w:i/>
          <w:color w:val="000000"/>
          <w:sz w:val="20"/>
          <w:lang w:val="en-US" w:eastAsia="en-US" w:bidi="ar-SA"/>
        </w:rPr>
        <w:t>Hydro-Quebec v. Syndicat</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2008 SCC 43</w:t>
        </w:r>
      </w:hyperlink>
      <w:r>
        <w:rPr>
          <w:rFonts w:ascii="arial" w:eastAsia="arial" w:hAnsi="arial" w:cs="arial"/>
          <w:color w:val="000000"/>
          <w:sz w:val="20"/>
          <w:lang w:val="en-US" w:eastAsia="en-US" w:bidi="ar-SA"/>
        </w:rPr>
        <w:t xml:space="preserve"> at para. 14. The union's Collective Agreement provides for accommodating employees, ideally within their existing position or in other positions within the District. Darryl Krahn advises the employer regarding employee concerns, and Dave Ginter has been the president of the CUPE local for 25 years. Mr. Krahn and Mr. Ginter sit on the Duty to Accommodate panel and they agree that Mr. Rizzolo has a medical need for accommodation. Mr. Krahn also agreed that the plaintiff's ankle injury will probably prevent him from working at his current job in another 5 to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October 2007 and November 2008, Mr. Nevin, Mr. Rizzolo's supervisor met with him to discuss his high rate of absenteeism. Mr. Rizzolo is worried that his absences will be characterized as "culpable" and that he may be terminated as he cannot reassure his supervisor that he will improve his attendance record. The plaintiff also met with Mr. Ginter to discuss accommodation in January 2009. The accommodation committee met on March 11, 2009 to discuss the possibility of accommodation. No plan was formulated although it is apparent that the committee concluded that Mr. Rizzolo could not be accommodated in his present position of groundsman.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All of the jobs involving lighter duties as a groundsman, a driver, or a delivery man are "plum" jobs which are automatically filled according to seniority. The successful applicants for the prime jobs have 27 or 28 years experience with the District. Mr. Rizzolo is not sufficiently senior to qualify for those jobs, which are, as well, being reduced as a result of budgetary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Rizzolo applied for his present groundsman 1 position on numerous occasions before and after the Accident. After the Accident, he was unable to meet the walking requirements of his job as security runner. Unfortunately, he soon learned that the groundsman job was also physically demanding. Since the Accident, he has applied unsuccessfully for the positions of delivery driver, stores, groundsman 2, caretaker supervisor, and delivery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Collective Agreement provides for unpaid leave of one year but Mr. Ginter and Mr. Krahn thought that could be extended to two years. The District has no budget for retraining but, in the past, it has assisted with week-long courses or part-time courses over 8 or 10 weeks undertaken on the employee's own time. Mr. Krahn and Mr. Ginter thought that the possible options for Mr. Rizzolo include IT help desk operator and clerical positions. However, those jobs would require training and experience and there is no guarantee that a position would be vacant for Mr. Rizzolo. Moreover, most would be lower paying jobs with fewer hours per week than his present position. The help desk position would require a two year diploma in computer systems management and one year's experience. The clerical jobs require typing skills that Mr. Rizzolo does not have and they are nine and a half month positions. It is possible but not likely, that if Mr. Rizzolo retrains, he may get a higher paying job. Again, seniority trumps other considerations. I consider the prospects of a suitable accommodation for Mr. Rizzolo to be bleak.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of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Carson prepared an analysis of the plaintiff's loss of future income on the basis of the following scenario:</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Rizzolo continues in his present job until the end of 2010. Because he is unable to work as a bus driver and noon hour supervisor in addition to his work as groundsman, he loses $11,150 a year, resulting in a loss of $19,096 to the end of 2010.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takes unpaid leave for two years (but retains his Union status and seniority) while he retrains and searches for another job in the District, possibly in the clerical or computer-related job areas. Assuming that his income would have been $54,7000 annually, his loss during those two years would be $101,414;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returns to a position which is either part time (less than 40 hours a week) or 10 months (instead of 12 months). He works at a discounted salary of about $34,000 a year, incurring an annual income loss of about $21,000 a year. Assuming he works to age 70, his loss from his return to work after the unpaid leave is $273,420.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Mr. Carson's calculations take into account an actuarial "multiplier", the discount rate approved under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The only contingency accounted for is the possibility of premature death. Mr. Carson considered the net effect of risks on the earnings of a 45 to 65 year old man in B.C. with high school education to be somewhat less than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on that scenario, the plaintiff claims a "future wage loss" of $366,188.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submits that the plaintiff's loss of future capacity entitles him to an award between of $25,000 and $50,000. The plaintiff seeks an award of $366,188.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common ground that assessment of loss of future earning capacity for residual impairment is not a mathematical calculation of "future loss of income". In this case, it is clear that Mr. Rizzolo is capable of some employment; however, he will probably suffer a diminished earning capacity in the future as result of his injuries incurred in the Accident. He is obviously less competitive in the job market and restricted in the type of physical work he can perform. An award for loss of earning capacity takes into account the fact that the plaintiff's capacity to earn income is an asset that has been impaired by his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Real and substantial possibilities and probabilities, chances, opportunities and risks must all be considered: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Overall fairness and reasonableness of an award under this head is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Rizzolo he may continue with his present employment or find alternative employment with a similar income. However, he will never be able to work at extra part time jobs to supplement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Rizzolo may be prevented from working by reason of illness or other accidents; and he may decide to stop working for reasons unrelated to his injuries. He may retire before he is 70. It is more likely than not that he will maintain his current employment for as long as he can do so, postponing an unpaid leave of absence past the end of 2010. However, the medical evidence clearly establishes that his capacity will likely continue to diminish and his current reserves for pain tolerance and capacity will lesson. He fears that he may be fired because of his absenteeism caused by his chronic ankle pain. It is reasonable for him to retrain and attempt to continue working with the District in a union position. However, the number of job positions in the District may be reduced as a result of budgetary considerations. On the other hand, as his seniority increases, he may become eligible for lighter duties at the same or higher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all of the circumstances, I conclude that the appropriate award for loss of earning capacity in this case is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of Russell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McNeil is an experienced occupational therapist at Harbourview Rehabilitation who has conducted capacity evaluations for several years and has been qualified as an expert by this court. Mr. Kazimirski sought to introduce into evidence a functional capacity evaluation prepared by Mr. McNeil and a job site evaluation prepared by his colleague, Basil Dimou. Counsel for the defendant challenged the admissibility of those reports, primarily on the basis that Mr. McNeil had employed a unique motion capture system known as the Functional Assessment of Biomechanics System [FAB] to measure biomechanical forces. Mr. Joudrey characterized that system as "junk science". Mr. McNeil testified that he attached 13 sensors to the plaintiff from head to toe to capture his motion while he performed the standard tests employed by occupational therapists. Those sensors were connected to a computer which has the software to interpret the data received. Attached to his report was a brochure of "Biosyn Systems" which describes FAB: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orientation sensors employed in the FAB system are capable of accurately measuring body position over a broad spectrum up human movements, and in a wide range of environments. They can capture both static body positions, as well as rapid motions without risk of data loss due to market occlusion as is typical with camera-based motion capture systems. They operate in environments from the research laboratory to a distant mountain top. At the heart of each sensor are orthogonal triads of accelerometers, magnetometers and gyroscopes. Together with advanced multisensory fusion algorithms, the FAB system combines the data from 99 individual sensing elements into a life-like animation of the individual being tracked.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McNeil was examined and cross-examined extensively on the FAB system and he was stood down until I delivered reasons for judgment on the admissibility of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Initially, I was impressed by Mr. McNeil's apparent sincerity and competence and his enthusiasm for motion capture as an objective addition to what is otherwise a subjective evaluation of an individual's functional capacity. In answer to the defendant's concerns that FAB constitutes "junk science", Mr. McNeil testified that motion capture is widely used in biochemical research at universities and hospitals, in industry, and in commercial settings. No evidence was called or literature presented to support the defendant's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Joudrey did refer Mr. McNeil to an error in his report arising from the failure of the software to properly translate the data into the report. Two charts in the report show the same difference between weight bearing on both feet (61% on the right foot and 39% on the left) while the plaintiff was standing on both feet and while he was walking. Obviously, when he was stepping on one foot, he was 100% weight bearing on that foot. Mr. McNeil agreed that was an error and said that the software had averaged the weights. He said he drew that error to the attention of the software programmer who wrote the code and it has since been corrected. However, he did not rectify the error in his report or in his direct testimony. I considered that issue to go to the weight of his report and ruled that both reports were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Mr. McNeil was recalled, Mr. Joudrey asked him why he had not, in direct evidence, volunteered the fact that there was an error regarding weight bearing in his report. Mr. McNeil replied: "Because nobody had asked me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McNeill was also asked what had led him to purchase a motion capture system from Biosyn Systems Inc. ("Biosyn"). He answered that in about 2005, he had typed "motion capture" in Google and that had brought up a list of motion capture companies, including Biosyn. He said he had not talked to anyone or seen any peer reviewed literature before Harbourview expended $18,000 on a Biosyn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McNeil was compelled to reveal at the end of his cross-examination, that he has a proprietary interest in, and is the President and sole director of Biosyn Systems. Biosyn's website provides Mr. McNeil's e-mail address and advertises its applications in the areas of rehabilitation, industrial, and sports medicine. It makes the following promise: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performing repeat tests over the course of a rehabilitation program or performing a single capacity evaluation, FAB will make your testing more accurate and reliable, will score all of your tests, and produce a report for you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copy of the April 2009 newsletter of Klein-Lyons, a personal injury law firm, was put to Mr. McNeil. The newsletter contains an article: "Harbourview Rehabilitation - a Klein Lyons professional resource." It says, inter alia, "MacNeil and Dimou use a new technology that MacNeil himself invented, FAB (functional assessment of biomechanics), in their assessments". Mr. McNeil agreed that he had started the project and was one of the inventors. He then gave the following evidence: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earlier you ... kind of gave the impression that you went looking, you Googled and you found Biosyn and purchased a FAB from them rather than having invented it, say?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as a representative of Harbourview, that's exactly what I did. I didn't look at one system, I am listed as an inventor, I looked at several systems and their accuracy.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I'm troubling to understand, sir. Earlier I got the impression that you were interested in motion capture?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typed in Google?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Motion capture?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discovered Biosyn?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went to them?</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purchased one of their units without speaking to anybody and without seeing any peer review literature?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representative of Harbourview, that's what we did.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But how did you purchase it from them if it wasn't invented yet, if you're one of the inventors?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purchased after it was invented. I didn't start using it until 2006. The project - this particular project, functional assessment of biomechanics, it started in 2004. So I'm not sure - I'm not quite sure what you are saying.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perhaps I misunderstood the gist of your answer earlier when I was trying to find out from you how you first learned about Biosyn.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 learned about Biosyn because Biosyn owns the invention. I am listed as one of the inventors of this invention. It's not the only motion capture system out there, and as part of Harbourview we looked at several motion capture systems. Just because I'm listed as an inventor doesn't mean I'm necessarily going to use that as the sole or look at that as an only means of motion capture.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Mohan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the Court reiterated that expert witnesses have duties and responsibilities. In particular, an expert witness is expected to provide an independent, unbiased opinion that is adequately researched and falls within his or her ambit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consider Mr. McNeil's failure to disclose the fact that he is the principal of Biosyn and that he was an inventor of FAB to represent a shocking lack of candour. As he has testified in the courts on numerous occasions, he is well aware that the duty of an expert is to assist the court with an independent and objective opinion on a particular issue. To withhold such relevant information misleads the court and, as I have no choice but to reject all of his written and verbal evidence, constitutes a substantial waste of time. It is impossible to parse out Mr. McNeil's evidence as a qualified expert from that as an undisclosed salesman for Biosyn.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fault counsel for the plaintiff as I accept Mr. Kazimirski's statement that he was unaware of Mr. McNeil's association with Biosyn before Mr. Joudrey's cross-examination. While the plaintiff will be entitled to his costs in the result, he may not claim any costs relating to Mr. McNeil's reports or attendance in court. Counsel may address the issue of whether the defence is entitled to costs for two days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admissible evidence regarding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Giovanna Boniface is an occupational therapist who assessed Mr. Rizzolo in October 2007 and February 2008 for the purpose of conducting a future cost of care assessment. Her practice is to prepare a "life care plan", the purpose of which she defines as to maximize the plaintiff's function, provide him with maximum independence, and place him back where he would have been but for the Accident. The total costs of her recommendations, calculated over Mr. Rizzolo's expected lifetime by Robert Carson, an economist, would be in the order of $650,000. To some degree, the recommendations overlap with the loss of enjoyment of life that fall within the category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Kazimirski submits that the plaintiff is entitled to full compensation for future care costs. However, the cases that he relies upon, such as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deal with the issue of adequate care for terribly injured plaintiffs. While future care claims are no longer confined to cases of catastrophic injuries, it is important to recognize the context of judicial statements made in "the Trilogy" (</w:t>
      </w:r>
      <w:r>
        <w:rPr>
          <w:rFonts w:ascii="arial" w:eastAsia="arial" w:hAnsi="arial" w:cs="arial"/>
          <w:b/>
          <w:i/>
          <w:color w:val="000000"/>
          <w:sz w:val="20"/>
          <w:lang w:val="en-US" w:eastAsia="en-US" w:bidi="ar-SA"/>
        </w:rPr>
        <w:t>Andrews, Thornton v. Prince George Board of Education</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Teno v. Arnold</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and like cases. The test is whether there is a medical justification for claims for future care costs and whether those claims are reasonable. Amenities that simply improve the plaintiff's happiness and wellbeing are not compensable under this head of damages. These principles were articulated by McLachlin J. in </w:t>
      </w:r>
      <w:r>
        <w:rPr>
          <w:rFonts w:ascii="arial" w:eastAsia="arial" w:hAnsi="arial" w:cs="arial"/>
          <w:b/>
          <w:i/>
          <w:color w:val="000000"/>
          <w:sz w:val="20"/>
          <w:lang w:val="en-US" w:eastAsia="en-US" w:bidi="ar-SA"/>
        </w:rPr>
        <w:t>Milina v. Bartsh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Certain claims easily meet this test. For example, Dr. Dhawan recommended that Mr. Rizzolo wear shock-absorbing shoes like running shoes as much as possible. He should wear rubber-soled, soft-soled work boots with custom orthotics to be changed every two years. Medical arch supports will supply neutral alignment of the ankle which will reduce the strain on the medical aspect of the ankle joint. Dr. Dhawan also believes that Mr. Rizzolo requires low dose antidepressants to modulate pain and improve sleep, anti-inflammatories, and periodic cortisone injections to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Penner noted that Mr. Rizzolo was capable of carrying out all aspects of self care activities of daily living. He believed that Mr. Rizzolo was likely to continue to require custom orthotics and appropriate work boots and shoe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Prior to the Accident, Mr. Rizzolo was responsible for all of his family's outdoor maintenance tasks including yard and lawn work, exterior maintenance, and repair, as well as vehicle upkeep. He has resumed some but not all of these activities. He should receive assistance with the most difficult tasks so as to prevent an aggravation of his symptoms. It is not unreasonable to expect his son to increasingly participate in this work as he gets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Kazimirski readily conceded that numerous items are either unnecessary, such as a cane, bath seat, and assistance with household moving; or are overpriced, such home management assistance at $70 an hour. I find other items to be inappropriate claims. For example, I do not think that Mr. Rizzolo would take advantage of a gym/pool membership. Additionally, his employment as a groundsman requires him to have appropriate sturdy footwear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Award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asserts that there should be no award for any future care costs. The plaintiff seeks an award of $200,000 after taking into account both negative and positive contingencies (i.e., that Mr. Rizzolo will need less or more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Carson applied present value multipliers to the cost of future care items and services throughout Mr. Rizzolo s anticipated life expectancy. I agree that the following future care costs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ongoing medication including Celebrex,</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Amitriptyline, Advil, Tylenol 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periodic cortisone injections: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92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496"/>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psychology intervention:</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$ 2,350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882"/>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 follow-up</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vocational support: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$ 3,500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 home management assistance: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heat and ice packs: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4078"/>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orthotics: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$ 2,700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66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$106,574</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do not consider it appropriate to adjust this figure for either negative or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seeks an award of $11,611.27. The defendant submits that the plaintiff is not entitled to any special damages for medication, physiotherapy, equipment and transportation exceeding $3,982.80. The defendant would arbitrarily cut off all special damages as of January 1, 2007 when the construction of his new home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is entitled to repayment of $8,221.49 for his out of pocket costs. These include drug expenses: $1,403.26; therapy and user fees: $65.00; transportation costs: $5,241.04; rehabilitation equipment: $1,229.19; x-rays: $218.00; and CPP medical form filled out by Dr Low: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addition, Mr. Rizzolo is entitled to the sum of $2,939.78, which was paid by Blue Cross and is to be repaid under a subrogation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673"/>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$ 69,368.</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77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$106,574.</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$ 11,161.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13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$562,103.</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Rizzolo is entitled to pre-judgment interest on his 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Counsel agreed that the issues of deductions for advances, deductible amounts pursuant to s. 25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and costs should be deferred. Accordingly, they may set down a hearing at a date convenient to themselves and the court to deal with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Saether v. Irvine, [2012] I.L.R. para. G-2423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Williams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November 4,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S73094</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[2012] I.L.R. para. G-2423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[2011] B.C.J. No. 2097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2011 BCSC 1497</w:t>
        </w:r>
      </w:hyperlink>
    </w:p>
    <w:p>
      <w:pPr>
        <w:spacing w:before="120" w:line="260" w:lineRule="atLeast"/>
        <w:rPr>
          <w:lang w:val="en-US" w:eastAsia="en-US" w:bidi="ar-SA"/>
        </w:rPr>
      </w:pPr>
      <w:r>
        <w:rPr>
          <w:rFonts w:ascii="arial" w:eastAsia="arial" w:hAnsi="arial" w:cs="arial"/>
          <w:color w:val="000000"/>
          <w:sz w:val="20"/>
          <w:lang w:val="en-US" w:eastAsia="en-US" w:bidi="ar-SA"/>
        </w:rPr>
        <w:t>Steven Richard Saether Plaintiff v. Robert Scott Irvine and Gordon Bechler Defendants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2"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96" w:name="Keywords_42"/>
      <w:bookmarkEnd w:id="396"/>
      <w:r>
        <w:rPr>
          <w:rFonts w:ascii="arial" w:eastAsia="arial" w:hAnsi="arial" w:cs="arial"/>
          <w:b/>
          <w:color w:val="000000"/>
          <w:sz w:val="20"/>
          <w:lang w:val="en-US" w:eastAsia="en-US" w:bidi="ar-SA"/>
        </w:rPr>
        <w:t>Battery — Plaintiff's friend and defendant Irvine's tenant were fighting on Irvine's front lawn — Plaintiff injured when Irvine struck him in head with a golf club — Sole issue was liability — Irvine admitted striking the blow but argued circumstances limited his responsibility at law — Court concluded that Irvine's belief plaintiff needed to be subdued with force was in error — Evidence did not support contention that plaintiff was involved in attack, nor was it reasonable to believe plaintiff was about to enter fight — In the alternative, decision to strike two-handed blow with golf club to side of head was markedly excessive and disproportionate — Blow caused severe traumatic brain injury — Plaintiff awarded $300,000 in non-pecuniary damages and over $3 million in total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97" w:name="Case Summary_40"/>
            <w:bookmarkEnd w:id="397"/>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when the defendant Irvine struck him in the head with a golf club during an altercation that occurred on Irvine's front lawn. The plaintiff's friend and Irvine's tenant were fighting; both the plaintiff and Irvine intervened, but their versions of the intervention differed. Irvine perceived the plaintiff's approach as threatening. Irvine's liability was the sole issue. He conceded he struck the blow that caused the injuries, but submitted the circumstances were such that his responsibility at law should be substantially limited. He pleaded that he was protecting his tenant and that he feared for his own safety. </w:t>
            </w:r>
            <w:r>
              <w:rPr>
                <w:lang w:val="en-US" w:eastAsia="en-US" w:bidi="ar-SA"/>
              </w:rPr>
              <w:cr/>
            </w:r>
          </w:p>
          <w:p>
            <w:pPr>
              <w:spacing w:before="120" w:line="260" w:lineRule="atLeast"/>
              <w:ind w:left="240"/>
              <w:jc w:val="both"/>
              <w:rPr>
                <w:lang w:val="en-US" w:eastAsia="en-US" w:bidi="ar-SA"/>
              </w:rPr>
            </w:pPr>
            <w:bookmarkStart w:id="398" w:name="Holdings of Court_35"/>
            <w:bookmarkEnd w:id="398"/>
            <w:r>
              <w:rPr>
                <w:rFonts w:ascii="arial" w:eastAsia="arial" w:hAnsi="arial" w:cs="arial"/>
                <w:color w:val="000000"/>
                <w:sz w:val="20"/>
                <w:lang w:val="en-US" w:eastAsia="en-US" w:bidi="ar-SA"/>
              </w:rPr>
              <w:t>HELD: The action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chose to approach the matter within the framework of the plaintiff's allegation of battery. As the plaintiff had established battery and injuries, the focus was on Irvine to establish that he acted justifiably with reasonable force. The Court concluded that to the extent that Irvine believed the plaintiff needed to be subdued with force, his assessment was in error. The evidence did not support the contention that the plaintiff was involved in the attack on the tenant, nor was it reasonable to believe the plaintiff was about to enter the fight. The Court found that even if there had been a proper basis for Irvine's use of force, his decision to strike a two-handed blow with a golf club to the side of a man's head was markedly excessive and disproportionate. The Court also held that neither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principle nor the maxim of </w:t>
            </w:r>
            <w:r>
              <w:rPr>
                <w:rFonts w:ascii="arial" w:eastAsia="arial" w:hAnsi="arial" w:cs="arial"/>
                <w:i/>
                <w:color w:val="000000"/>
                <w:sz w:val="20"/>
                <w:lang w:val="en-US" w:eastAsia="en-US" w:bidi="ar-SA"/>
              </w:rPr>
              <w:t>ex turpi causa non oritu actio</w:t>
            </w:r>
            <w:r>
              <w:rPr>
                <w:rFonts w:ascii="arial" w:eastAsia="arial" w:hAnsi="arial" w:cs="arial"/>
                <w:color w:val="000000"/>
                <w:sz w:val="20"/>
                <w:lang w:val="en-US" w:eastAsia="en-US" w:bidi="ar-SA"/>
              </w:rPr>
              <w:t xml:space="preserve"> assisted Irvine's defence. Finally, stating that the striking of the blow was an intentional act, the Court did not find it necessary to discuss the plaintiff's alternative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assessing damages, the Court accepted that the blow caused a severe traumatic brain injury, and although the plaintiff had learned to walk again, he had difficulty and still relied on a wheelchair. The Court awarded $300,000 in non-pecuniary damages for the devastating change to the plaintiff's life. In all, the plaintiff was awarded over $3 million in damages. </w:t>
            </w:r>
            <w:r>
              <w:rPr>
                <w:lang w:val="en-US" w:eastAsia="en-US" w:bidi="ar-SA"/>
              </w:rPr>
              <w:cr/>
            </w:r>
          </w:p>
          <w:p>
            <w:pPr>
              <w:rPr>
                <w:lang w:val="en-US" w:eastAsia="en-US" w:bidi="ar-SA"/>
              </w:rPr>
            </w:pPr>
          </w:p>
        </w:tc>
      </w:tr>
    </w:tbl>
    <w:p>
      <w:pPr>
        <w:jc w:val="both"/>
        <w:rPr>
          <w:lang w:val="en-US" w:eastAsia="en-US" w:bidi="ar-SA"/>
        </w:rPr>
      </w:pPr>
      <w:bookmarkStart w:id="399" w:name="Counsel_44"/>
      <w:bookmarkEnd w:id="39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3"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T.E. Sprague for the plaintiff; the defendant on his own behalf.</w:t>
      </w:r>
      <w:r>
        <w:rPr>
          <w:lang w:val="en-US" w:eastAsia="en-US" w:bidi="ar-SA"/>
        </w:rPr>
        <w:cr/>
      </w:r>
    </w:p>
    <w:p>
      <w:pPr>
        <w:spacing w:after="240"/>
        <w:rPr>
          <w:lang w:val="en-US" w:eastAsia="en-US" w:bidi="ar-SA"/>
        </w:rPr>
      </w:pPr>
      <w:bookmarkStart w:id="400" w:name="Judgment_44"/>
      <w:bookmarkEnd w:id="400"/>
      <w:r>
        <w:pict>
          <v:line id="_x0000_s1244" style="position:absolute;z-index:2518067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01" w:name="J.W. WILLIAMS J._0"/>
            <w:bookmarkEnd w:id="401"/>
            <w:r>
              <w:rPr>
                <w:rFonts w:ascii="arial" w:eastAsia="arial" w:hAnsi="arial" w:cs="arial"/>
                <w:b/>
                <w:color w:val="000000"/>
                <w:sz w:val="30"/>
                <w:lang w:val="en-US" w:eastAsia="en-US" w:bidi="ar-SA"/>
              </w:rPr>
              <w:t>J.W. WILLIAMS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July 29, 2001, an altercation occurred in front of a home in Maple Ridge. The plaintiff, Steven Richard Saether, was very significantly injured in the event. By this action, he seeks to recover from the defendant Robert Scott Irvine, damages for those injuries and the consequences which have resulted.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outset, it will be useful to note that the principal issue at trial was the determination of the legal responsibility of the parties. Accordingly, these reasons will commence with a careful examination of the evidence of the events of July 29, 2001 in order to make findings of fact which will be necessary to determine the issue of liability. That was the principal, indeed sole, area of controversy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Irvine was the only defendant at trial. He represented himself and focused his efforts on the issue of liability: while he concedes that he struck the blow which caused the plaintiff's injuries, he says that the circumstances were such as to very substantially limit his responsibility at law. He did not mount any challenge to the evidence tendered by the plaintiff with respect to the extent of the injuries and the resulting disabilities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evidence was extensive, and included the testimony of the plaintiff's family doctor and the reports of a number of medical experts. In addition, non-medical expert reports were tendered, including a chartered accountant, a vocational rehabilitation specialist, an occupational therapist, an architect and an economic consultant.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I have dealt with the issue of liability, the other elements of the plaintiff's case will be examined and the appropriate findings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relevant time, in the summer of 2001, the plaintiff, then aged 26 years old, was sharing a residence with some other young men in Maple Ridge. On the evening of July 28th, the plaintiff and one of his roommates, Dean Klassen, went out to a nearby pub. Later in the evening, they went to another pub to join some other friends. They stayed there for a while, socializing. Sometime around 2:00 a.m. they left. They were travelling in the plaintiff's automobile; the plaintiff was driving. They drove one of their friends home, and then were making their way back to their residence. Mr. Klassen was in the passenger seat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travelling westbound on 117th Avenue. As he passed through an intersection at 209th Street, he and Mr. Klassen say they felt something that appeared to strike their vehicle; he and Mr. Klassen described the sound as being like something had been thrown and had struck them. They didn't know what it was so they turned around so they were then heading eastbound. They stopped for the stop sign at the intersection at 209th Street and then continued on. As they passed through that intersection, the plaintiff says that he observed two men on the lawn of the residence near the corner. He says one of them had a golf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travelling eastbound for a short distance, the plaintiff turned around again and started back westbound. Again, he stopped at the stop sign at the 209th Street intersection, in front of the house where he had seen the two men. In the short time following that, the events occurred which have resulted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house located on the northeast corner of that intersection was owned by the defendant Mr. Irvine. He lived there, together with his father and Mr. Bechler, the other named defendant, who was at the time a tenant living in the basement. Mr. Irvine and Mr. Bechler were coworkers.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the plaintiff's vehicle stopped at the stop sign at 209th Street, Mr. Bechler was out in front of the house. Evidently he had been at a wedding reception in the neighbourhood and was making his way home to the Irvine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Bechler was and is a large, physically fit, rough and tumble man. He has from time to time been known to engage in street fights and bar fights; he is not by any means at all one to shy away from a scrap, and I am confident in concluding that he did not at all mind engaging in such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Klassen, seated in the passenger seat of the plaintiff's vehicle, was of a similar kind of character. He too had been drinking. He was a good sized man, physically able and not one who would be reluctant about joining in a fight if a fight were to present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no way of knowing what exactly happened between these two men to cause events to develop as they did. However, I am satisfied that Mr. Bechler was out in the front of the yard, not far from the road (there is no sidewalk at that location) and that he and Mr. Klassen exchanged unpleasant words. In no time at all, the verbal confrontation became physical. Mr. Klassen got out of the passenger's door of the vehicle and moved toward Mr. Bechler; Mr. Bechler was quite prepared to engage and in an instant, the fight was on. There may have been punches thrown, but quite quickly it became a situation where the two men were wrestling and grappling. They fell to the ground and were rolling around fighting with one another.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Two other individuals were about to become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One of those was Mr. Irvine. He was in his home and became aware that there was something going on outside, in the front yard, involving his friend and tenant, Mr. Bechler.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nothing in the evidence to suggest that Mr. Irvine had been drinking at the time. In fact, he had his son visiting with him overnight and there is no reason to disbelieve his claim that he had fallen asleep with the child sometime before the events at issue and was awakened at some point by the occurrence outside his place or the arrival of Mr. Bechler.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also accept that Mr. Irvine was, at the time of these events, in a physically compromised situation. He had a hernia and was scheduled for surgery a short time later. He testified that he was not able to move around quickly and was in no condition to engage in a fight.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Shortly before the critical event, Mr. Irvine made his way out of his house, down the front steps and into the front yard where the two men were engaged in their altercation. When he got to where the men were, he had a golf club in his hand. Precisely how that happened is an issue of some dispute, and I will discuss it further in these reasons. For now, suffice to say that he was there in the immediate vicinity of the two men on the ground, and he was carrying the golf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about the same time, the plaintiff arrived on the scene. When he saw his friend Mr. Klassen bolt from the vehicle and engage with Mr. Bechler, he was understandably concerned and got out of his vehicle, making his way around the rear and then approaching the two men where they were grappling.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Exactly what happened after this is a matter of some considerable contention. Speaking generally, Mr. Irvine says that the plaintiff was either involved in the fight, and thus there were two men attacking Mr. Bechler, or, alternatively, it was a situation where the plaintiff approached the two grappling men in a way that caused him (Mr. Irvine) to believe that the plaintiff was going to become involved in the fight. His testimony included both scenarios. At any rate, Mr. Irvine swung the golf club. He had a two-handed grip on the club and swung it at the plaintiff. The club head struck the right side of the plaintiff's head and crushed his skull. The effect was instantaneous. The plaintiff was bleeding and went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All of the others appeared to recognize that something very serious had taken place. The two men on the ground stopped fighting. Mr. Klassen got up and immediately took the plaintiff to the vehicle and then left, proceeding directly to hospital. Mr. Bechler and Mr. Irvine went inside the house. Mr. Bechler went downstairs where he effectively passed out. Mr. Irvine tended to his son, who he says had been awakened by the events and was at the front door of the house toward the latter part of the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examined in detail, there is a quite substantial difference between the events as they are described by the plaintiff and Mr. Klassen, as compared to the description provided by the defendant Mr. Irvine and Mr. Bechler.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essence of the version provided by the plaintiff and Mr. Klassen is that the vehicle stopped, Mr. Klassen got out to engage with Mr. Bechler, the two went to the ground and wrestled; the plaintiff approached but did not involve himself in the fight in any physical way and it was at that point that the blow was struck by Mr. Irvine.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description of events provided by both Mr. Irvine and Mr. Bechler is materially different. Both of them say that there was an initial altercation between Mr. Bechler and Mr. Klassen.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Bechler says that in that first fight, he was confronted by two men from the vehicle, there was some wrestling and grappling, involving both the passenger and the driver, but he was able to extricate himself and run to the front door of the Irvine residence where he called for help. He testified that he then took the golf club which was located near the front door and carried it outside with him where he brandished it so as to deter both the plaintiff and Mr. Klassen who were out there, apparently intent upon engaging him. His testimony is to the effect that after he had waved or brandished the golf club so as to threaten the two assailants, one of them (presumably the plaintiff) backed off. Apparently believing the situation was manageable, Mr. Bechler claims that he put the golf club down in the yard and then re-engaged with Mr. Klassen. The fight resulted in the two of them going back to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Significantly, in his description of the events, while Mr. Bechler claims that the plaintiff was involved in the first fight, he testified that only he and Mr. Klassen were involved in the second fight, and that the plaintiff had no part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Irvine describes hearing noises outside and recognizing that his friend Mr. Bechler was involved in an incident. He (Mr. Irvine) says that he then went to the front door and down the steps to assist his friend. He testified that he did not take the golf club with him but rather found it in the yard (where presumably it had been left by Mr. Bechler) and that he armed himself with it because of his very compromised physical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essence of Mr. Irvine's evidence is that he was convinced that the actions of the plaintiff constituted an attack upon Mr. Bechler: he says Mr. Bechler was being or at immediate risk of being seriously assaulted by the two men from the truck. It was in light of that factor, plus his concern for his own safety and that of his son (sleeping inside the house) and his property that he says he applied the force he did to the plaintiff, that is, struck him with the golf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examined in careful detail the evidence of each of the four witnesses who have described the events that occurred in front of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Dealing first with an event at a point somewhat earlier in time, the plaintiff testified that, when he went by the Irvine residence earlier, after having stopped and turned around to investigate the cause of the noise he had heard, he saw two men on the lawn in front of the Irvine residence and that one of them had a golf club. He says the light was not good and he was not able to make out the specific features of the persons. Both Mr. Irvine and Mr. Bechler deny that that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that point, Mr. Klassen says that he didn't see anyone as they went by the house after first having turned around to go east, but when they arrived there the second time, Mr. Bechler was in the yard, on the grass between the house and the street. He also testified that he saw the outline of another person inside the house and that it was Mr. Irvine. He described the door of the house being open and the lights being on. He said that Mr. Irvine had a golf club in his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Based upon a careful examination of the evidence, I am simply unable to reach a conclusion as to what occurred prior to the altercation. Accordingly, I decline to make a positive finding that the two men (Mr. Irvine and Mr. Bechler) were out front with the golf club when the plaintiff's vehicle went by. That is not to say it did not happen that way - however, the state of the evidence does not support such a finding being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That said, I do not find that specific issue to be especially critical to an examination of what subsequently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significant point of divergence between the two accounts is with respect to whether there was one incident (as described by the plaintiff and Mr. Klassen) or whether there were the two separate stages of the altercation, as described principally by Mr. Bechler and supported by Mr. Irvine. In my view, that latter description of events is illogical and is not borne out by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of all, it seems to defy logic that Mr. Bechler would fight off the two men, then run inside, alert Mr. Irvine, grab the golf club, run out, wave the golf club around, then put it down and go re-engage with the assailants or one of the assailants. That simply makes no sense.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evidence of Mr. Irvine is in fact the most telling with respect to this dispute. He testified that once he had gone down the stairs and had picked up the golf club and was making his way toward the men who were grappling, he saw the plaintiff come around the back of the automobile. To my mind, that is quite compelling evidence that that was the point in time when the plaintiff arrived at the scene of the fight. It is inconsistent with the plaintiff having been already involved in an earlier altercation with Mr. Bechler.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My conclusion as to that matter is based on the view that it seems illogical to believe that the plaintiff was initially out of his vehicle and engaged in the altercation with Mr. Bechler and Mr. Klassen, that he returned to his vehicle and that he then got out and came to the scene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Furthermore, when pressed, Mr. Irvine does not maintain his position that the plaintiff was involved in the fight, but rather appears to claim that the plaintiff was approaching the fight in a way that he (Mr. Irvine) perceived to be threatening, in a way that caused Mr. Irvine to believe that the plaintiff was about to become involved in the fight.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of Mr. Irvine on the issue of the plaintiff's actual involvement is somewhat inconsistent. At points in his testimony, he says that he saw the plaintiff kick at Mr. Bechler while Mr. Klassen was on top of Mr. Bechler. He then clarified his testimony and described it as an "attempt to kick".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his examination for discovery, he appeared to indicate at one point that he did not have a clear recollection of the plaintiff's physical involvement, but said "I know he was in [the fight] or I wouldn't have hit him". At trial, he appeared to accept that that was a truthful answer, but then said that he has a clear recollection of the plaintiff fighting.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apparent that these events occurred in a very brief period of time. Mr. Klassen estimated that it was at most a minute from beginning to end; the plaintiff said that he believed that it was about 20 seconds from the time he got out of his vehicle until he was struck and everything went dark and he was on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Taking all of the evidence into account, I find that, up to the point where the golf club was swung at him, the plaintiff had not been involved in the altercation between Mr. Klassen and Mr. Bechler; he had got out of the driver's door of his vehicle and was approaching (for the first time) the site where the two men were fighting when he was struck by Mr. Irvine. More specifically, I find that he did not make any physical attack on the two men (and particularly Mr. Bechler) nor was he doing anything that would reasonably indicate that he was about to join in the fight.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Some mention is warranted concerning the state of sobriety of the parties involved in this event. It is reasonable to conclude that the plaintiff, Mr. Klassen and Mr. Bechler were all in states of some intoxication. The plaintiff and Mr. Klassen had been out for a number of hours and had been at two different drinking establishments. I assume they were under the influence of alcohol to some degree at least. Mr. Bechler had been at a wedding reception and had been drinking as well. Thus all three of these men were likely intoxicated at the time of the events. As for Mr. Irvine, as mentioned earlier, there is no evidence to suggest that he was other than sober.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assessing the evidence and deciding this case, I have borne those considerations in mind. However, to my mind, they do not materially impact the findings and the analysis that is required to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Legal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Mr. Irvine's conduct constitutes the tort of assault and battery. Alternatively, he alleges that Mr. Irvine was negligent in swinging or throwing the golf club at or near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his statement of defence, Mr. Irvine says that the plaintiff was a trespasser on his property. He says that he acted in good faith to defend and protect his friend Mr. Bechler, his property and his young son, and that the force he used was reasonable in the circumstances. He also says that the plaintiff's conduct was reprehensible and illegal and he pleads and relies upon the doctrine of </w:t>
      </w:r>
      <w:r>
        <w:rPr>
          <w:rFonts w:ascii="arial" w:eastAsia="arial" w:hAnsi="arial" w:cs="arial"/>
          <w:i/>
          <w:color w:val="000000"/>
          <w:sz w:val="20"/>
          <w:lang w:val="en-US" w:eastAsia="en-US" w:bidi="ar-SA"/>
        </w:rPr>
        <w:t>ex turpi causa non oritu actio</w:t>
      </w:r>
      <w:r>
        <w:rPr>
          <w:rFonts w:ascii="arial" w:eastAsia="arial" w:hAnsi="arial" w:cs="arial"/>
          <w:color w:val="000000"/>
          <w:sz w:val="20"/>
          <w:lang w:val="en-US" w:eastAsia="en-US" w:bidi="ar-SA"/>
        </w:rPr>
        <w:t xml:space="preserve">. Additionally, he says that the plaintiff assumed this risk of harm when he trespassed on the property in order to assault Mr. Bechler, and the defendant relies on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statement of defence, Mr. Irvine also denies that he was negligent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view, the matter is most appropriately analyzed within the framework of the allegation of assault and battery. I will mention briefly the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I have discussed the assault allegation in detail.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Assault is the intentional creation of the apprehension of imminent harmful or offensive contact (Allen M. Linden &amp;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9th ed. (Markham, ON: LexisNexis Canada Inc., 2011) at p. 46). Battery is the intentional application of force constituting a harmful or offensive contact with another, without the other's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appropriate focus of the analysis in the present case is upon the allegation of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Once the plaintiff has established that there was a battery, and that injuries were caused by it, the defendant has the onus of establishing any defence he may have and, in addition, that the force used was reasonable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law does not provide an absolute bar to the use of force. In fact, a party will be permitted to use force where it is taken for the purpose of defending himself or another or in defence of that person's property. However, the force used to effect that defence must not be more than necessary for the purpose at hand: it cannot be unreasonably disproportionate to the nature of the evil sought to be avoided. Where the force used by the defendant falls within that scope, that is, acting in such defence and not of an excessive degree, the defendant will not be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degree of force used will not be subjected to an especially critical examination: it has been said that the law will not concern itself with niceties in such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in this case, given that the plaintiff has established the battery and that injuries were caused, the burden shifts to Mr. Irvine to establish that he was acting justifiably, that is, in defence of himself, another or his property, and that the force he used was reasonable, that is, not excessive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present case, Mr. Irvine does not deny that he struck the blow at issue. More specifically, to be clear, I find from the evidence and particularly from his testimony, that he swung the club with the intention of hitting the plaintiff (although I accept that he did not intend to cause a serious injury of the type that resulted, but that is not the issue). It was not simply a careless act that resulted in the club contacting the plaintiff. However, he says that he did so in circumstances where his actions were justified; he contends that he did so in order to defend Mr. Bechler who was being attacked by two men. He says as well that his actions were justified because he was acting to protect himself and his son, and to protect his property. In his submission, it is important to recognize that his physical condition was compromised by his hernia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these contentions are not capable of amounting to a justification that would relieve him of liability. As explained above, I do not accept that the plaintiff was involved in an attack upon Mr. Bechler when the blow was struck, nor is it reasonable to believe that the plaintiff was about to enter the fray or that physical force was necessary to defend Mr. Bechler.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the extent Mr. Irvine may have believed it was necessary to use force to subdue the plaintiff, his assessment was in error.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it is clear that Mr. Irvine's action in striking the plaintiff with a golf club was intentional. As for his claim that he acted in response to a mistaken belief that the plaintiff was attacking Mr. Bechler, that cannot serve to relieve him of liability. That is so because, if a defendant desires to produce a particular result which he mistakenly believes to be innocent or justified, he may nevertheless be held liable for intending the consequence of his action (</w:t>
      </w:r>
      <w:r>
        <w:rPr>
          <w:rFonts w:ascii="arial" w:eastAsia="arial" w:hAnsi="arial" w:cs="arial"/>
          <w:i/>
          <w:color w:val="000000"/>
          <w:sz w:val="20"/>
          <w:lang w:val="en-US" w:eastAsia="en-US" w:bidi="ar-SA"/>
        </w:rPr>
        <w:t>Linden</w:t>
      </w:r>
      <w:r>
        <w:rPr>
          <w:rFonts w:ascii="arial" w:eastAsia="arial" w:hAnsi="arial" w:cs="arial"/>
          <w:color w:val="000000"/>
          <w:sz w:val="20"/>
          <w:lang w:val="en-US" w:eastAsia="en-US" w:bidi="ar-SA"/>
        </w:rPr>
        <w:t>, p. 37). Furthermore, as an observation, I would reiterate that, in the circumstances as I have found them to be, Mr. Irvine's claim to have made that mistake is not tenable. That is so with respect to the contention that the plaintiff represented an imminent threat to Mr. Bechler. It has even less credence with respect to there being a threat to Mr. Irvine, his child who was sleeping in the house or his property. The plaintiff did not realistically present a threat in any of those 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Irvine's claim of justification must also fail on another basis. Even if there had been a proper basis to use force to defend against the threat represented by the plaintiff, the decision to strike a two-handed blow with a golf club to the side of a man's head was a markedly excessive and disproportionate measure. Mr. Irvine is a mature adult; he was a well-experienced golfer. There can be no doubt that the force he applied in the circumstances was not justified and not justifiable.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mentioned, there were two other legal bases of defence advanced in Mr. Irvine's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first of these is the applicability of the concept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That is the notion that a plaintiff who would otherwise be entitled to tort recovery may be denied it on the ground of the voluntary assumption of risk. In the context of the present matter, it would mean that the plaintiff, by virtue of his decision to participate in a fight, should be taken to have voluntarily assumed the risk of incidental injuries to himself. There is however a limit to the applicability of the principle: it does not extend to encompass risk of a savage blow out of all proportion to the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is my view that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principle simply does not assist Mr. Irvine. On the facts as I have found them, the plaintiff was not engaging in an altercation. He was approaching the scene of two men wrestling on the ground. He was not a participant in a fight and so there is no basis to conclude that he was implicitly agreeing to take on the risk of incidental injury. Of course, the force that was inflicted upon him was entirely beyond the realm of "incidental injury"; it was a savage blow, well out of proportion to the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second concept to be considered is that of the defence of illegality, commonly cited as the Latin maxim </w:t>
      </w:r>
      <w:r>
        <w:rPr>
          <w:rFonts w:ascii="arial" w:eastAsia="arial" w:hAnsi="arial" w:cs="arial"/>
          <w:i/>
          <w:color w:val="000000"/>
          <w:sz w:val="20"/>
          <w:lang w:val="en-US" w:eastAsia="en-US" w:bidi="ar-SA"/>
        </w:rPr>
        <w:t>ex turpi causa non oritu actio</w:t>
      </w:r>
      <w:r>
        <w:rPr>
          <w:rFonts w:ascii="arial" w:eastAsia="arial" w:hAnsi="arial" w:cs="arial"/>
          <w:color w:val="000000"/>
          <w:sz w:val="20"/>
          <w:lang w:val="en-US" w:eastAsia="en-US" w:bidi="ar-SA"/>
        </w:rPr>
        <w:t>. This is a legal principle which holds that a plaintiff cannot succeed in a claim which would permit him to profit from an illegal or wrongful act or to evade a penalty prescribed by criminal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principle has been the subject of some considerable judicial examination and analysis. It is fair to say that there is some controversy as to its reach and applicability.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not necessary to spend a great deal of time engaged in that discussion here. The answer is straightforward: the plaintiff was not engaged in any illegal conduct at the time he was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principle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is not any bar to the prosecution of the plaintiff's claim and does not assist Mr. Irvine in his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noted, the plaintiff's statement of claim also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his statement of defence, Mr. Irvine denies that he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Based upon the analysis which I have just explained, I am satisfied that the matter at bar is most appropriately understood within the context of the intentional tort analysis. I do not find it necessary to examine the matter in the context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The striking of the blow was an intentional act, not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conclusion, I am satisfied that when Mr. Irvine struck the blow to the plaintiff's head, his actions constituted the intentional tort of battery, and that he is liable in damages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Apportionment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Trial Record discloses that the pleadings originally named Mr. Klassen, Mr. Bechler and Mr. Irvine as defendants. At trial and in the course of submissions, it was indicated to the Court that the plaintiff's claim against the former two persons had been resolved; I was not advised of the details and have no reason to know them. However, as a practical matter, that meant that this trial was concerned only with the determination of liability of Mr. Irvine, subject of course to any adjustment or apportionment that would reflect the contributory fault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result, I find that Mr. Irvine is responsible for the injury to the plaintiff. I find no basis to apportion responsibility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Consequences of the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injuries sustained by the plaintiff were profound and catastrophic. Prior to the incident, he was an able-bodied young man, employed as a parts man for an automobile dealership.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blow struck resulted in a severe traumatic brain injury. He is now severely compromised in virtually all facets of his life: physically, intellectually, emotionally and socially.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trial, I heard the plaintiff describe the effects of the event upon him. I also heard the testimony of his mother and a former employment supervisor. As for medical evidence, reports were filed from the plaintiff's long-term family doctor and he testified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noted earlier, a substantial body of evidence dealing with the details of the medical findings, treatments and procedures was tendered by way of reports filed in accordance with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A similar body of evidence was provided with respect to the economic aspects of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Based upon the evidence, both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and received by way of expert reports, I make the following observations and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being admitted to hospital following the assault, a surgical procedure was performed to elevate the area of the skull that had been depressed by the blow from the golf club. The wound was treated and the lining of the brain was repaired. Initially matters appeared to be progressing favourably. Approximately one week later, there was a significant complication: the plaintiff developed a large intracerebral haemorrhage which required a second major brain surgery. That procedure found bone fragments deep in the brain matter in conjunction with the haemorrhage. The plaintiff's recovery following that event was long, difficult and limited. Initially, he required tube-feeding and complete personal care. His speech was impaired and breathing was such that he required an operation for respiratory support. He had profound left-side paralysis. A further complication was the development of pneumonia.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Slowly, consciousness returned, he recovered most of his speech ability and he regained the ability to eat and control his bodily functions. The paralysis did not resolve.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was subsequently transferred from hospital to the G.F. Strong Rehabilitation Centre and remained there for approximately four months. While at that facility, he was involved in extensive therapy directed to improving his physical ability such that he was able to recover some mobility, as well as cognitive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he was discharged in February 2002, he was in a wheelchair and able to dress, groom and care for himself with some assistance. He initially moved into the home of his mother and her husband. He received out-patient therapy at a hospital in his community. Through this time, he was suffering from substantial bouts of fatigue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His progress was difficult. In October 2003 he was admitted to the G.F. Strong Centre Acquired Brain Injury Program. He remained there for three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one point, he arranged to acquire his own home, but that was not especially successful; he was not as independent as he might have hoped, and found the isolation more than he could handle.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Since December 2008 he has resided in a suite in his mother's home. That is more in keeping with his actual circumstances, as he is quite dependent. There is no question that the support provided by his mother is quite necessary to enabling him to function on a day to day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at the time of trial, it appears that he has made all the progress that can be expected. While he was initially completely wheelchair-bound, he has now managed to learn to walk, but clearly that is a limited ability and he requires his wheelchair as well. He is cognitively limited and his memory is deficient. His use of his left hand is limited because it is contorted and takes on a claw-like configuration; he is easily fatigued. In 2004 he acquired a motor vehicle which was specially fitted to enable him to drive and he does so, although that is not without its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experiences depression on a fairly ongoing basis. He has difficulty with sleeping and anxiety. Socially, the event and the injuries have substantially changed him. While he endeavours to maintain a social network, it is evident that he has lost his relationship with many friends and lives a relatively isolated life. The psychological assessment indicates a change in character, particularly that he is immature, self-centred and disinhibited, all of which makes having anything near a normal social life more difficult. While he indicates that he wanted very much to have a relationship with a woman, that has not come about. For him, life is quite depressing and lonely.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terms of occupational attainment, the assault and its consequences have changed his trajectory completely. He graduated from high school in 1993. It would appear that he was an average student and active in sports and social events. Upon completion of high school he had a job at a reforestation company but was laid off. He later took a job in an automotive dealership as an apprentice parts man. He completed the four-year program and obtained journeyman qualification. He was laid off from his first job but was recruited by another car dealer and at the time of the assault, held the position of assistant parts manager. Based upon the evidence, it is apparent that he was competent and well-regarded in that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one point, as part of his recovery efforts, he attempted a partial return to the workforce. He volunteered to help out at his place of employment, but it became readily apparent that the fatigue that he experienced, together with the memory difficulty and other problems, simply made that an impossible ambition.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Today, it is apparent that the consequences of the assault have rendered him not competitively employable due to the nature and extent of the physical cognitive and emotional difficulties that he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claim is framed in terms of a number of specific heads of damages. Although they were dealt with quite summarily at trial, I have examined all of the evidence which has been tendered.</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the submission of the plaintiff that the rough upper limit should be considered in relation to this head of damages, taking into account all the circumstances of the plaintiff's loss. Relevant factors will include the plaintiff's age, the nature of the injuries, the severity and duration of pain, disability, emotional suffering, impairment of social relationships, impairment of physical and mental abilities and loss of lifestyle.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Blackstock and Vincent v. Patterson et. al.</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(1982), 35 B.C.L.R. 231</w:t>
        </w:r>
      </w:hyperlink>
      <w:r>
        <w:rPr>
          <w:rFonts w:ascii="arial" w:eastAsia="arial" w:hAnsi="arial" w:cs="arial"/>
          <w:color w:val="000000"/>
          <w:sz w:val="20"/>
          <w:lang w:val="en-US" w:eastAsia="en-US" w:bidi="ar-SA"/>
        </w:rPr>
        <w:t xml:space="preserve"> at 237-238, the Court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Once it was determined that the plaintiffs suffered severe personal injuries the court concluded as a matter of policy that the limit for non-pecuniary damages should be fixed at $100,000. This conclusion was not based on the view that the awards made by the lower courts in the trilogy cases were excessive or that there was no distinction between the cases, but was based on the premise that in the case of all "severely injured plaintiffs", in order to avoid extravagant claims, an upper limit of $100,000 should be imposed. It follows, that even if the respondent's injuries could be said to be different from or not quite as severe as those suffered by the plaintiffs in the trilogy cases, her injuries were found by the trial judge to be "devastating", and, therefore, fell within the $100,000 category fixed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34 B.C.L.R. 273</w:t>
        </w:r>
      </w:hyperlink>
      <w:r>
        <w:rPr>
          <w:rFonts w:ascii="arial" w:eastAsia="arial" w:hAnsi="arial" w:cs="arial"/>
          <w:color w:val="000000"/>
          <w:sz w:val="20"/>
          <w:lang w:val="en-US" w:eastAsia="en-US" w:bidi="ar-SA"/>
        </w:rPr>
        <w:t xml:space="preserve"> (S.C.C.)] and the trilogy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view, the evidence clearly establishes that Mr. Saether suffered severe personal injuries in this incident. He sustained a severe traumatic brain injury which has substantially limited his mobility, and his ability to interact with others and deal with the everyday events of life. His life expectancy has been diminished. The life he had has been profoundly and irreparably changed. In every way, his ability to go forward enjoying his life has been devastated. In all those circumstances, I am satisfied that the plaintiff's situation properly warrants an order for damages toward the very upper end of the range. Considering that the rough upper limit, as adjusted, is approximately $335,000, I fix those damages at $300,000.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Past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assessment of damages for past loss of income is properly characterized as an assessment of damages for loss of past earning capacity. In this case, as a consequence of the injuries that he sustained, Mr. Saether has been effectively precluded from earning any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evidence satisfies me that the plaintiff was well-established in his employment; he was well-regarded and there seems no basis to believe his circumstances were anything other than stable and promising.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Based upon the evidence of Mr. Clysdale, his supervisor at work, it is reasonable to conclude that his income would have risen in the years that follow, and it is evident that bonuses formed part of the remuneration of the position. The evidence establishes that the plaintiff had positive prospects of continuing to be employed with and advance with his employer. There is also the fact that this man had real aspirations to pursue a career as a fire-fighter. The material in evidence suggests that would have been a viable alternative vocational path for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had reference to the report of Stephen Bush, C.A., respecting this loss, and have examined the material in support. Mr. Bush did a calculation of the projected loss through 2006. Beyond that point, there is a greater element of speculation, taking into account the real possibility of Mr. Saether transitioning to another career.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manner in which I have arrived at a value for the loss of income through to date of trial is explained as follows. His gross income for the year prior to the assault, 2000, was $35,654.15. For 2001, up to the point of the event, his employment earnings totalled $22,179.00. Those are established facts. Moving past that, there is of course an element of guesswork entailed in quantifying the loss. The task includes making reasonable allowances for increases that would likely have occurred. It also involves recognizing that there are contingencies involved; the outcome cannot be assumed to be certain.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have made my assessment on the expectation that Mr. Saether would have remained in his employment and continued to progress to a more senior position. I also find it reasonable to expect that there would have been some bonus remuneration available to him, although I have assigned modest value to that component. I base those conclusions upon the evidence of Mr. Clysdale.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assumed that his annual income would be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2614"/>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2002- $38,000</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2003- $40,000</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2004- $42,000</w:t>
            </w:r>
          </w:p>
        </w:tc>
        <w:tc>
          <w:tcPr>
            <w:tcW w:w="2765"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2005- $43,000</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2006- $45,000</w:t>
            </w:r>
          </w:p>
        </w:tc>
        <w:tc>
          <w:tcPr>
            <w:tcW w:w="2560"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2007- $50,000</w:t>
            </w:r>
          </w:p>
        </w:tc>
        <w:tc>
          <w:tcPr>
            <w:tcW w:w="2765"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2008- $55,000</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2009- $62,000</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2010- $70,000</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note that my calculation includes only five months for 2001 (the balance of the year, subsequent to the assault) and only ten months of the year 2010, as that component of the damages claim extends only to the date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Assuming the figures above represent the income which would have been earned by Mr. Saether, I estimate the loss to date of trial, before any adjustment, to be $441,133.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That sum has to be subject to some adjustment for contingency. In my view, that would be fairly minimal, given that these numbers have made virtually no allowance for upside contingency (that is, bonus income) and given that the prospects of him being able to maintain that employment seem quite reliably predictable. In the result, I will discount the gross figure by 8%. The end result is $405,842. Mr. Saether will be awarded the sum of $405,800 under this head of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note that the numbers I have used are without deduction for income tax. As this is not a matter governed by the ICBC legislation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color w:val="000000"/>
          <w:sz w:val="20"/>
          <w:lang w:val="en-US" w:eastAsia="en-US" w:bidi="ar-SA"/>
        </w:rPr>
        <w:t>), the award will not be reduced to reflect net income versus gross income.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Loss of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deals with the award that the plaintiff should be entitled to recover as a consequence of his ability to work at his chosen vocation having been lost. In this case, I am satisfied on the basis of the expert evidence that the plaintiff has no residual employability. The injuries that he has suffered render him unable to attain or maintain a job in the competitive job market. That includes the employment he was engaged in, the employment to which he aspired and any other even minimally-remunerative occupation.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Court's assessment of this loss also takes into account that the evidence establishes that the plaintiff had demonstrated aptitude, personality, work ethic and drive that would strongly indicate that he would be successful at the endeavours he pursued.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assessment of this head of damage is informed by the report prepared by Mr. Derek Nordin, who has prepared a vocational assessment, and the report of Mr. Kerr, an occupational therapist who has prepared a work capacity evaluation.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Robert Carson, a consulting economist, has prepared a table setting out present values of future sums, including the usual discount adjustments that apply. He has calculated that the net present value, per $1,000 of income, allowing for income through to age 65, is $20,212.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Quite obviously, there is an element of guesswork and speculation in attempting to decide appropriate values. In the present case, it is my view that, approaching the matter conservatively, an annual income of $85,000, projected over that length of time, and allowing for a reduction on account of the CPP disability benefits which Mr. Saether receives, is a fair and reasonable figure. That results in a net present value of approximately $172,000. Adjusting further for other vagaries and contingencies, it is my conclusion that an appropriate award under this head is $1,375,000. That allows for a negative contingency of approximately 20%.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 number of reports have been filed in support of the claim for future care. One particularly thorough report is that of Mr. Kerr, based upon a review of the medical and rehabilitation reports, interview with the plaintiff and the results of a work capacity evaluation finding. Mr. Kerr also interviewed the plaintiff's mother. His report includes a series of recommendations for future care. In turn, the economist Mr. Carson has taken those recommendations and provided an assessment of the cost of providing that care. In his tables, he has assessed the claim on the basis of items and services necessary to provide supported living, assuming the plaintiff lives with his family or is in his own home. For that situation, he has derived a high and low estimate, providing present values. He has also generated values which allow for the plaintiff to resort to residential care facilities. Again, he has provided high and low estimates of the present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amounts calculated by Mr. Carson to represent the present value of the stream of expenses range between a low of $987,046 and a high of $1,146,828.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are a great many unknowns in the matter; for example, the support that his mother is able to provide for him is a significant factor in how he will manage. How she will be able to assist him in the future and for how long cannot be predicted. That is just one of a great many variables.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it is appropriate that the award of damages under this head be set at $1,075,000.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has tendered a schedule of special damages arising from the injury. It comprises travel expenses for attendance at appointments, counselling and neurophysiotherapist fees, necessary items such as orthotics and a wheelchair, as well as wheelchair modifications to his home (stair-lifts) and the purchase of a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total value of all of the items is $42,976.66.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these are reasonable expenses which have resulted from the injuries sustained; the plaintiff is entitled to recover those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 Conclusion on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Saether's injuries were caused by Mr. Irvine's assault that occurred in the early morning hours of July 29, 2001. I have assessed his damages in the following amounts: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loss -</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$300,000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w:t>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income loss -</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$405,800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w:t>
            </w:r>
          </w:p>
        </w:tc>
        <w:tc>
          <w:tcPr>
            <w:tcW w:w="317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earning</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$1,375,000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capacity -</w:t>
            </w:r>
          </w:p>
        </w:tc>
        <w:tc>
          <w:tcPr>
            <w:tcW w:w="163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w:t>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 -</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$1,075,000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660"/>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(e)</w:t>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 -</w:t>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$42,976.66</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59"/>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$3,198,776.66</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is entitled to recover his costs at Scale B.</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Final Observations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events of the early morning of July 29, 2001 which gave rise to this proceeding are enormously tragic. As a result of a brief episode of bad judgment and bad fortune, the life of Mr. Saether was forever changed in a very devastating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Irvine's life too had been very profoundly affected by this matter. He defended himself at trial. He is neither trained for that task, nor is he someone who is experienced in doing so. Nevertheless, I think it bears mention that he did so in a sensible, thoughtful and respectful way. It is clear that he never intended to inflict serious injury on Mr. Saether, and it is clear as well that he feels great genuine compassion for Mr. Saether's plight. It is, in my view, right to recognize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Regrettably, this case is a situation where nothing good has ensued for anyone involved.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J.W. WILLIAMS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4"/>
          <w:headerReference w:type="default" r:id="rId1075"/>
          <w:footerReference w:type="even" r:id="rId1076"/>
          <w:footerReference w:type="default" r:id="rId1077"/>
          <w:headerReference w:type="first" r:id="rId1078"/>
          <w:footerReference w:type="first" r:id="rId10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0" w:history="1">
        <w:r>
          <w:rPr>
            <w:rFonts w:ascii="arial" w:eastAsia="arial" w:hAnsi="arial" w:cs="arial"/>
            <w:b/>
            <w:bCs/>
            <w:i/>
            <w:color w:val="0077CC"/>
            <w:kern w:val="32"/>
            <w:sz w:val="28"/>
            <w:szCs w:val="32"/>
            <w:u w:val="single"/>
            <w:shd w:val="clear" w:color="auto" w:fill="FFFFFF"/>
            <w:lang w:val="en-US" w:eastAsia="en-US" w:bidi="ar-SA"/>
          </w:rPr>
          <w:t>Symons v. Insurance Corp. of British Columbia, [2016] B.C.J. No. 1909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29, March 1-4, 7 and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M59164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2016 BCSC 1667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Heidi Symons, Plaintiff, and Randy Shears,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2" w:name="Keywords_43"/>
      <w:bookmarkEnd w:id="402"/>
      <w:r>
        <w:rPr>
          <w:rFonts w:ascii="arial" w:eastAsia="arial" w:hAnsi="arial" w:cs="arial"/>
          <w:b/>
          <w:color w:val="000000"/>
          <w:sz w:val="20"/>
          <w:lang w:val="en-US" w:eastAsia="en-US" w:bidi="ar-SA"/>
        </w:rPr>
        <w:t>Damages — Physical and psychological injuries — Physical injuries — Body injuries — Back and spine — Psychological injuries — Depression — Post-traumatic stress disorder (PTSD) — Damages — Types of damages — General damages — For personal injuries — Considerations — Duration of loss — Cost of future care — Loss of earning capacity — Special damages — Past loss of income — Loss of profits — Expenses and expenditures — Medical — Medications — Non-pecuniary loss — Pain and suffering — Affecting mobility — Affecting recreational activities — Action for damages for injuries sustained in motor vehicle accident allowed in part — 34-year-old plaintiff sustained L5/S1 disc injury that resulted in protrusion, three surgeries, ongoing pain and disability, and PTSD and depression — Plaintiff awarded $200,000 non-pecuniary damages, which accounted for loss of housekeeping — Plaintiff was self-employed first aid attendant at time of accident, and worked through pain one year but could no longer perform work and was limited to light, part-time work — Plaintiff awarded $375,000 past wage loss and $1,400,000 loss of future earnings — Plaintiff awarded $43,918 cost of future care and $50,376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3" w:name="Case Summary_41"/>
            <w:bookmarkEnd w:id="4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34-year-old plaintiff was 26 years old at the time of the accident, healthy and active, and had recently started her own business as a first aid attendant serving at remote oil rigs. The defendant rear-ended the plaintiff at 160 kph and sent her vehicle off the road. The plaintiff was shoved under the dashboard and in a lot of pain following the accident. She was discharged from the hospital with pain medications and saw a doctor again a few days later. The plaintiff returned to work after two months because she needed to maintain her business, but had anxiety about driving so looked for closer contracts, and continued to have back pain, leg pain and headaches. The plaintiff exercised, and attended physiotherapy and massage. Over a year after the accident, the plaintiff was in a great deal of pain so went to a doctor, who ordered a CT scan, which showed a large, right side disc protrusion. The plaintiff underwent surgery, which reduced her pain, but she continued to have flare ups, especially when she tried to return to work, and she felt a lightning bolt of pain one day when she turned her head to sneeze and had to obtain a morphine prescription. The plaintiff had not worked since, had to have a second surgery, which resulted in the complication of leaking spinal fluid, and developed anxiety, anger and nightmares, for which she began seeing a psychiatrist. The plaintiff was diagnosed with PTSD and major depressive disorder. She was now in partial remission but with a guarded prognosis. The plaintiff had undergone disc fusion surgery and had experienced some improvement, but still had stiffness and pain, and was still waiting to see whether the fusion was successful. The plaintiff could no longer ride horses or do other recreational activities, but she had begun to look for part-time work and hoped to breed horses. The defendant did not defend, but the third party insurer appeared.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4" w:name="Holdings of Court_36"/>
            <w:bookmarkEnd w:id="40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doubt as to the defendant's liability, which the third party now accepted. The plaintiff had no pre-existing issues, and the medical evidence clearly established the accident caused an injury to her L5/S1 disc, which resulted in a protrusion that required three surgeries including fusion, and caused considerable pain, PTSD and depression. The plaintiff had a very difficult time since the accident and faced an uncertain occupational future with some degree of pain and decreased function. There was no reasonable expectation the plaintiff would fully recover. Given the very serious physical injuries, continuing psychological damage and permanent disability, the plaintiff was awarded $200,000 non-pecuniary damages. Past wage loss was hypothetical because the plaintiff was unable to return to her business for long. The third party's approach of using the business's financial statements to calculate loss was accepted, but the plaintiff's best year was the year after her accident and these earnings would have been higher were it not for her pain and difficulties. The plaintiff was awarded $375,000 for past wage loss. There was a real and substantial possibility the plaintiff's continuing disabilities would cause future income loss. Previously suitable occupations for the plaintiff were no longer possible, but part-time, light employment likely was, and would likely only pay minimum wage. There was no evidence the plaintiff would succeed at horse breeding. The plaintiff likely would have earned $80,000 per year as a first aid attendant and continued this occupation until retirement but for the accident. Now she would likely earn $25,000 per year. Considering contingencies and discount factors, the plaintiff was awarded $1,400,000 loss of earning capacity. The plaintiff was awarded $43,918 cost of future care for therapies, medications and exercise needs. A separate loss of housekeeping ability award was not made as this was considered in non-pecuniary loss. The expense of the plaintiff's parents coming to help her after her surgeries was reasonable. The plaintiff was awarded $50,376 for special damages. The total award was $2,069,294.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5" w:name="Legislation Cited_32"/>
      <w:bookmarkEnd w:id="4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Jury Instructions, BC Reg 74/2014,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082" w:history="1">
        <w:r>
          <w:rPr>
            <w:rFonts w:ascii="arial" w:eastAsia="arial" w:hAnsi="arial" w:cs="arial"/>
            <w:i/>
            <w:color w:val="0077CC"/>
            <w:sz w:val="20"/>
            <w:u w:val="single"/>
            <w:shd w:val="clear" w:color="auto" w:fill="FFFFFF"/>
            <w:lang w:val="en-US" w:eastAsia="en-US" w:bidi="ar-SA"/>
          </w:rPr>
          <w:t>R.S.B.C. 1996, c. 253, s. 56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6" w:name="Counsel_45"/>
      <w:bookmarkEnd w:id="4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R.F. Johnston, S.G. Cappus.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M.J. Hargreaves.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7" w:name="Judgment_45"/>
      <w:bookmarkEnd w:id="407"/>
      <w:r>
        <w:pict>
          <v:line id="_x0000_s1249"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8" w:name="J.R. DILLON J."/>
            <w:bookmarkEnd w:id="408"/>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Heidi Symons (hereafter called Heidi Shultz for reasons that appear in paragraph 3), was involved in a motor vehicle accident on April 20, 2008 and claimed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Randy Shears ("Shears"). The plaintiff also claimed damages and loss for and arising from injuries sustained in the accident. Shears did not defend this action but the third party, the Insurance Corporation of British Columbia ("ICBC"), denied liability to indemnify the defendant and further denied liability for the accident and denied that any loss, injury, or damage had occurred. ICBC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said that she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trial commenced with liability and damages fully in issue. However, the third party conceded liability for the accident on the part of the defendant in argument after the close of evidence. Other issues were causation of a disc injury suffered by the plaintiff and of psychiatric disorders, and the quantum of past and future income loss. Regardless of the late concession on liability for the accident, the details of the accident are important to understand the physical impact that it had on the plaintiff. The third party did not pursue its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mitigate loss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should be noted that Heidi Symons is now Heidi Shultz, having married since the filing of the writ of summons. She will be referred to in her proper name as Heidi Shultz ("Shultz").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26 years old and self-employed as a first aid attendant on the night of April 20, 2008 when she was returning home from a friend's house on the Alaska Highway near Charlie Lake, British Columbia. She was driving her white 2005 Ford F-350 pick-up truck, a crew cab, short box model. There was a 454 litre "Tidy Tank" filled with diesel fuel bolted and then strapped to the frame of the truck in the box directly behind the cab. Shultz was headed north near the elementary school on a straight two-lane highway and was going the speed limit of 70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described that she suddenly felt an explosion and her truck launched forward at "warp" speed. Shultz said that she was propelled up and off the highway faster than she had ever gone in a vehicle. She spun towards a ditch and eventually came to rest in front of the school. Until later when she saw another vehicle in the vicinity, it is safe to say that Shultz did not know what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Officer Georgina Josefsson of the RCMP had to be called at trial to testify as to details of the accident because liability had not been admitted. In the early hours of April 20, 2008, while on patrol, she had been notified of an impaired driver on the Alaska Highway who had struck a traffic sign. Officer Josefsson was enroute to the scene when she was told of an accident on the highway near the elementary school. She observed a white F-350 in the ditch, a Tidy Tank and spilled fuel 50 feet to the north of the white F-350, and another grey F-350 further north of the white F-350.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Officer Josefsson located the driver of the grey F-350 vehicle who was identified as Randy Shears. The officer described the site of the grey F-350 Shears vehicle, supported by photos that were in evidence. The whole of the front of the Shears vehicle was completely smashed in, the driver's front tire sheared off, and the airbags deployed. There was a bottle of Jägermeister in the vehicle, a broken bottle of whiskey nearby, and a beer carton lying on the highway. The speedometer of Shears' vehicle was stuck at 160 kph which the officer said would have been the speed at the moment of impact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Shears' vehicle had smashed into the rear of the plaintiff's truck at 160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vehicle was completely smashed in the rear with the panels of the box torn off and the gate completely missing. The right rear tire was angled off the vehicle. The doors were ajar and the hood had flown open. The truck appears to have dug into the mud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was an extraordinarily high impact accident with the defendant's vehicle smashing into the rear of the plaintiff's vehicle at high speed. It is no wonder that the plaintiff did not know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Officer Josefsson reasonably suspected Shears of impaired driving and learned that he had consumed a large quantity of alcohol and had been denied more at the local pub. He was taken to the police station where two breath samples produced a blood alcohol reading of 260 millilitres of alcohol per 100 millilitres of blood. Shears was over three times the legal limit for driving. He was eventually convicted of nuisance endangering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Meanwhile, the plaintiff had been shoved underneath the dashboard of her truck upon impact, even with her seatbelt on. She smelled diesel and knew that she had to get out of the truck. She wiggled out from under the dash, her pants ripped to her thigh, and fell into the ditch. It was then that she realized that she had been in an accident.</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history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raised in the Nanaimo area of British Columbia and spent much of her early life engaged in outdoor pursuits. She began riding horses competitively at age 10 and continued to do so, engaging in about 25 competitions per year, until she moved to the north in 2004. She also trained horses for owners. She was healthy and active. She engaged in search and rescue operations, hiked and fished.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Shultz graduated from high school in 1999 and then completed chef's training. She worked full time as a chef in Ladysmith until she moved to Harrison Hot Springs in 2001. She continued to work in the kitchen for about a year and a half but left because of drug use amongst co-workers. She then secured work as a meat packer for two years and became interested in first aid while she was so employed. She obtained her first aid certificate, gradually upgrading her qualifications to level three and an emergency responder. She became a first aid attendant at a door construction company and enhanced her search and rescue qualifications. Shultz passed the testing to become an officer in the RCMP but lacked the funding that she needed to pay the bills if she were to train in Regina. So, the plaintiff decided to move north for better pay in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Shultz quickly obtained employment as a first aid attendant in the oil and gas fields near Fort St. John. She stayed with one company for the first year and a half and then left to a competitor for better pay. The work involved servicing the remotely located rigs by providing mandatory first aid while the crew worked onsite. It required several hours of driving daily to the site and back in a mobile treatment centre, sometimes as far as 400 kilometers to and from home. The plaintiff acquired a licence to transport dangerous goods, became trained in hazardous workplace systems, and obtained a certificate for helicopter assistance, all requirements for her work. The plaintiff was very good at her job and took great pride in her work and in her abilities. She seemed a natural for her job. She developed an excellent reputation with many contacts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2007, the plaintiff decided to embark on her own. She had forsaken a career in the RCMP and had met the man who was to become her husband. She began the process of acquiring the necessary insurance, equipment, and contracts to start her own business. She purchased a new truck, mobile treatment centre, medical supplies, and radios. She incorporated her business and obtained insurance. All this was done before she left her employment. Her first day working for herself was March 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Obtaining work was competitive as the plaintiff had to get on approved vendors lists. By the time of the accident, she was on four such lists. She kept a daily journal of her work. Dependability and reliability were key to development of her business and the plaintiff was deeply committed to her personal integrity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living with her future husband and had bought a small farm before the downturn in the oil business started in 2008. She had no health or psychological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injuries and their development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taken from the scene of the accident on a spinal board by ambulance attendants. She was dazed. Her face, knees, shoulders, back, hip and legs hurt. She was seen by an emergency room doctor who noted injury to the plaintiff's face, neck and left shoulder. She was discharged to home with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had facial bruising and contusion around her left eye and cheek. This cleared up after about three months but a dent remains in her cheek and she gets an intense ache under her cheek and into her eye in cold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saw the emergency doctor at his clinic a few days later and then again on May 2. The doctor noted symptoms of "right sacral ileitis" as well as pain and tenderness in the sacroiliac joint but generally diagnosed soft tissue injury. The plaintiff remained very sore and was unable to attend to her personal needs. She attended to massage as recommended. She continued to suffer low back and right hip pain that radiated through her buttock and into her calf. She reported these pains to her therapists. She had headaches and pain in her face, neck, shoulders and knees. She had difficulty sleeping and the medications did not suit her. Towards the end of May when she was still in great pain, the plaintiff attended to a chiropractor to try to resolve symptoms. At this time, five weeks post-accident, the plaintiff had low back pain, extreme pain through her buttocks and down through her calf, neck and mid-back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off work until June 7, 2008. She returned due to financial pressures and the need to maintain her reputation in the business by not turning down work. She struggled with driving because it was painful to turn her neck and she was anxious. As a result, she preferred jobs closer to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injury to the plaintiff's knees and shoulders resolved within a few months. The headaches lessened but remained at a low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travelled to Nanaimo by car at Christmas but suffered on the trip and attended to a doctor who prescribed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worked steadily throughout 2008 and 2009, taking time off in the summers. She continued to have leg, neck and back pain especially while driving but was committed to her job. She resumed massage and chiropractic treatments in April 2009 when the slow-down in work allowed for more time off. The plaintiff did not have a family doctor and thought that if she did her exercises and remained active, her pain would resolve. She took no prescribed medications. Her attitude was that she had to just push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August of 2009, the plaintiff described that she was in a great deal of pain and "begged" to see a doctor at a clinic. She told Dr. DeBruyn about her history of back symptoms since the accident and he eventually ordered a CT scan. The CT scan performed on September 11, 2009 identified a disc protrusion at the L5-S1 level. An MRI on May 17, 2010 confirmed the presence of a large, right sided disc protrusion. The plaintiff was referred for surgery. She was off work from June 17 to September 14,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underwent discectomy surgery on May 2, 2011 in Edmonton. Following that surgery, the plaintiff noted some reduction in back, buttock, and leg pain but she remained off work until September 3, 2011. Upon optimistically returning to work, the radiating pain into the leg flared up again and symptoms began to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had an incident in early March 2012 when cleaning her bathroom. She turned her head to sneeze and immediately knew that she had suffered serious damage to the same area of her back. She said that she felt like she had been shot. She was in excruciating pain down her leg with numbness in her right foot and calf. She described that pain as a "lightning bolt". She went to the emergency and obtained a prescription for morphine. The plaintiff has not worked since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had significant trouble maintaining her personal hygiene and housework. She underwent a second surgery in Edmonton on March 4, 2013. Unfortunately, there were complications from this surgery that caused a leak of spinal fluid into the plaintiff's back. Upon return to Fort St. John, the plaintiff had a large lump of spinal fluid on her lower back. While this eventually subsided, the disc again herniated. The plaintiff was faced with the options of a spinal fusion or a disc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spinal cord leak was still evident, the plaintiff attended to an independent medical examination by Dr. McGraw for the third party in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DeBruyn had referred the plaintiff to a psychiatrist. At that time, the plaintiff described that she was an emotional wreck, mean and angry, and wracked with anxiety about driving, financials and work. She had nightmares and disturbed sleep. She had not wanted to go to a psychiatrist because of her perceived imputation from a referral that she was psychotic. She has been seen by Dr. Oluyede. The plaintiff was positive about the help that she has received and feels that she now has skills to cope with her unrealistic reactions to her situation. She continues to be under the care of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meantime, the plaintiff and her husband moved to Quesnel. The plaintiff explained that the move was intended so that she could obtain better follow up care after her next surgery, so that the weather would be better for her, and so that her husband could obtain better work hours in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underwent a disc fusion at L5-S1 on October 6, 2014. Shultz said that this third surgery was incredibly painful and invasive. She suffered severe pain for two months and tenderly awaited fusion. She attended physiotherapy and massage as recommended. As at time of trial, the plaintiff was still awaiting to see whether fusion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During the distressful course of surgeries and painful recoveries, the plaintiff was prescribed narcotic pain medications. She became addicted to them and suffered personal disgust at having to use them. The plaintiff eventually managed to wean herself from these drugs, something that she described as her "biggest accomplishment".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became significantly deconditioned and gained a lot of weight. Since the last surgery, her activity level has been up and she has worked hard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still suffers stiffness and back and leg pain daily. However, she manages with lighter chores so that she now has fewer flare-ups. She breaks up her daily household work over several days. She continues to take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ridden a horse only twice since the accident. Both times, it was incredibly painful and the plaintiff has given up horseback riding since the first surgery. She and her husband own a farm where the plaintiff enjoys walks along level ground. She has not resumed snowmobiling or hunting. She does continue to have horses which she hopes to breed.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work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Shultz was an experienced first aid attendant in the oil and gas fields near Fort St. John by the time of the accident in April 2008. She had obtained the necessary tickets, had worked for several companies, and developed many contacts in the field. These contacts were well site supervisors who hired first aid attendants to work on their well sites. She had established her own company with all of the necessary equipment and had just begun her business when the accident occurred. She was extremely motivated and professional about her job. She had expectations for good business development with major projects in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One of the well site supervisors testified on behalf of the plaintiff. Kevin Tunke ("Tunke") had worked in the "oil patch" since he was 16 years old. His evidence was clear and reliable. He described how a first aid attendant is hired through written approved vendors services contracts or just verbally if the first aid attendant is known. He said that hiring could sometimes occur on short notice. He said that the first aid attendant is on the site to check safety tickets and capacity to work, to conduct safety meetings, and to remain on site to provide first aid until the last worker leaves the site. He had worked with the plaintiff for over two years prior to the accident and knew her to be one of the better first aid attendants. He had pre-booked the plaintiff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2008, the daily rate for a first aid attendant was generally $575. This was the rate charged by the plaintiff plus a minimum 100 kilometer charge of $1.35 per kilometer. Anything beyond 12 hours was billed at $60 per hour and statutory holidays were charged an extra $250 per day. The rates did not change much during 2008-2010. The daily rate had reduced to $550 per day and the mileage rate to $1.00 per kilometer by 2015 according to Tunke. He did not expect these rates to be reduced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often had to travel long distances to the well site. For example, in the days following the accident, the plaintiff had planned to work distances requiring travel of between 260 and 360 kilometers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From the daily rate and additional payments, the plaintiff deducted expenses related to the cost of her truck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did not return to work after the accident until June 2, 2008. She was unable to work because of injuries sustained in the accident but it was also spring break up time when work was very slow. The plaintiff had planned to work for Tunke and another well site supervisor during this time. Tunke and the plaintiff calculated the days that the plaintiff would have worked for him during this time and the likely payment, which was $8,538.40. The work would have lasted until April 30, after which Tunke took time off until the summer for spring break. Based upon this evidence, it is unlikely that the plaintiff would have worked every day from the date of the accident until June 3 but she certainly lost the Tunke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described that she continued to work after June 2008 but in pain. Her leg, neck and back was in pain and she was anxious while driving. She did the exercises recommended by the chiropractor and took over the counter medications in the expectation that she would improve. Emotionally and financially, she was frayed. Although Tunke knew of her accident and that she was injured, he did not observe the plaintiff to be in any difficulty. This is probable given that he was a busy man on the site with many responsibilities and the plaintiff had little to do with him on site. It does not distract from her description of her difficulties, especially when she was driven not to demonstrate any problems for fear of not getting hired again in a competitive business. Tunke said that if he knew that a medic had physical difficulty doing the job, he would not hire him/her.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testified that she took time off in the summers of 2008 and 2009, apparently unrelated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was again off work from June 17 to September 14, 2010, shortly after she had been diagnosed by MRI with the disc protrusion. The plaintiff said that she was physically and emotionally drained during this period, run into the ground because of her symptoms. While there is no medical recommendation in evidence to support time off work during this period, it is accepted that the continuing pain resulting from the disc protrusion, along with the recommendation for surgery, would have made it difficult to work with prolonged sitting and driving. These dates off work are 'soft' dates because, while it is accepted that the plaintiff may have been off work during some of this period due to symptoms from injuries sustained in the accident, not all of the time off can be so attributed.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was off work from May 2 to September 3, 2011 after her first surgery. The third party has accepted that the plaintiff was off work due to complications from injuries sustained in the accident during this period. The third party has also accepted that the plaintiff has been unable to work as a first aid attendant since February 12, 2012 and that the nature of her injuries made it unreasonable for her to find other employment prior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the work journals kept by the plaintiff that were in evidence, it is accepted that the plaintiff worked 197 days in 2008, 187 days in 2009, 96 days in 2010 and 83 days in 2011. However, these days must be fitted into the fiscal year for her company to be meaningful.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financial statements of her company, HCS Industries Ltd., were in evidence for the years 2008 through to 2013. These will be most useful to determine the likely income of the plaintiff during these periods, without absence from work due to injuries sustained in the accident. Neither party relied upon the plaintiff's income tax returns which were also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first full year of operations for HCS Industries Ltd. and also the year when she did not miss work because of the accident was the fiscal year August 1, 2008 through to July 31, 2009. During this time, the plaintiff worked 197 days, generating revenue of $195,217. She received a management salary, dividends, and credited retained earnings in that year for gross earnings before taxes of about $87,900. Both the plaintiff and the third party agree that this was her best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2010, the revenue for the company dropped to $127,088. Although some of the drop may be attributed to time taken off work because of injuries sustained in the accident, this explanation discussed above does not account for the entire drop in income. The plaintiff took a management salary and dividend of $65,000 but the company reported a loss for the year and lowered retained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2011, company revenues dropped to $92,463. After expenses, the company earned $5,057. The plaintiff did not take a management salary. The plaintiff had not worked from mid-June to the first half of September 2010 and then in May through to August 2011, a total of about five and a half months. Compared to her best year of 2009, the plaintiff lost about $82,800.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company's earnings dropped further in the fiscal year 2012 to $41,807. There was a net loss to the company of $6,283. Compared to her best year of 2009, the plaintiff lost about $94,000.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2013, the company revenue was $50,475. By this time, the plaintiff had rented out her vehicle because she was incapable of working. Net income was $20,007. Compared to her best year of 2009, the plaintiff lost about $67,900.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was unable to work and there are no financial statements for the company after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October 2015, the plaintiff underwent a functional capacity evaluation by Min Trevor Kyi. This was about one year after fusion surgery and it still was not known whether the fusion had worked. The plaintiff was positive and upbeat about the headway that she had made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Shultz has looked at job possibilities but realized that her options are narrow. She applied for a job in the coroner's office in Quesnel and was pleased to get an interview. She didn't get the job but was encouraged. More recently, she applied for a job as a riding instructor for disabled children and received a call back for a second interview. The job would pay minimum wage for two, seven hour days per week over a 16-week programme throughout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hopes to breed horses and has established a business name on the internet. However, the realities of such an endeavour were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Kehinde Oluyede is a psychiatrist who has treated the plaintiff since June 2013 following referral from Dr. DeBruyn. The plaintiff had never received psychiatric services before. The doctor testified about the plaintiff's history following the accident including her personal account, review of medication and treatments given, and progress to the date of Dr. Oluyede's report of December 3, 2015. Although the doctor was under the impression that the plaintiff had been off work for four months following the accident and may have been mistaken on the dates of flashbacks from the accident, she remained clear in her diagnosis of post traumatic stress disorder and major depressive disorder directly due to the motor vehicle accident of April 2008. Although the disorders were in partial remission, the prognosis remained guarded. Further treatment was recommended, without which it was "highly unlikely" that the plaintiff could be capable of occupational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was examined by Dr. McKenzie, an orthopaedic surgeon, on April 12, 2012 at the request of plaintiff's counsel. He produced three reports dated April 12, 2012, February 19, 2014 and October 4, 2015 and attended at trial for purposes of cross-examination. He extensively reviewed the plaintiff's medical records, including physiotherapy and chiropractic. These records confirmed what the plaintiff told Dr. McKenzie. The doctor was aware that there were no records from June 2008 to early April 2009 but said that the plaintiff's history given to him was consistent with the mechanism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April 2012, Dr. McKenzie diagnosed the plaintiff with interscapular pain and lower back and right leg pain since the accident. He knew that the plaintiff had been incapacitated since February 2012 and was taking oxycontin pain medication. He concluded in 2012 that the plaintiff suffered significant injuries in the accident of 2008, including myofascial pain in the mid to upper thoracic spine and a disc protrusion at L5/S1. Neither of these injuries had resolved or were likely to do so. He did not think that the plaintiff would ever return to her pre motor vehicle accident asymptomatic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the plaintiff's second surgery, Dr. McKenzie provided his second report. He had formed the impression when he saw her in 2012 that she would require a second operation due to recurrent radicular pain. Despite the second surgery, she had a third recurrence of the disc protrusion and a third surgery was recommended. Because the plaintiff was still in treatment for her lower lumbar disc problem, Dr. McKenzie could not provide a final opinion with respect to prognosis. However, he anticipated that if the plaintiff underwent a spinal fusion, recovery would be up to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McKenzie examined that plaintiff on September 30, 2015 for purposes of preparing the updated report of October 4, 2015. Although he was under the mistaken impression that the plaintiff had continued to see a general practitioner from the date of the accident to August 2009, this did not detract from his observations or from his opinion. At the time of this examination, the plaintiff was almost a year since the time of her spinal fusion third surgery. The plaintiff continued to have unchanged interscapular pain. The lower back pain and leg pain continued with some improvement in overall level of pain to the pain that she experienced following her first surgery. The plaintiff was taking narcotic pain medication and psychiatric medications. Because it had not been ascertained whether fusion had yet occurred, Dr. McKenzie said that the plaintiff was approaching maximum improvement. He stated that the prognosis for the plaintiff resolving back to her pre-asymptomatic state was "essentially zero". She had become deconditioned. Diet and fitness counselling was encouraged. The ongoing disabilities had reasonably meant that the plaintiff could not work. She had difficulty with house and yard work and with recreational activities, consistent with her diagnosis and the doctor's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Filbey, a physiatrist qualified in physical medicine and rehabilitation, examined the plaintiff on April 16, 2012 and on October 6, 2015. He reviewed all of available medical records. His reports of April 16, 2012 and December 2, 2015 were admitted into evidence and he also testified at trial. Dr. Filbey diagnosed the plaintiff in April 2012 with facial trauma with residual focal symptoms and headache, low back pain with right S1 radiculapathy post status microdiscectomy with recurrent symptoms and neurocognitive symptoms secondary to chronic pain and altered sleep pattern. He found the plaintiff's pattern of work following the accident to be consistent with her pathology and treatment response. The ultimate prognosis with work remained dependent upon future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Filbey's second report of December 2, 2015 is very thorough. He had examined the plaintiff on October 6, 2015 and extensively reviewed all of her medical records. His opinion remained the same with respect to diagnosis. He considered the prospect of the plaintiff ever returning to work to be poor. He commented that the plaintiff was restricted in her recreational activities and required assistance for heavier cleaning and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Derek Nordin, a vocational evaluator and rehabilitation vocational consultant, assessed the plaintiff in May 2012 to form an opinion about the effect of the plaintiff's injuries upon her ability to work. At the time of testing in 2012, the plaintiff was taking narcotic medication for pain and muscle relaxants, a factor that Mr. Nordin said could affect her ability with certain aptitudes. In his first report of June 18, 2012, Mr. Nordin formed the opinion that the plaintiff was physically incapable of continuing work as a first aid attendant, of joining the RCMP, or even returning to her previous work as a cook or working in a meat plant. Without improvement in her symptoms, he could not identify a realistic vocational opportunity for the plaintiff. She was not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Nordin re-evaluated his opinion following receipt of the functional capacity evaluation prepared by Min Trevor Kyi in October 2015. He also interviewed the plaintiff by phone twice. He knew in February 2016 that the plaintiff had applied for work as a riding instructor for children with disabilities. He was updated on her surgeries since 2012. He considered that the plaintiff had the intellectual ability for office work but lacked training. Mr. Nordin concluded that the plaintiff had some potential to re-enter the workforce at minimum wage level but accessing employment would still be difficult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Min Trevor Kyi is an expert in functional capacity evaluation and occupational therapy. He assessed the plaintiff on October 8, 2015 and prepared his lengthy, detailed report on October 19, 2015. The plaintiff was put through a number of physical tests to determine her overall and specific employability. Mr. Kyi found the plaintiff to no longer be physically suited to her pre-injury work as a paramedic or as a cook or as a meat packager. She could not hope to become a police officer. Although she could perform the work of a coroner, it would have to be part time. She could no longer perform the work required on a typical hobby farm but could manage her own farm with hired services and limited care of animals. Mr. Kyi concluded that the plaintiff was physically generally employable but with the following physical caveats: she was limited to part-time work and she would need a supportive employer who would realize that she would need to take days off due to symptoms and be able to change positions regularly. He recommended that the plaintiff maintain a regular exercise programme and receive assistance from a physical therapist, nutritionist, and personal trainer. He also recommended certain ergonomic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third party raised issues with respect to the credibility of the plaintiff but also said that credibility was not essentially in issue because the third party relented on the invisibility of the injuries sustained by the plaintiff and on causation. However, the plaintiff's credibility should be commented upon. Generally, her evidence is accepted with the realization that time warps memory and those even well intentioned souls sometimes interpret events in their favour. Given the detail in medical reports, it is accepted that the plaintiff has worked hard to recover from her injuries and tends not to focus on her emotions or disability unless specifically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a significant period when the plaintiff was not taking treatment or seeing a doctor. During this time, the plaintiff experienced discomfort and pain which she pushed through in the interests of maintaining her business. The third party was critical of the plaintiff's recollection of taking the medication Aleve in replacement for Naproxen and indeed, her recollection is most probably flawed. However, it is accepted that the plaintiff continued to experience pain and that she took some over the counter medication, although perhaps not what she remembered.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also took issue with the plaintiff's testimony that she returned to work in early June 2008. Discovery and affidavit evidence suggested that she was off work for two weeks, the period designated by the initial emergency room and clinic doctor. The plaintiff explained the discrepancy by saying that she had not referred to her work journals at those times. Statements to medical experts by the plaintiff also suggested that she was off work longer. However, these statements were just after her second back surgery in 2013 when she suffered a leak and was taking narcotic medications. Her husband recollected that the plaintiff returned to work in June and her first job back at work as reported in her journal was in June. In these circumstances, this Court does not consider these inconsistencies as undermining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third party also took issue with the plaintiff's recollection of her symptoms in the period from June 2008 to August 2009 when she was diagnosed with a disc protrusion. The third party stated that "it defies common sense for this Court to conclude that Ms. Shultz was displaying any limitations of any kind while at work" and said that it was "pure fabrication" that the plaintiff was limited in any way when she returned to work. These matters have already been dealt with in considering the evidence of injuries sustained and past work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is no doubt whatsoever that the accident of April 20, 2008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Shears. He drove into the rear of the plaintiff's truck at tremendously high speed, causing severe damage to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third party denied liability at the outset of trial. As a result, the plaintiff was required to call Officer Josefsson to provide details of the accident. This should not have been necessary because the details of the accident would have been known to the third party and had been the subject of criminal investigation and trial. No defence was suggested. When asked by this Court why liability had not been admitted, the third party explained that without a finding of liability by the court, the third party could not pursue Shears for indemnity. No authority was given for this explanation and it remains dubious.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healthy and without any symptomology prior to the accident. There is no evidence of other accidents or injurious events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McKenzie stated in his first report that the plaintiff incurred a disc protrusion at L5/S1 in the motor vehicle accident of April 2008. He stated that the cause of her ongoing problems was that accident. In his third report of October 4, 2015, the doctor was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as a result of the motor vehicle accident she had a disc protrusion at L5-S1. In my opinion the motor vehicle accident is the cause of that disc protrusion. In my opinion the three surgeries that she has had and her residual pain complaints in the lower back and right leg are directly as a result of her motor vehicle accident of April 20, 2008. In my opinion were it not for the motor vehicle accident of April 20, 2008 she would not have required the surgeries and would not be having the residual pain that she is having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attributed the residual interscapular pain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McKenzie said in cross-examination that the plaintiff was one of the five to ten percent of patients with disc problems who never recover. He said that her history and records plus the mechanism of the injury show structural damage done in the accident creating a compromised structure. It was not probable that an intervening event caused the disc protrusion. The disc was damaged in the accident and something quite innocuous could have caused the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Filbey said in his first report that the facial symptoms and headache, lumbar spine pain and lumbar S1 radiculopathy and neurocognitive symptoms were due to the motor vehicle accident. He said that the surgery was a direct result of the accident. The recurrent disc protrusion that occurred in February 2012 would not have occurred but for the accident. His opinion remained unchanged in his report of 2015 and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Filbey testified that a disc protrusion would rarely occur without an inciting event. He acknowledged that it was possible for some patients to have no symptoms in the first few months. However, the plaintiff's report to therapists of early radiculopathy was important to Dr. Filbey because it related to the history that he was given and to what he observed in the plaintiff. He stated that it was not uncommon to have intermittent episodes of back pain, to continue much as before, and to have no medical or other treatment for periods of time. However, this did not mean that the issue was resolved because the disc injury carried an irreversible vulnerability and lumbar issues changed over time. As described by the plaintiff, a patient could modify her activities and her life but this did not mean that a disc protrusion might not occur. The motor vehicle accident fit the clinical picture and symptoms that followed. Dr. Filbey said that the motor vehicle accident was more likely than not the cause of the injuries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Oluyede stated that the plaintiff's ongoing post traumatic stress disorder and major depressive disorder were directly due to the motor vehicle accident. Her opinion withstood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third party conceded in argument that based upon the evidence at trial and if the court accepted that the plaintiff complained of low back and leg pain to therapists following the accident, causation for the disc injury had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accepted that the motor vehicle accident of April 2008 caused the plaintiff interscapular pain that still subsists. The major injury suffered was to her disc at the L5/S1 level that eventually protruded, requiring three surgeries including a spinal fusion. The accident also caused the plaintiff to suffer and continue to suffer from post traumatic stress disorder and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suffered significant injuries in the motor vehicle accident of April 20, 2008 and has had a very difficult time since then. She was only 26 years old when the accident happened and was confident and full of expectation for life. She is presently 34 years old and faces an uncertain occupational future with some degree of pain and decreased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Specifically, the plaintiff's injuries were facial bruising and contusion with continuing occasional pain and headaches, interscapular soft tissue injury with continuing intermittent pain, and disc protrusion at L5-S1 resulting in continuing pain that is intense at times and three surgeries with attendant difficulty. She has post traumatic stress disorder and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pain from the disc protrusion has been excruciating at times and resulted in a narcotic medication dependency that has only recently been overcome. The plaintiff has been severely functionally disabled for long periods of time but has recently enjoyed a period of improvement following a third surgery that fused her spine, although the completion of fusion has not been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reasonable expectation of a recovery from the plaintiff's present functional limitations. Her prognosis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has suffered emotionally to the degree of diagnosed disorders. She had previously been a determined and enthusiastic person but fell into a quagmire of anger, sadness, and dysfunction. She is unable to carry on with most of her previous activities and has had to completely readjust her life. She maintains an interest and love of horses, but not at the level that she previously enjoyed. Regardless of her losses, the plaintiff's indomitable spirit has helped her to look to the future with new plans involving lesser expectations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has been unable to resume her typical recreational pursuits and has been hampered in the performance and timing of household tasks, particularly heavier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never a case that exactly fits the plaintiff's situation. The plaintiff presented cases involving a disc herniation with a single or no surgery in which the range of award for non-pecuniary damage was $125,000 to $175,000 (</w:t>
      </w:r>
      <w:r>
        <w:rPr>
          <w:rFonts w:ascii="arial" w:eastAsia="arial" w:hAnsi="arial" w:cs="arial"/>
          <w:i/>
          <w:color w:val="000000"/>
          <w:sz w:val="20"/>
          <w:lang w:val="en-US" w:eastAsia="en-US" w:bidi="ar-SA"/>
        </w:rPr>
        <w:t>Reilander v. Campbell</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2011 BCSC 1848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Bains v. Brar</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2013 BCSC 1828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Sartori v. Gates</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2011 BCSC 419</w:t>
        </w:r>
      </w:hyperlink>
      <w:r>
        <w:rPr>
          <w:rFonts w:ascii="arial" w:eastAsia="arial" w:hAnsi="arial" w:cs="arial"/>
          <w:color w:val="000000"/>
          <w:sz w:val="20"/>
          <w:lang w:val="en-US" w:eastAsia="en-US" w:bidi="ar-SA"/>
        </w:rPr>
        <w:t>). The defendant suggested an award of $170,000 and the plaintiff asked for $150,000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Given the very serious nature of the plaintiff's physical injuries with the requirement for three surgeries with resultant permanent disability and given the diagnosed and continuing psychological damage, an award of $200,000 for non-pecuniary damage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parties took different approaches to calculation of past wage loss. The documents filed, namely income tax returns and financial statements for HCS Industries Ltd., were irreconcilable with each other. In the end, both parties used the financial statements as the basis for the necessary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engaged in an exercise of determination of likely daily revenues minus fixed expenses to estimate a range for daily profit and then multiplied this times the number of days lost from work due to injuries sustained in the accident for the period from April 20, 2008 to the date of trial. The formula used by the plaintiff wasn't exactly clear, especially as it related to calculation of likely number of days expected to work versus number of days actually worked. The plaintiff then took an absolute approach to days lost, assuming that any day lost was due to injuries sustained in the accident. The plaintiff dissected the expenses from HCS Industries Ltd. financial statements for each year and then subtracted these from the daily profits using a variable rate that was inadequately explained. In short, the plaintiff expected this Court to engage in an actuarial or accountant's exercise, without the skill and assistance of such a person. In the end, the plaintiff suggested a range of award between $236,270 and $375,892.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approach of the third party was to use HCS Industries Ltd. financial statements for each year to calculate profitability and to then use the plaintiff's most profitable year, 2008-2009, to estimate loss for each year as compared to the plaintiff's best year. The comparator was an income of $87,900 which was better than any income declared in any tax year for the plaintiff that was in evidence except for the best year of 2009 when the plaintiff reported a total income of $113,000. That reported income dropped to $45,200 in 2010, reflecting more the fiscal year of HCS Industries Ltd. In the end, the use of $87,900 as the comparator year was both fair and reasonable. Based upon this approach, the third party estimated past wage loss at $341,300 which was within the range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the past wage loss for the plaintiff must be determined based upon hypothetical events because she was eventually not able to return to her business as a first aid attendant. She spent her best year of 2008-2009 working, but in pain and difficulty such that she could have been expected to perform even better without implication from injury. The plaintiff was young and highly skilled and motivated when the accident occurred. Despite her best efforts, there is no doubt that the injuries sustained in the accident continued to bother the plaintiff after she returned to work in June 2008 such that she preferred not to work on occasion or took closer work to accommodate her difficulty driving. This creates a positive contingency that was not factored by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approach to calculation of past wage loss taken by the third party is preferable because it is based upon the financial statements for HCS Industries Ltd. with its actual calculation of profitability performed for the company by its accountant and accepted by the plaintiff. In the initial period post motor vehicle accident to June 2008, the plaintiff lost the Tunke work which was evaluated at $8,538.40. From this would have been deducted expenses. The financial statements for the company with a fiscal year ending as at July 31, 2008 do not assist for this period of time. Accordingly, the estimate of lost profit of $7,500 for this initial period is a reasonable estimate that coincides with the plaintiff's calculation of proportionate expense. The balance of loss, based upon comparison with the best year income of $87,900, is $14,000 for fiscal 2010, $82,800 for fiscal 2011, $94,000 for fiscal year 2012, and $143,000 for fiscal year 2013 to trial. The total past wage loss is $341,300, absent the positive factor for an even better year in 2008-2009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consideration that the plaintiff's best year would most probably have been even better absent the accident, an overall award for past wage loss in the amount of $375,000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evidence of the plaintiff, Drs. McKenzie, Oluyede, and Filbey, Mr. Nordin, and Mr. Kyi clearly establish that there is a real and substantial possibility that the injuries and continuing disabilities of the plaintiff will cause her to lose income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the time of the accident, the plaintiff was extremely motivated to perform well in her business and had developed the reputation to do so. It is entirely likely that the plaintiff would have succeeded in her business in the provision of first aid to the oil and gas industry and to construction generally in the north and would have eventually moved into a management position in her company according to her plan. At the present time, the plaintiff has not worked since February 2012. However, she is feeling somewhat better now and is optimistic and realistic about her future. She has sought employment which the experts agree would be suitable for her. She has not yet obtained a position and not yet undergone a trial of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McKenzie's last report of October 4, 2015, he said that the plaintiff would have a significant limitation in her future employment opportunities in the long term. His conviction that there would be restrictions in her employment opportunities in the general labour market were confirmed by Mr. Kyi. Overall, the doctor thought that, given the length of time that the plaintiff had been off work and despite her determination to return to some form of work, the chance of the plaintiff returning to work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Filbey expressed a more positive outlook in his report of December 2015 but he was in possession of Mr. Kyi's report. The doctor stated that the plaintiff was best suited for casual to part-time employment that allows for frequent posture and position change in order to reduce her symptom burden. He did not think that she could tolerate regular employment and was best suited to light and sedentary work. He could not rule out that she might never be able to return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Oluyede did not consider that the plaintiff was employable unless she had continuing psychological and psychiatric treatment to help ameliorate her symptoms. The plaintiff does continue to see a psychiatrist in Quesnel and is committed to therapy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Kyi found that the plaintiff was incapable of working in any of her previous occupations. Her capacity is to work generally light, minimum paying jobs on a part-time basis. The maximum tolerable work week would be 25 hours at present and into the immediate future with a slight chance of being able to work close to full time eventually. While Mr. Nordin generally agreed with this assessment, he was more skeptical and could only say that there was "potential" for the plaintiff to re-enter the workforce at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Assessment of future loss of earning capacity is always difficult because so many variables come into play. It has been made more difficult in this case because neither party assisted the Court with actuarial evidence. It is good to refer back to fundamentals of case law as presented by counsel and which were well summarized by Madam Justice Dardi in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xml:space="preserve"> at paras. 87-90: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The legal principle that governs this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It emerges from the recent jurisprudence of the Court of Appeal that the plaintiff must demonstrate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271 (C.A.). Regardless of the approach, the court must endeavour to quantify the financial harm accruing to the plaintiff over the course of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Factors to consider in the assessment of the value of the lost capital asset include: whether the plaintiff has been rendered less capable overall from earning income from all types of employment; is less marketable or attractive as an employee to potential employers;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and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As recently reviewed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the other principles which inform the assessment of loss of earning capacity include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compensation for real and substantial possibilities of loss, which are to be quantified by estimating the chance of the loss occurring. 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63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41.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 Relevant contingencies can include such things as the potential for improvements in health, opportunities for advancement, decline in the economy and loss of employment, as well as the usual chances and hazards of life: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228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assessment is based on the evidence taking into account all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approach was also summarized by Savage J. (as he then was)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has established that there are now occupations for which she was previously well suited and capable that are now closed to her. She has also established that there is a possibility of her returning to part-time work in a job requiring light or limited strength, most likely paying minimum wage in her community. The plaintiff, having established that there is a real and substantial possibility of future disability leading to an income loss, must then quantify her loss. Both parties have encouraged this Court to take a capital asset approach. This is appropriate here because the quantification is not easily measurable on an earnings basis, although past loss of earnings does inform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third party argued that the plaintiff could work part-time at $20 to $25 per hour, making about $25,000 per year. Then, income from the plaintiff's proposed horse breeding business would bring her up to pre-accident earnings within a year or two. This is just so speculative as to be nonsense. There was no evidence as to what a horse breeder could make and no substantive evidence that the plaintiff was so qualified except for her own love of horses. The prospect of the plaintiff working regular part-time immediately at the rate suggested by the third party is slim. The third party also argued without evidence that job opportunities for first aid attendants had dropped along with pay rates such that the plaintiff would probably not be earning more than $25,000 as a first aid attendant in any event. There was then the suggestion, not put to the plaintiff, that she would likely then have "decided to cut her losses and move onto something else". In the alternative, the third party suggested annualized losses in the $20,000 to $30,000 range to age 65 which, given discount factors, would result in loss of earning capacity in the range of $300,000 to $450,000. No formula was given for this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plaintiff argued that the plaintiff would most likely have worked as a first aid attendant to retirement if the accident had not occurred. This is certainly a real possibility with the additional likelihood that the plaintiff would have advanced her skills and her reputation in the business. The plaintiff suggested that the plaintiff would have earned between $50,700 to $80,700 per year. This is less than the $87,900 per year projected by the third party for past wage loss. Against this is the real possibility that the plaintiff will return to part-time employment. The potential job as a riding instructor would earn the plaintiff only $3,360 per year. The plaintiff agreed that a more regular part-time job could earn the plaintiff as much as $26,000 per year. This left the range of possible annual income loss between $25,000 and $80,700. The plaintiff would then apply the discount table from Appendix E of the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xml:space="preserve"> as was done in </w:t>
      </w:r>
      <w:r>
        <w:rPr>
          <w:rFonts w:ascii="arial" w:eastAsia="arial" w:hAnsi="arial" w:cs="arial"/>
          <w:i/>
          <w:color w:val="000000"/>
          <w:sz w:val="20"/>
          <w:lang w:val="en-US" w:eastAsia="en-US" w:bidi="ar-SA"/>
        </w:rPr>
        <w:t>Erickson v. Bowie</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2007 BCSC 1465</w:t>
        </w:r>
      </w:hyperlink>
      <w:r>
        <w:rPr>
          <w:rFonts w:ascii="arial" w:eastAsia="arial" w:hAnsi="arial" w:cs="arial"/>
          <w:color w:val="000000"/>
          <w:sz w:val="20"/>
          <w:lang w:val="en-US" w:eastAsia="en-US" w:bidi="ar-SA"/>
        </w:rPr>
        <w:t xml:space="preserve"> at para. 5, a case provided by the third party, to come to a range from $593,500 to $1,940,700 for future income loss to retirement at age 65. This discount rate is set by the Chief Justice pursuant to s. 56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BC Reg 74/2014</w:t>
      </w:r>
      <w:r>
        <w:rPr>
          <w:rFonts w:ascii="arial" w:eastAsia="arial" w:hAnsi="arial" w:cs="arial"/>
          <w:color w:val="000000"/>
          <w:sz w:val="20"/>
          <w:lang w:val="en-US" w:eastAsia="en-US" w:bidi="ar-SA"/>
        </w:rPr>
        <w:t>. Ultimately, the plaintiff sought an award in the range of $1,500,000 to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consideration of all of the factors here and without mathematical precision, I have concluded that the plaintiff would likely have made about $80,000 per year in her first aid business and would have worked in this business as long as she could to retirement at age 65. She is driven to work now but faces significant obstacles that restrict the likelihood of her maintaining regular part-time employment at a rate of about $25,000 per year into the future. Assessing this loss as best as possible considering both positive and negative contingencies, and taking into account the discount factor without expert assistance, an award of $1,400,000 for loss of future earning capacity is appropriate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Damages for the cost of future care require an objective prediction into the future medical and other compensatory needs of the plaintiff based upon evidence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Fontaine v. Van Kampen</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2013 BCSC 1702</w:t>
        </w:r>
      </w:hyperlink>
      <w:r>
        <w:rPr>
          <w:rFonts w:ascii="arial" w:eastAsia="arial" w:hAnsi="arial" w:cs="arial"/>
          <w:color w:val="000000"/>
          <w:sz w:val="20"/>
          <w:lang w:val="en-US" w:eastAsia="en-US" w:bidi="ar-SA"/>
        </w:rPr>
        <w:t xml:space="preserve"> at paras. 155-157). Items or services must be justified through recommendations of medical doctors or other health care professionals and an evidentiary link between medical assessments and the recommended treatment or service is essential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Drs. McKenzie and Filbey, as well as Mr. Kyi, recommended that the plaintiff should have a gym membership and work with a physical therapist, personal trainer, and dietician. The costs for these services and memberships were set out in Mr. Kyi's report at page 41. The third party took issue with the costs of a gym membership, suggesting that the cost would be lower in Quesnel. Mr. Kyi gave a range for costs of gym membership between $340-$600 annually. The plaintiff used the average of these costs, a reasonable basis in the absence of evidence as to costs in Quesnel that either side could have produced. The recommendation for a personal trainer was for one year at a cost of $720.00. The total for future care costs for these services is $12,862.46.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the time that Shultz attended upon Dr. Filbey in October 2015, she was receiving massage therapy twice monthly. Dr. Filbey stated that this treatment was medically reasonable given the complexity and multifactorial nature of the plaintiff's symptoms. Although he expected that the plaintiff would transition away from passive therapies, access to such care for acute or chronic exacerbations was appropriate over the long run. The rate that the plaintiff was paying for massage was listed in Exhibit 7, the book of special damages, at $120 per hour. The plaintiff projected this as an annual cost over 10 years to be $20,477.76. This amount is justifiable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Both Dr. Oluyede and Dr. Filbey recommended continuing psychiatric care. Dr. Oluyede recommended between 16 to 32 sessions of a specific psychotherapy that would cost between $160 and $350 per session. The plaintiff averaged out this one time cost at $4,080.00 and this is both justifiable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Kyi recommended that the plaintiff obtain certain ergonomic devices which were particularized at pages 41-43 of his report. All of those devices are justifiable. The total for these items is $3,363.33.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claimed for the continuing cost of prescription medicine that she is presently taking. The third party was opposed to these costs and said that there was no medical evidence to support them. However, Dr. McKenzie recommended that the plaintiff obtain over the counter pain medication and a trial of neuropathic pain medication. Dr. Filbey listed the medications that the plaintiff was taking as at October 2015 and said that these were medically reasonable with the exception of narcotic medications which he thought that the plaintiff should wean herself from, something that she has successfully done since. Neither doctor suggested how long the plaintiff might have to take these drugs: however, the projection of the plaintiff of her taking these medications to age 65 is unreasonable on the basis of what the doctors have said. Accordingly, based mostly upon the report of Dr. Filbey, it appears that the plaintiff will continue to take Baclofen, Celebrex, and Cymbalta for at least a year. Any prescriptive recommendation beyond that would require more specific medical evidence. Based upon the costs of these medications as set out in Exhibit 7 for one year, an award of $3,134.62 is justifiable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total cost of future care is $43,918.17.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has claimed for impairment of housekeeping capacity. The plaintiff projected costs for housekeeping based upon the claim for housekeeping services as special damages and projected a monthly service to age 65. The third party maintains that there is no evidence regarding this and no basis upon which this Court should award anything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claim for special damages for housekeeping services is not opposed. The plaintiff will be compensated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Filbey said that the plaintiff would need assistance for heavier cleaning and household tasks to reduce her overall symptom burden. Dr. McKenzie noted that the plaintiff's symptoms were having an effect on her housework and yard work. While she did the work, it aggravated her symptoms. The report of Mr. Kyi supports a conclusion that the plaintiff would benefit from assistance with heavier work. The plaintiff's husband testified that he now does all of the heavy lifting around the house but that otherwise the housework is shared within the household that includes a teenage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decision on non-pecuniary damages above and the award that was given incorporated an assessment of the plaintiff's limited ability to perform housework. It was given in appreciation that other members of the family helped out when they might otherwise have not. This is a legitimate approach to compensation for loss of housekeeping capacity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paras. 63-70 and 73). Accordingly, no further segregation of pecuniary damage for loss of housekeeping capacity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parties mostly agreed on an allowance for special damages. The third party opposed the cost of a mattress and the plaintiff conceded this point. This left the main contention to be costs associated with the plaintiff's parents accompanying her out of province to Edmonton and back for three surgeries. These were costs for airfare and hotel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testified that her mother came to Edmonton to assist her during her hospitalization and to accompany her home afterwards. Her mother helped with "womanly assistance", packing and luggage, and daily chores. Her father also came to her home to help out after the surgeries. The plaintiff found their presence emotionally beneficial. The plaintiff's husband worked out in the old fields and was often away for days, especially after the parties moved to Quesnel. When the plaintiff travelled for these surgeries, she was often in great pain and would have needed help. It is not unreasonable that the plaintiff should have had someone with her for these major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expense of the plaintiff's parents accompanying her for her surgeries and assisting afterwards were reasonable expenses and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calculation of special damages is reduced by the cost of the mattress which was $1,565.76. Special damages are awarded in the amount of $50,376.15.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has been successful and is awarded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 Shears, is liable for the accident of April 20, 2008 which caused injury and suffering to the plaintiff. The plaintiff is awarded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$43,918.17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$50,376.15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$2,069,294.32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3"/>
          <w:headerReference w:type="default" r:id="rId1094"/>
          <w:footerReference w:type="even" r:id="rId1095"/>
          <w:footerReference w:type="default" r:id="rId1096"/>
          <w:headerReference w:type="first" r:id="rId1097"/>
          <w:footerReference w:type="first" r:id="rId10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9" w:history="1">
        <w:r>
          <w:rPr>
            <w:rFonts w:ascii="arial" w:eastAsia="arial" w:hAnsi="arial" w:cs="arial"/>
            <w:b/>
            <w:bCs/>
            <w:i/>
            <w:color w:val="0077CC"/>
            <w:kern w:val="32"/>
            <w:sz w:val="28"/>
            <w:szCs w:val="32"/>
            <w:u w:val="single"/>
            <w:shd w:val="clear" w:color="auto" w:fill="FFFFFF"/>
            <w:lang w:val="en-US" w:eastAsia="en-US" w:bidi="ar-SA"/>
          </w:rPr>
          <w:t>Zhang v. Law, [2009] B.C.J. No. 1468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27-30, May 1, 4-8, 11, June 22-26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M061981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179 A.C.W.S. (3d) 1109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Candy Hong Zhang, Plaintiff, and Wang K. Law and Tak C. Yung, also known as Tak Chi Yung,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9" w:name="Keywords_44"/>
      <w:bookmarkEnd w:id="409"/>
      <w:r>
        <w:rPr>
          <w:rFonts w:ascii="arial" w:eastAsia="arial" w:hAnsi="arial" w:cs="arial"/>
          <w:b/>
          <w:color w:val="000000"/>
          <w:sz w:val="20"/>
          <w:lang w:val="en-US" w:eastAsia="en-US" w:bidi="ar-SA"/>
        </w:rPr>
        <w:t>Damages — Physical and psychological injuries — Physical injuries — Head injuries — Brain damage — Psychological injuries — Depression — Considerations impacting award — Miscellaneous — Action by plaintiff for damages for injuries suffered in motor vehicle accident allowed — Plaintiff continued to suffer depressive symptoms, pain, fatigue, and cognitive impairment caused by mild traumatic brain injury — Remote chance of any significant improvement in plaintiff's condition — Although accident necessary cause of depression, realistic chance plaintiff would have suffered major depression in any event — Taking into account impact of injuries on plaintiff's life and realistic chance would have suffered depression in any event, plaintiff awarded total of $536,234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 of damages — Categories of — Loss of income — For personal injuries — Cost of future care — Loss of earning capacity — Loss of housekeeping ability — Special damages — Expenses and expenditures — Non-pecuniary loss — Action by plaintiff for damages for injuries suffered in motor vehicle accident allowed — Plaintiff continued to suffer depressive symptoms, pain, fatigue, and cognitive impairment caused by mild traumatic brain injury — Taking into account impact of injuries on plaintiff's life and realistic chance would have suffered depression in any event, appropriate award $125,000 for non-pecuniary damages, $60,000 for loss of past earning capacity, $300,000 for loss of future earning capacity, $50,000 for cost of future care and loss of homemaking capacity and $1,234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Intervening causes — Action by plaintiff for damages for injuries suffered in motor vehicle accident allowed — Plaintiff continued to suffer depressive symptoms, pain, fatigue, and cognitive impairment caused by mild traumatic brain injury — Remote chance of any significant improvement in plaintiff's condition — Although accident necessary cause of depression, realistic chance plaintiff would have suffered major depression in any event — Taking into account impact of injuries on plaintiff's life and realistic chance would have suffered depression in any event, plaintiff awarded total of $536,234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0" w:name="Case Summary_42"/>
            <w:bookmarkEnd w:id="4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In March 2001, the plaintiff was sitting in the front passenger seat of a small cargo van when an oncoming vehicle, operated by the defendant, crossed the centre line and stuck the vehicle, causing it to collide with a utility pole. The plaintiff's head hit the passenger window when the van struck the utility pole and she lost consciousness. She was treated at hospital and released later the same day. After the accident, the plaintiff suffered pain in her head, right side, shoulder and back and experienced dizziness, nausea, tinnitus and frequent headaches. In addition, an MRI undertaken in December 2007 indicated a large number of lesions in the plaintiff's brain. Prior to the accident, the plaintiff had no injuries or health problems of any material nature. She assisted her husband in a building maintenance and janitorial business and later in the operation of a grocery store business. She also had an active social life which included dancing and socializing with friends. Following the accident, the plaintiff remained at home for two to four weeks, although she occasionally went to the grocery store owned by her and her husband to assist with training of staff that had been hired to assist in her absence. After four weeks the plaintiff returned to the grocery store were she continued her duties as cashier, but was unable to stock shelves or lift heavy items. She also experienced difficulty in remembering the prices of items and had to take numerous breaks throughout the day. She also became very irritable, impatient and grouchy. Shortly after the accident, the plaintiff learned that her husband suffered from a serious heart problem. In November 2001, the plaintiff became pregnant. She developed serious complications during her pregnancy including pre-eclampsia, gestational diabetes and hypertension and at 33 weeks she delivered a still-born child by caesarean section. Following the loss of her baby, the plaintiff was diagnosed with a serious depressive condition and, although she improved somewhat, she continued to suffer from significant depressive symptoms. After the plaintiff's grocery store business failed, she opened an organic meat and produced store which also failed and then took employment at a grocery store. Because of her husband's ill health, she increased her hours at the grocery store, but was unsure how long she could continue to work increased hours due to pain in her neck, shoulder and back and her difficulty in coping with some of the demands made on her by customers.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1" w:name="Holdings of Court_37"/>
            <w:bookmarkEnd w:id="41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a mild traumatic brain injury as a result of the accident, which was a cause of the cognitive problems experienced by her following the accident. The plaintiff's depression was caused by a combination of the motor vehicle accident and the injuries suffered by her, the loss of her child and learning that her husband suffered from a life threatening heart condition. The depression was an indivisible injury and the injuries suffered in the motor vehicle accident were a necessary contributing cause of the depression. The change of any significant improvement in the plaintiff's condition was remote. Although the accident was a necessary cause of the plaintiff's depression, there was a realistic chance that the plaintiff would have suffered a major depression in any event. Taking into account the impact of the plaintiff's injuries on her life and the realistic chance that the plaintiff would have suffered depression in any event, appropriate award was $125,000 for non-pecuniary damages, $60,000 for loss of past earning capacity, $300,000 for loss of future earning capacity, $50,000 for cost of future care and loss of homemaking capacity and $1,234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2" w:name="Counsel_46"/>
      <w:bookmarkEnd w:id="4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Brown, M.P. Maryn.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J.Z. Murray, R.D. Shaw.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3" w:name="Judgment_46"/>
      <w:bookmarkEnd w:id="413"/>
      <w:r>
        <w:pict>
          <v:line id="_x0000_s1253"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4" w:name="R.J. SEWELL J."/>
            <w:bookmarkEnd w:id="414"/>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When sorrows come, they come not single spies but in battalions. Hamlet, Act IV, Scene V</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March 4, 2001, the plaintiff, Candy Hong Zhang ("Ms. Zhang"), was injured in a motor vehicle accident in Burnaby, British Columbia. In the eight years following that accident she has suffered more misfortune than many people do in a lifetime. My task is to determine what part of Ms. Zhang's afflictions have been caused the injuries she suffered in that accident and what part have been caused by events for which the defendants are not responsible. The defendants have admitted that they are wholly at fault for the accident and the injuries which Ms. Zhang suffered in the accident. They say, however, that the major portion of the loss and damage that Ms. Zhang has suffered was not the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Zhang was born in Shanghai, China, in 1964. She immigrated to Canada in 1991 to join her husband, Mr. Chen. Mr. Chen and Ms. Zhang met while they were students in Shanghai. Mr. Chen was a supporter of the student protest movement in China in 1989. He came to Canada as a political refugee and Ms. Zhang joined him as soon as she was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case Ms. Zhang claims that the motor vehicle accident and the injuries she suffered as a result of that accident have had a devastating effect on her life. It is therefore necessary to consider the evidence of Ms. Zhang's physical and cognitive capabilities prior to the accident. Before doing so, however, I must address the question of Ms. Zhang's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one task in common with that of each of the doctors who have given evidence before me. That is, I must assess the credibility and reliability of the evidence of Ms. Zhang and Mr. Chen. That is so because my assessment of Ms. Zhang's condition must be based primarily on the evidence of her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hearing lengthy evidence from both Ms. Zhang and Mr. Chen, I have concluded that the evidence which they gave before me is credible and reliable. I did not detect any material degree of exaggeration or over-statement in their evidence. My impression of both of them is that they were doing their best to relate their evidence in an honest and straightforward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Zhang was cross examined in particular with respect to two matters touching on her credibility. The first concerned certain statements which she made on her application for employment with Safeway in 2006. Ms. Zhang admitted in cross examination that she had misrepresented her medical condition on her application forms. Specifically, she stated on those forms that she was not a person with a disability, that is, that she had no impairment which would have disadvantaged her in her in her employment or which would cause an employer to consider her to be disadvantaged in her employment. In another form provided to Safeway, Ms. Zhang answered no to the following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have any illness, disability or physical limitation which could prevent you from regularly lifting or carrying 9 kilograms.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have any illness, disability or physical limitation which could impede your performance in the position you are applying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have any illness, disability or physical limitation which could prevent you from doing work of a repetitive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Zhang admitted that she had lied in answer to the first question above. With respect to the last three questions she admitted that she had failed to disclose her condition to Safeway. Her explanation for so doing was that she had previously disclosed her condition to Safeway in a job fare at Oakridge and had been told she was not being offered a job. She testified that she was sure she could not get the job with Safeway if she disclosed her condition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I in no way condone this conduct by Ms. Zhang, it does not persuade me that I cannot rely on the evidence she has given before me. She frankly admitted the misstatement on the application forms. At the time of the application Ms. Zhang was desperate to find suitable employment. In fact she has carried out her duties at Safeway without accommodation. I do not think I can conclude that her credibility before me has been impugned to the extent that I should not accept her evidence because of the answers she gave on the employment application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Zhang was also extensively cross examined as to whether she had tape recorded her interview with Dr. Derryck Smith in an independent medical examination arranged by the defendants. She stated that she could not recall. While that is not something that one should forget, I have concluded that was an honest answer. The tape recording in question was done at the request of her counsel. It should be noted that the tape recording was made before the Court of Appeal decided that it was improper to do so. The existence of the tape recording was disclosed on the plaintiff's list of documents. My impression of her evidence on this point is that she was having difficulty in recalling the circumstances of her interview with Dr. Smith, which took place in September 2005. Ms. Zhang has seen many doctors in the past 4 to 5 years in connection with her injuries. In her evidence she acknowledged that she had met with a doctor at ICBC's request but could specifically recall Dr. Smith. My recollection is that the questions put to her were specific to taping the interview with Dr. Smith. While I have some reservations about her evidence in this regard I do not think that it should lead me to question her evidence in general. I accept that she genuinely could not recall making the tape recording at Dr. Smith's office. It is clear that no effort was made to hide the existence of the tape recording and I do not think that Ms. Zhang would have deliberately misstated her recollection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Zhang and Mr. Chen met when they were both members of a student association in Shanghai in the late 1980s. Both Mr. Chen and Ms. Zhang state that Ms. Zhang was a very good student and the recipient of a number of scholarships in China. She was also appointed to the executive of the Shanghai Students' Association. Both Ms. Zhang and Mr. Chen testified that this appointment was an indication that Ms. Zhang was highly regarded by the officials in charge of the educational system in Shanghai. Ms. Zhang completed a course in financial accounting and was hired to work for what she describes as the China Bank, in 1987. Mr. Chen also worked briefly for the Bank of China as a financial specialist. While in China, both Mr. Chen and Ms. Zhang studied English as a second language. Ms. Zhang's plan was to improve her English language skills to the point where she could hope to obtain employment with one of the foreign banks, which were at that time being allowed to establish offices in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couple married in October of 1989. Their lives and the lives of many others were changed dramatically by the events in China in the late 1980s. Mr. Chen became involved in assisting with the financing of the students protest movement, which culminated in the Tiananmen Square incident. In October 1989, he was forced to leave China and come to Canada as a political refugee. As soon as he was able, he sponsored Ms. Zhang to come to Canada and she immigrated and arrived here in December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Mr. Chen first came to Canada, he worked as an assistant cook and as a janitor and building maintenance person. Ms. Zhang assisted Mr. Chen with his building maintenance and janitorial business when she joined him. They were responsible for the cleaning of a 7-storey office building. Both Ms. Zhang and Mr. Chen worked full weekly shifts as janitorial workers between 5:30 p.m. and 12:30 a.m. The evidence of both, which I accept, is that Ms. Zhang was physically capable of working full time as a janitor cleaning this office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couple's long-term plan was to establish a business of their own. In 1996, they opened the D-Top Food Market in Burnaby. This was a grocery store of approximately 5,000 square feet. Mr. Chen was the sole shareholder of the company that owned the D-Top Food Market, but both Mr. Chen and Ms. Zhang devoted their full time and attention to the business from the time it opened until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Chen states that business increased steadily between 1996 and 2001. While this appears to be true, the financial statements provided to me also indicated that the business was not profitable. Mr. Chen and Ms. Zhang were able to sustain themselves from the income of the business. However, they were able to do so only by working long hours, seven days a week, at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Notwithstanding these long working hours, both Mr. Chen and Ms. Zhang state that they had an active and happy social life up to the time of the accident. They state that they enjoyed going to movies together and ballroom dancing. Ms. Zhang particularly enjoyed socializing with friends, although Mr. Chen was not so enthusiastic about this activity. Mr. Chen also testified that the couple enjoyed happy and fulfilling marital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couple divided their duties at the D-Top Market. Ms. Zhang primarily worked as a cashier, but she also stocked shelves and helped with the cleaning. Mr. Chen worked at the back of the store. They usually went to work together in the morning. Typically they would arrive at the store between 9:00 a.m. and 9:30 a.m. The store hours were 9:30 a.m. to 7:30 p.m. After the store closed, the couple would clean up and usually leave between 8:30 p.m. and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couple did employ casual, part-time help to assist them up to the time of the accident. Mr. Chen described this help as neighbourhood women who were looking for some part-time work during the day. The part-time employees were principally employed stocking shelves. Ms. Zhang's time was principally taken up as a cashier.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Mr. Chen and Ms. Zhang testified that Ms. Zhang was popular with her customers and that she was friendly and approachable to them. While working at the store, Ms. Zhang communicated with her customers primarily in English. She also was able to learn and use a few sentences of Japanese and Vietnamese to assist in dealing with those customers who spoke those languages. She also, of course, communicated with Mandarin speakers in Mandarin if they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the accident, both Mr. Chen and Ms. Zhang testified that Ms. Zhang had no injuries or health problems of any material nature. They both describe Ms. Zhang as having a happy, outgoing and friendly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accident in this case occurred on March 4, 2001. Mr. Chen was driving a small cargo van, which was loaded with supplies for the D-Top Market. Ms. Zhang was sitting in the front passenger seat. The undisputed evidence is that she was wearing a shoulder belt and that the head rest in the vehicle was properly adjusted. Shortly before 9:00 a.m., Mr. Chen was driving east along Imperial Street in Burnaby, near McKay. An oncoming car, operated by the defendant, crossed the centre line and struck Mr. Chen's van on the left side just behind the driver's door. Either the impact of the collision or the momentum of the defendants' vehicle then drove the van to the right where it collided with a utility pole just behind the passenger's door. Both vehicles were extensively damaged. Both Mr. Chen and Ms. Zhang report that they loss consciousness briefly. Mr. Chen states that he was awakened by passersby knocking on the window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Chen testified that he felt two impacts in the accident. He states that he could hear his wife's head hit the right window and bounce back when the van hit the utility pole. He says that he lost consciousness briefly, and woke up and saw that his wife's eyes were closed. He has no idea how long he was unconscious but he can state definitely that his wife was not moving or responsive when he regained his senses. Mr. Chen said that the police and ambulance attendants arrived at the scene soon after the accident. Immediately before that passersby knocked on the window of the van but his wife did not respond. He says that he revived his wife by shaking and speaking to her after which other people arrived to help. Ms. Zhang recalls hitting her head on the side window of the van. She reports that she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basis of the above evidence I conclude that Ms. Zhang did strike her head and did lose consciousness briefly in the course of the accident. These findings will be of importance in assessing the nature and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couple were taken to Royal Columbia Hospital by ambulance and treated at the emergency ward there. They were released later in the day and driven home by a friend. Mr. Chen returned to work that day, but Ms. Zhang remained at home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accident Ms. Zhang suffered a number of symptoms. While she was at the hospital Ms. Zhang reported that she felt lots of pain in her head. She recalls feeling very dizzy and feeling like everything around her in the room was moving. She remembers having a cut on her lip and when she was able to look in the mirror noticing that her face was red and swollen on the right side as was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Zhang went to see Dr. Lee, her family physician, the next day as she was continuing to feel pain on her right side, experience dizziness and have pain in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two to four weeks immediately following her accident, she rested at home although she occasionally did go back to the D-Top Market to help train workers who had been hired to help out in her absence. The D-Top Market had two rooms at the back of the store where she was able to sit and lie down if she felt it was necessary to do so. In the period of time after the accident and before the D-Top Market closed Ms. Zhang said she had to take frequent rest breaks after she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Zhang described her symptoms after the accident in more detail. She says that she felt like her neck was being squeezed hard causing her pain which stayed all the time. She described her back as feeling like a large piece of stone had been placed on it and says that she felt heavy throughout her whole body and had soreness throughout her entire back. Shortly after the accident she began to notice and feel pain in the area of her tailbone which did not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Zhang also reported that she suffered from frequent headaches in the period after the accident, those headaches being principally on the right side of her head. She reports that she often felt as though the floor on which was standing or walking was on a slope. Within a few days of the accident she began to experience dizziness and nausea although she cannot recall whether she did in fact vomit. She reported tinnitus in her ear for the first time shortly after the accident. The episodes of tinnitus lasted a few minutes each. She also reported that she was no longer able to tolerate loud noises or even noises which other people would not characterize as being unduly loud. Generally she felt tired and lethargic.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indicated above, Ms. Zhang returned to work at the D-Top Market approximately four weeks after the accident. She returned to her duties as a cashier but she was not able to stock goods on the shelves or lift the cases that she formally could. When she returned to work she noticed that she had trouble remembering prices of goods in the store. The D-Top Market did not have scanning equipment and the cashiers therefore had to remember the price of most goods. She says that she found it very difficult to memorize the new produce prices each day and would make mistakes that she never made before the accident. Ms. Zhang says that she averaged eight to nine breaks a day, and that when she took a break and rested she noticed a lessening of the pain in her back, shoulders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Zhang also reports that after the accident, as she put it, she lost motivation. Whereas before she had been gregarious and outgoing with the store's customers, she now found that talking to customers was a burden to her. She became very anxious about the financial security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compound Ms. Zhang's anxiety and apprehension she learned shortly after the accident that her husband, Mr. Chen, had been diagnosed with a serious heart problem. This made her more anxious. The symptoms and work pattern I have described above did not materially change throughout the time that the D-Top Market remained in operation after the accident. It closed in February 2003 when its lease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Significantly, Ms. Zhang also reports that after the accident she would become very impatient and irritable even when faced with a small problem. She says that she would become very grouchy with her husband. These behaviours were in marked contrast to those before the accident in which she reported herself as being friendly and outgoing and having very few arguments or difficulties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November 2001 Ms. Zhang became pregnant. She testified that she had made up her mind to have a baby for her husband. By this I took her to mean that she wished to make sure that she and her husband had children and, in particular, her husband would have children given the fragile state of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 symptoms had not materially improved before Ms. Zhang became pregnant. While she was pregnant she reported that the symptoms continued and that the pain in her tailbone got worse. Notwithstanding these complaints and her pregnancy she continued to work as a cashier at the D-Top store. She reports that at that time standing and working at the cash register would cause pain in the mid to lower back region. She also reports that she was unable to sit comfortably.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Tragically, Ms. Zhang developed very serious complications during her pregnancy. She developed pre-eclampsia, gestational diabetes and hypertension. In June she was hospitalized. She delivered a still-born boy by caesarean section at 33 weeks gestation.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compound the family's difficulties business at the D-top Market continued to deteriorate. Mr. Chen testified that up to the time of the accident the volume of business at the market increased by approximately 5% per year. However, the financial statements produced for the market business show that the market never made a profit, although its losses did increase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Things did not improve for Ms. Zhang after the loss of her baby. Her husband's medical condition remained fragile. In January 2003 she was diagnosed with a serious depressive condition. She had "ideation" about suicide and homicide. Her psychiatrist, Dr. To, recommended that she be hospitalized. However, Mr. Chen was opposed to her being hospitalized. After consulting with Dr. To, Ms. Zhang was treated with medication, but not hospitalized. I find that this depression slowly improved beginning in early 2003. However, Ms. Zhang continues to suffer from significant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the D-Top Market closed, Ms. Zhang opened an organic meat and produce store on Oak Street in Vancouver. That business, in which she was assisted by her husband, did not prosper. I was shown no financial statements for the business but I understand it was closed when the landlord retook possession of the premises in September 2003. In 2003, Mr. Chen obtained employment with a courier company. He was working in the dispatch centre at the airport in Richmond for that company in January 2007 when he became ill and had to be taken to the emergency ward at the Richmond General Hospital. His illness, which was related to his heart condition, resulted in Mr. Chen being placed on long-term disability with a significant decrease in his income. As a result, Ms. Zhang felt that it was necessary for her to increase her hours at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Zhang underwent a lengthy period of counselling. In 2006 she commenced work with Canada Safeway, initially on a part-time basis. After her husband could no longer work, she increased her hours and, since 2007, has worked approximately 32 to 40 hours per week in the delicatessen department in the Safeway outlet located on Davie Street near English Bay. This apparently is one of the two busiest Safeway stores in British Columbia. Ms. Zhang has been able to perform her duties as a delicatessen clerk throughout her period of employment. She has received consistently good reviews from her employer and has, in fact, been recognized on a number of occasions with employee service awards called World Class Service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Zhang testified that although she is able to work 32 to 40 hours a week at Safeway at present, she does not know how long she can continue to do so. She complains of neck, shoulder and back pain, which complaints are aggravated while working the shift at Safeway. In addition, she finds it difficult to cope with some of the demands made on her by customers, particularly customers who ask her to undertake more than one task at a time. For example she related an incident in which she became frustrated with a customer who asked her for several items in succession. She reports that at the end of a shift at Safeway she is completely exhausted and can do nothing other than rest when she gets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think it is fair to say that Ms. Zhang's complaints can be grouped into three basic categories:</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physical discomfort;</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cognitive abilities and functions; and</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deterioration of mood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Zhang's position is that these symptoms have significantly impaired her ability to work and have virtually ended her social and recreational activities. I do not understand the defendants to dispute that Ms. Zhang's reported symptoms are genuine. From the defendants' perspective the fundamental issues are the cause of those symptoms and the extent to which they have caused any loss of income or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position is that Ms. Zhang's current difficulties are primarily caused by complications from her pregnancy and loss of her child in 2002. The defendants submit that the complications included pre-eclampsia and hypertension, followed by severe post-partum depression. They say that these events were in no way caused by their tortious conduct and are therefore not compensable. In particular, the defendants strongly argued that the depression was caused by the loss of Ms. Zhang's child and not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must determine the cause of Ms. Zhang's difficulties. To do so I must review the extensive medical evidence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heard evidence from the following doctors on behalf of the plaintiff; Dr. Raymond Ancill, a psychiatrist; Dr. John Du, a registered psychologist; Dr. Shao-Hua Lu, a psychiatrist; Dr. Anthony Salvian, a specialist in vascular surgery; Dr. Ronda Shuckett, a specialist in internal medicine and rheumatology; Dr. Gary Stimac, diagnostic radiologist with particular expertise in neuroradiology; Dr. Andrew Travlos, a physical medicine and rehabilitation specialist; Dr. Gordon Wallace, registered psychologist with a concentration on rehabilitation medicine. In addition the plaintiff filed a report of Dr. Donald Cameron, a neurologist, whom the defendants did not seek to cross-examine.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defendants, I heard evidence from the following experts; Dr. Jocelyne LaPointe, a diagnostic neuroradiologist; Dr. Derryck Smith, a psychiatrist; Dr. Bernard Tessler, a neurologist; Dr. William Yu,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Russell McNeil, an occupational therapist, provided a report and gave evidence with respect to cost of future care to allow Ms. Zhang to maintain a quality of life as close as practical to that she possessed prior to the accident. In addition, Mr. William Struthers, a labour economist, provided actuarial evidence with respect with respect to certain issues of future care and with respect to the income that persons with certain characteristics might expect to earn over their working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do not intend to review each of the expert opinions in any detail. While I have read and considered them all I will make specific reference to them only when I consider it necessary to explain or define the conclusions I have reached on the many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first deal with the issues which arise from the wide divergence in the medical opinions presented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a disagreement on the question of whether Ms Zhang suffered a mild traumatic brain injury (MTBI) in the motor vehicle accident. This disagreement may be further broken down into a number of disputes. The first relates to what happened in the accident and in particular as to whether Ms. Zhang lost consciousness. As I have already stated I find as a fact that Ms Zhang did suffer a brief loss of consciousness in the accident. In reaching this conclusion I place primary reliance on the evidence of Mr. Chen that he observed that his wife's eyes were closed and that she was non-responsive immediately after the accident. In addition it is clear that Ms. Zhang did strike her head against the passenger door window. I am aware that Ms. Zhang scored 15 out of 15 on the Glasgow Comma Scale when it was administered by the ambulance attendants. However it is unclear on the evidence when the test was actually administered. It appears that it was administered sometime after she was removed from the vehicle, probably in the ambulance on the way to the hospital. By that time she had regained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to what happened during the accident I accept that Ms. Zhang did experience a number of symptoms which were consistent with her having suffered a concussion. In the period after the accident she experienced nausea, dizziness and vertigo. Perhaps most significantly, she reported significant memory impairment and word finding difficulties after the accident and before her pregnancy. I do not consider that the difficulties experienced by Ms. Zhang in remembering prices of goods that she had been pricing for years previously to be trivial or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Cameron was of the opinion that Ms. Zhang did suffer a MTBI in the accident. He based this opinion in part on his conclusion that she did experience a brief period of altered consciousness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Tessler was somewhat dismissive of Ms. Zhang's symptoms after the accident. He described them as being the "mildest of the mild". I found this comment, as well as certain remarks he made during his evidence, as being indicative of an attitude on his part that Ms. Zhang's complaints should not be taken too seriously. I was particularly troubled by a comment made by Dr. Tessler in cross examination to the effect that Ms. Zhang's symptoms may settle after litigation. Apart from the fact that Dr. Tessler was not qualified as an expert in psychiatry or psychology, the comment was gratuitous. On the whole I formed the impression was Dr. Tessler was straying into the area of advocating for the defence point of view in his evidence. I do not think he was doing so deliberately but he did seem to show a lack of balance and perspective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brings me to a consideration of the area of greatest controversy between the doctors. In December 2007, Ms. Zhang underwent an MRI scan of her brain. It is agreed by all doctors that the MRI disclosed an unusually large number of lesions. In Dr. Stimac's opinion there were approximately 70 lesions. In Dr. Lapointe's opinion there were between 27 and 33, depending on the imagining plane. Both doctors agree that these lesions are the result of some insult to the brain. There, however, the agreement ends. Dr. Stimac is emphatically of the opinion that these lesions were caused by the trauma of the accident. Dr. Lapointe is emphatically of the opinion that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Stimac's opinion is based on the number of lesions, the fact that in his opinion they were generally proximate to the cerebral cortex, that is subcortical or juxtacortical, and the fact that they were in the frontal regions of the brain. In his opinion the lesions are typical for traumatic shear injury, that is injury caused by the brain colliding with the skull as a result of the forces exerted in the accident. Dr. Stimac was also of the opinion that the temporal horns of the lateral ventricles in Ms. Zhang's brain were dilated. In his opinion this dilation was indicative of atrophy of the brain. According to Dr. Stimac such atrophy is commonly seen as a sequel to a closed head injury and correlates with short term memory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Lapointe unequivocally rejects the opinion that the lesions are associated with trauma from the accident. She found no abnormality in the temporal horns of the lateral ventricles. Contrary to what Dr. Stimac observed, he concluded that the majority of the lesions were in the white matter of the brain and not subcortical. In her written report Dr. Lapointe attributed the presence of the lesions to the pre eclampsia and hypertension suffered by Ms. Zhang in her pregnancy. In her oral testimony she clarified her report by stating that the lesions were indicative of hypertension and that the extensive references to eclampsia and pre eclampsia in her report were intended to be background information helping to explain how the hypertension originated. Although she did not state this in her written opinion, I got the impression from her testimony that Dr. Lapointe could not reconcile the number of lesions present with what she concluded were only very mild symptoms of brain trauma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concluded that Ms. Zhang did in fact suffer a MTBI in the accident. While I am of the view that Dr. Stimac somewhat overstated the indications of MTBI, I equally think that Dr. Lapointe was too dismissive of the idea. On cross examination she affirmed that in her view the most likely cause of the lesions was hypertension. However it was clear to me that the mechanism whereby hypertension can cause injury to the brain requires not only a tendency to high blood pressure but also actual elevated blood pressure. Apart from readings taken during the currency of the pre eclampsia, there is no evidence that Ms. Zhang's actual blood pressure reached levels which would cause the cerebral infarctions referred to in Dr. Lapointe's report as a cause of the lesions. It is true that Dr. Wong doubled the dosage of anti hypertensive medication for Ms. Zhang in April 2007, but that was because of an increase in diastolic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find that the MTBI was a cause of the cognitive problems experienced by Ms. Zhang following the accident. In reaching that conclusion I accept that Ms. Zhang did in fact experience a decline in her cognitive functioning after the accident. In this regard I prefer the evidence of Dr. Du to that of Dr. Smith. In my view Dr. Du was better able to evaluate Ms. Zhang's cognitive abilities because he was able to communicate with her in Mandarin, the only language in which she is fluent. Dr. Du was also able to evaluate the significance of Ms. Zhang's academic achievements in China prior to coming to Canada. I accept Dr. Du's conclusion that Ms. Zhang's pre morbid intelligence was in the high average to superior range. To my mind this opinion is reinforced by comparing Ms. Zhang's performance at the D-Top market before and after the accident. I find that prior to the accident Ms. Zhang was an extremely competent and effective person. On the other hand after the accident she was really not able to cope with the demands put on her at the D-Top market, particularly in the areas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Dr. Smith was unimpressed with Dr. Du's opinion he appeared to have made little effort to investigate this question himself. I heard no evidence to call into question the basis on which Dr. Du made his comparative intelligence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Ancill was also of the opinion that Ms. Zhang current difficulties are caused by chronic pain and MTBI. In his opinion the level of any continuing mood disorder is insufficient to account for her ongoing functional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I find that Ms. Zhang did experience a decline in her cognitive abilities after the accident. I have already found that this decline was due in part to the MTBI. I now turn to a consideration of the extent to which depression contribute to these difficulties and to the etiology of that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common ground that Ms. Zhang suffered a major depressive episode in late 2002 after the loss of her foetus at 33 weeks gestation. There is also general agreement that she experienced some depressive symptoms throughout most of the period between the accident and the trial of this action. The question I must address is the role that the injuries she suffered in the accident played in that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Du is of the opinion that Ms. Zhang was suffering from adjustment disorder with depression prior to the major depression she experienced after the loss of her foetus. His evidence was that the adjustment disorder with depression was a significant risk factor with respect to the major depression Dr. To diagnosed in January 2003. Dr. Ancill was of the opinion that Ms. Zhang suffered from a MTBI, which also is associated with a significantly greater vulnerability to depression and anxiety. He did not specifically agree that Ms. Zhang was suffering from adjustment disorder, but he clearly was of the view that her MTBI and chronic pain significantly increased the risk of her suffering a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Smith disagreed with the opinion that the accident played any direct role in the major depression suffered by Ms. Zhang. In his opinion the major depression was caused by the loss of Ms. Zhang's child and the depressive disorder she developed was in no way directly related to the accident. This opinion was based in part on his conclusion that Ms. Zhang had no psychiatric symptoms prior to the pregnancy. When pressed for the basis for this conclusion, Dr. Smith based it almost entirely what he described as a statement in Dr. To's clinical records that Ms. Zhang was well psychiatrically until June 2002. I observe that the note from Dr. To, which was made in January 2003, says simply that Ms. Zhang had said she was fine until June 2002 when she lost her pregnancy. To my mind it is important to note that Dr. To's note does not state that Ms. Zhang was well psychiatrically until June 2002. It, in fact, relates a statement that Ms. Zhang made to her. Ms. Zhang was not cross-examined about that alleged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Smith agreed in cross examination that, based on this note, he had concluded prior to his examination of Ms. Zhang that she had no psychiatric issues prior to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Dr. Smith was too dismissive of the significant indications that Ms. Zhang was experiencing psychiatric difficulties prior to her pregnancy and loss of her unborn child. In particular, I conclude that he placed far too much reliance on Dr. To's single clinical record and did not adequately explore Ms. Zhang's pre pregnancy condition. I also find it quite singular that Dr. Smith agreed that chronic pain can be a significant risk factor for depression but failed to address this factor in any detail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period between March 4, 2001 and December 2002, Ms. Zhang had been injured in the motor vehicle accident which caused her virtually constant pain and which she believed caused her cognitive difficulties, had learned that her husband had a life threatening heart condition, had lost a child after being pregnant for 8 months, and had terminated a subsequent pregnancy for medical reasons. In my view the depression which either developed or became acute in late 2002 was caused by a combination of the above factors. All of the doctors who testified agreed that chronic pain and MTBI are significant risk factors for depression. I conclude that the depression was an indivisible injury and that the injuries suffered in the motor vehicle accident were a necessary contributing cause of the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think it necessary to decide whether Ms. Zhang is currently suffering from major depression or from adjustment disorder with depression, or merely from some depressive symptoms. What is clear is that she has suffered from significant depressive symptoms since late 2002 at the latest. Dr. Du reports that in August 2008 he administered the Beck Depression Inventory (Chinese Revision) to Ms. Zhang and that she reported moderate to severe levels of sadness, failure, guilt, self-blame and hopelessness. In his view, Ms. Zhang's profile was suggestive of a severe level of depressive symptoms. While there is some level of disagreement among the doctors, all seem to agree that at minimum Ms. Zhang continues to exhibit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did note that Ms. Zhang demonstrated a flat affect when giving her evidence in the witness stand. This is consistent with the report of Dr. Du.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will return to the role that this depression has played in Ms. Zhang's life later in these reasons. Before doing so however I will deal with the question of whether Ms. Zhang suffers from thoracic outlet syndrome. Dr. Salvian was of the opinion that Ms. Zhang suffered from thoracic outlet syndrome. However the weight of medical evidence before me was that there were not sufficient indicators present to justify a diagnosis of thoracic outlet syndrome. Of course the very concept of whether thoracic outlet syndrome is a recognizable condition is still somewhat controversial. Having considered all of the medical evidence I conclude that the plaintiff has not succeeded in establishing on a balance of probabilities that she suffers from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is of course not to say that Ms. Zhang does not suffer from chronic pain. Whether the pain is attributable to organic or psychological causes it is very real to Ms. Zhang. The consensus of the medical evidence before me is that Ms. Zhang will continue to experience significant pain for the rest of her life. Any pain which has not resolved in the eight years subsequent to the accident is unlikely to resolve in the future. With the possible exception of the low back pain associated with the probable injury to her coccyx it is impossible to determine whether this pain is organic or psychological in origin. However, given my finding that the injuries Ms. Zhang suffered in the accident were a necessary cause of her depression it is not necessary for me to determine the origin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summary I conclude that Ms. Zhang continues to suffer depressive symptoms, pain and fatigue. I find that there has been cognitive impairment caused by the MTBI and the depressive symptoms. I also find that the chance of any significant improvement in her condition in the future is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Before turning to a discussion of damages I will briefly address the legal arguments made before me. Mr. Murray's primary submission was that the depression suffered by Ms. Zhang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my view this case is governed by the principles enunciated in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On the issue of causation I have already found that the injuries suffered in the motor vehicle accident were a necessary cause of the depression. To paraphrase paragraph 41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 have found that it was necessary to have both the injuries from the accident and the non-tortious causes for the depression to occur. As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I have concluded that it was the combination of the accident, the effect of Mr. Chen's illness, the loss of the foetus and the termination of the second pregnancy which caused the major and continuing depression. The depression and continuing depressive symptoms are, in my opinion, an indivisible injury. The other sources of Ms. Zhang's difficulties, soft tissue injury and MTBI, are of course entirely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analysis of damage does not end with causation. It is still necessary to consider whether there was some realistic chance that the depression would have occurred without the motor vehicle accident. This does not go to the issue of causation but rather to the question of assessing damages which will restore Ms. Zhang to her original position. If her original position included a realistic chance that she would have suffered a depression in any event, the principles of compensation require some reduction in the damages awarded to avoid putting her in a better position than she would have been in had she not received compensation for the accident. It goes without saying that "better" does not mean better in fact but better notionally because she will have received adequate monetary compensation for the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this case the analysis is further complicated. Of the three causes of Ms. Zhang's ongoing problems, pain, MTBI, and depression, only depression could be said to have been a realistic chance in the absence of the accident. On the evidence before me I find that, although the accident was a necessary cause of the depression, there was never the less a realistic chance that Ms. Zhang would have suffered a major depression in any event. That realistic chance must be taken into account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was referred to a great many cases by counsel. I mean no disrespect to the diligence of counsel by not referring to each of those cases specifically. Having considered them I simply do not think that they establish any additional principles applicable to this case to those set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2007 BCCA 148</w:t>
        </w:r>
      </w:hyperlink>
      <w:r>
        <w:rPr>
          <w:rFonts w:ascii="arial" w:eastAsia="arial" w:hAnsi="arial" w:cs="arial"/>
          <w:color w:val="000000"/>
          <w:sz w:val="20"/>
          <w:lang w:val="en-US" w:eastAsia="en-US" w:bidi="ar-SA"/>
        </w:rPr>
        <w:t>, and the other cases I will refer to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my findings as to the extent of Ms. Zhang's injuries from the accident a substantial award for non-pecuniary damages is appropriate. As I have already indicated, my task is to make an award of damages which, so far as money is able, will restore Ms. Zhang to her original position. The evidence before me is that before the accident Ms. Zhang was an outgoing and intelligent person with a positive attitude to life. She was able to combine long hours of work with numerous activities which gave her pleasure. She enjoyed walking and socializing with friends. She and her husband went to movies and went ballroom dancing. She enjoyed music. Ms. Zhang and Mr. Chen also had fulfilling marital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All of the above activities have been profoundly affected by the injuries Ms. Zhang suffered in the accident. Ms. Zhang is no longer outgoing but reclusive. Most of her energy is devoted to working her shift at Safeway. At the end of each shift the combination of pain and fatigue preclude her from engaging in social activities. She can no longer tolerate music. The couple no longer goes to movies or dancing. There has been a significant decline in marital relations. While some of these outcomes are undoubtedly related to Ms. Zhang's ongoing depressive symptoms, they are largely the result of the other injuries suffered in the accident. Taking into account the impact of these injuries on Ms. Zhang's life while at the same time recognizing the realistic chance that Ms. Zhang would have had to cope with depression in any event, I award non-pecuniary damages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very difficult to assess an appropriate amount for loss of past earning capacity in this case. Immediately prior to the accident Ms. Zhang was essentially self employed at the D-Top Market. From the time of the accident to her hospitalization for the complications of her pregnancy, she worked at D-Top, but extra help was also required. I have no doubt that the benefits she received from D-Top are not fully reflected in the amount of income attributed to her on her income tax return. Nevertheless her income from D-Top was modest. In addition Ms. Zhang would inevitably have experienced a loss of income as a result of the tragic circumstances of her pregnancy. I would also make some discount in this head of damages for the realistic chance of Ms. Zhang experiencing post-partum depression even without the accident. Perhaps the best evidence of Ms. Zhang's past income earning capacity is the income she has been earning at Safeway since 2006. In light of all of the above circumstances, I award damages for loss of past earning capacity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By far the most challenging question before me with respect to damages is to determine what should be awarded for loss of future earning capacity. In this case there is more than a substantial possibility of loss of future earning capacity. It follows from the findings I have made above that Ms. Zhang has suffered a significant loss of her capacity to earn income as a result of the accident. This is particularly so given my finding of a loss of cognitive ability. It is trite to say that I must approach this question on the basis that I am assessing the extent of the impairment of a capital asset, Ms. Zhang's capacity to earn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Brown submits that I should assess damages in this category on the basis that Ms. Zhang has suffered virtually a total loss of her income earning capacity, and that I should base the assessment on the assumption that Ms. Zhang had a prior capacity to work at least in a semi skilled occupation. He relied on actuarial tables from Statistics Canada put into evidence through Mr. Struthers to show the range of potential incomes that a semi skilled person of Ms. Zhang's age and sex could expect to earn up to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Before turning to a quantitative analysis of this issue I must make some findings of fact to which that analysis can be applied. At the outset I will address the question of Ms. Zhang's current capacity to earn income. Mr. Murray submits that Ms. Zhang has demonstrated the capacity to retain full time employment at Safeway and the functional testing done by Mr. Wallace does not demonstrate any significant impairment of her capacity to perform unskilled work such as a delicatessen clerk. He also points to the evidence of Dr. Travlos to the effect that Ms. Zhang should be able to continue to work 32 to 40 hours per week at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Brown points to the toll that working full time has taken on Ms. Zhang. He submits, relying on the evidence of Dr. Salvian and on Mr. Chen's and Ms. Zhang's testimony, that it not reasonable to assume that she will be able to continue to work to age 70 at anything like her present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there is a substantial possibility that Ms. Zhang will not be able to maintain her present level of activity at work. Her ongoing pain and depression may well force her to reduce her hours of work. The substantial possibility that Ms. Zhang's current employment is unsustainable must be taken into account in assessing her claim for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other hand I do not think that Ms. Zhang has demonstrated more than a desire to upgrade her skills beyond the level that she has pursued since immigrating in 1991. In the ten years up to the time of the accident, despite working with the public at D-Top Market, her facility in English remained limited. There is no evidence that in that period of time she took any steps to upgrade her skills or qualifications. These factors are of course not responsive to the issue of liability for the loss of capacity but they are factors to be taken into consideration in assessing the value of what she has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According to the evidence presented by Mr. Struthers the present value of the income earning capacity of a semi skilled worker to age 67, assuming contingencies for average risks, is $632,000. The same figure for unskilled workers is $370,000. The difference between the two figures is $262,000 (all figures are rounded to the nearest $1000). However, simply awarding this difference does not take into account the substantial possibility that Ms. Zhang will not be able to sustain her present employment. On the other hand it also fails to recognize the substantial obstacles that Ms. Zhang, even in her original position, faced to upgrading her occupational and language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approaching this question, I find guidance in the judgment of the Court of Appeal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In that case, Madam Justice Huddard referred to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In that decision, Mr. Justice Finch (as he then was) set out four basic considerations in assessing damages for lost of future income earning capacity. I need not repeat the criteria from that case in these reasons. However, bearing them in mind and remembering the admonition from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that damages must be assessed and not calculated I award damages for this head of damages at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Zhang also makes claims for cost of future care and past and future loss of homemaking capacity. I am not persuaded that I should break down these heads of damage in the detailed way that Mr. McNeil approaches the matter in his report. In my view some of the items he addresses are covered by the award for non- pecuniary damages. I do however think that Ms. Zhang has suffered a significant impairment of her capacity to perform homemaking tasks, particularly of a heavier nature. The total claimed for these three categories is approximately $70,000. I award $50,000 for these three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oral submissions I understood Mr. Brown to agree to an award for special damages of $1,234, as submitted by the defendants. I award special damages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summary I award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income capacity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loss of homemaking capacity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4392"/>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$1,234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555"/>
        <w:gridCol w:w="38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$536,234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If counsel are unable to agree on such matters as court order interest, tax gross up and tax treatment of the award they may arrange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may also make further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2"/>
          <w:headerReference w:type="default" r:id="rId1103"/>
          <w:footerReference w:type="even" r:id="rId1104"/>
          <w:footerReference w:type="default" r:id="rId1105"/>
          <w:headerReference w:type="first" r:id="rId1106"/>
          <w:footerReference w:type="first" r:id="rId11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08" w:history="1">
        <w:r>
          <w:rPr>
            <w:rFonts w:ascii="arial" w:eastAsia="arial" w:hAnsi="arial" w:cs="arial"/>
            <w:b/>
            <w:bCs/>
            <w:i/>
            <w:color w:val="0077CC"/>
            <w:kern w:val="32"/>
            <w:sz w:val="28"/>
            <w:szCs w:val="32"/>
            <w:u w:val="single"/>
            <w:shd w:val="clear" w:color="auto" w:fill="FFFFFF"/>
            <w:lang w:val="en-US" w:eastAsia="en-US" w:bidi="ar-SA"/>
          </w:rPr>
          <w:t>Enviro West Inc. v. Copper Mountain Mining Corp., [2012] B.C.J. No. 947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 Boyd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25,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14,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S088649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947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2012 BCSC 687</w:t>
        </w:r>
      </w:hyperlink>
    </w:p>
    <w:p>
      <w:pPr>
        <w:spacing w:before="120" w:line="260" w:lineRule="atLeast"/>
        <w:rPr>
          <w:lang w:val="en-US" w:eastAsia="en-US" w:bidi="ar-SA"/>
        </w:rPr>
      </w:pPr>
      <w:r>
        <w:rPr>
          <w:rFonts w:ascii="arial" w:eastAsia="arial" w:hAnsi="arial" w:cs="arial"/>
          <w:color w:val="000000"/>
          <w:sz w:val="20"/>
          <w:lang w:val="en-US" w:eastAsia="en-US" w:bidi="ar-SA"/>
        </w:rPr>
        <w:t>Between Enviro West Inc., Plaintiff, and Copper Mountain Mining Corporation, Similco Mines Ltd., Boundary Electric (1985) Ltd. and 0712603 B.C. Ltd. dba Canyon Electric,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5"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15" w:name="Keywords_45"/>
      <w:bookmarkEnd w:id="41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Court of appeal remitted issue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to trial court — Plaintiff was waste oil collection firm retained by defendant companies to remove waste oil from mine site — Oil contained PCBs exceeding authorized amount — Environmental agencies required plaintiff to remediate its facilities — Plaintiff found 37.5 per cent liable, as it breached duty of care to ensure workers were properly trained to screen pick up orders to ensure PCB levels were verified in advance — Defendant who generated waste oil found 37.5 per liable, with remainder apportioned equally between other two defendants.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16" w:name="Case Summary_43"/>
            <w:bookmarkEnd w:id="41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apportionment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between the plaintiff, Enviro West, and the defendants, Copper Mountain, Boundary Electric and Canyon Electric. The defendant companies collectively hired Enviro, a waste oil collection firm, to remove waste oil from a mine site. The oil contained high levels of PCBs in excess of those which Enviro was authorized to transport or store. Environmental protection agencies required Enviro to clean up its facilities and to ensure the contaminated oil was destroyed. Enviro sued the defendants to recover the remediation costs. The defendants'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dismissed at trial. The Court of Appeal referred the matter of Enviro's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trial court for re-determination. Enviro relied on the trial finding that Copper was responsible for the majority of the loss. Copper agreed that the finding of liability was not re-opened, but that the focus was on the corporate behaviour of Enviro that was not addressed in the trial judgment. </w:t>
            </w:r>
            <w:r>
              <w:rPr>
                <w:lang w:val="en-US" w:eastAsia="en-US" w:bidi="ar-SA"/>
              </w:rPr>
              <w:cr/>
            </w:r>
          </w:p>
          <w:p>
            <w:pPr>
              <w:spacing w:before="120" w:line="260" w:lineRule="atLeast"/>
              <w:ind w:left="240"/>
              <w:jc w:val="both"/>
              <w:rPr>
                <w:lang w:val="en-US" w:eastAsia="en-US" w:bidi="ar-SA"/>
              </w:rPr>
            </w:pPr>
            <w:bookmarkStart w:id="417" w:name="Holdings of Court_38"/>
            <w:bookmarkEnd w:id="417"/>
            <w:r>
              <w:rPr>
                <w:rFonts w:ascii="arial" w:eastAsia="arial" w:hAnsi="arial" w:cs="arial"/>
                <w:color w:val="000000"/>
                <w:sz w:val="20"/>
                <w:lang w:val="en-US" w:eastAsia="en-US" w:bidi="ar-SA"/>
              </w:rPr>
              <w:t xml:space="preserve">HELD: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apportioned 37.</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5 percent to Enviro, 37.5 per cent to Copper, 12.5 per cent to Boundary, and 12.5 per cent to Canyon. Enviro failed in its duty of care in ensuring the proper training was in place, specifically for those employees managing and dispatching the trucks, who would be responsible for screening the pick up orders placed and ensuring that PCB levels were established and verified in advance of pickup. Enviro breached the standard of care, as its drivers were unaware of the PCB regulatory threshold at the time that the contaminated oil was pumped, and its training of its drivers was abysmal. Enviro had held itself out in the industry as a collector of waste oil. In such cases, it was obliged to ensure that its drivers understood the required labels identifying high levels of PCBs. Instead, Enviro failed to have appropriate guidelines and policies in place to ensure employees and middlemen understood their statutory obligations related to PCBs. Copper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generator of the waste oil in issue could not be minimized, as it took no steps to ensure that the hazardous waste was properly handled. </w:t>
            </w:r>
            <w:r>
              <w:rPr>
                <w:lang w:val="en-US" w:eastAsia="en-US" w:bidi="ar-SA"/>
              </w:rPr>
              <w:cr/>
            </w:r>
          </w:p>
          <w:p>
            <w:pPr>
              <w:rPr>
                <w:lang w:val="en-US" w:eastAsia="en-US" w:bidi="ar-SA"/>
              </w:rPr>
            </w:pPr>
          </w:p>
        </w:tc>
      </w:tr>
    </w:tbl>
    <w:p>
      <w:pPr>
        <w:jc w:val="both"/>
        <w:rPr>
          <w:lang w:val="en-US" w:eastAsia="en-US" w:bidi="ar-SA"/>
        </w:rPr>
      </w:pPr>
      <w:bookmarkStart w:id="418" w:name="Counsel_47"/>
      <w:bookmarkEnd w:id="4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6" style="position:absolute;z-index:2517585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R.A. Skolrood.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Copper Mountain and Similco Mines: R.S. Anderson, Q.C., T.M. Tomchak.</w:t>
      </w:r>
      <w:r>
        <w:rPr>
          <w:lang w:val="en-US" w:eastAsia="en-US" w:bidi="ar-SA"/>
        </w:rPr>
        <w:cr/>
      </w:r>
    </w:p>
    <w:p>
      <w:pPr>
        <w:spacing w:after="240"/>
        <w:rPr>
          <w:lang w:val="en-US" w:eastAsia="en-US" w:bidi="ar-SA"/>
        </w:rPr>
      </w:pPr>
      <w:bookmarkStart w:id="419" w:name="Judgment_47"/>
      <w:bookmarkEnd w:id="419"/>
      <w:r>
        <w:pict>
          <v:line id="_x0000_s1257" style="position:absolute;z-index:2518097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20" w:name="M.E. BOYD J."/>
            <w:bookmarkEnd w:id="420"/>
            <w:r>
              <w:rPr>
                <w:rFonts w:ascii="arial" w:eastAsia="arial" w:hAnsi="arial" w:cs="arial"/>
                <w:b/>
                <w:color w:val="000000"/>
                <w:sz w:val="30"/>
                <w:lang w:val="en-US" w:eastAsia="en-US" w:bidi="ar-SA"/>
              </w:rPr>
              <w:t>M.E. BOYD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Reasons for Judgment dated January 18, 2012 (</w:t>
      </w:r>
      <w:hyperlink r:id="rId592" w:history="1">
        <w:r>
          <w:rPr>
            <w:rFonts w:ascii="arial" w:eastAsia="arial" w:hAnsi="arial" w:cs="arial"/>
            <w:i/>
            <w:color w:val="0077CC"/>
            <w:sz w:val="20"/>
            <w:u w:val="single"/>
            <w:shd w:val="clear" w:color="auto" w:fill="FFFFFF"/>
            <w:lang w:val="en-US" w:eastAsia="en-US" w:bidi="ar-SA"/>
          </w:rPr>
          <w:t>2012 BCCA 23</w:t>
        </w:r>
      </w:hyperlink>
      <w:r>
        <w:rPr>
          <w:rFonts w:ascii="arial" w:eastAsia="arial" w:hAnsi="arial" w:cs="arial"/>
          <w:color w:val="000000"/>
          <w:sz w:val="20"/>
          <w:lang w:val="en-US" w:eastAsia="en-US" w:bidi="ar-SA"/>
        </w:rPr>
        <w:t xml:space="preserve">), the Court of Appeal set aside that part of my earlier Trial Judgment in which I dismissed the defendants' claim in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ordered that the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remitted to this Court for determination in the manner it considered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I understand it, the co-defendants Boundary Electric (1985) Ltd. ("Boundary Electric") and Canyon Electric ("Canyon Electric") have settled this matter directly with the plaintiff Enviro West Inc. ("Enviro West"), leaving Copper Mountain Mining Corporation ("Copper Mountain") alone to address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elected to adduce no further evidence on the matter. They have reviewed the trial evidence and made submissions on how this Court should address the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Very briefly, Enviro West's counsel takes the position that the Court of Appeal did not overturn any of this Court's findings concerning the defendants' liability, including the finding in the trial judgement that the defendant Copper Mountain, "must bear the lion's share of the responsibility for this loss". Enviro West submits that that finding remains intact. From this starting point, Enviro West submits this hearing ought to be limited to addressing the matters set out at paragraphs 40 and 41 of the Court of Appeal's Reasons for Judgment -- being the five areas of trial evidence which the Court of Appeal believed to be relevant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Enviro West submits that this hearing should not be expanded to allow for a reconsideration of the evidence as a whole, thus allowing Copper Mountain an opportunity to re-argue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Copper Mountain agrees that the issue of liability is not once again before this Court. Indeed this Court's finding on the issue of liability was not challenged on appeal. Nor was this Court's apportionment of liability amongst the defendants (60:20: 20) challenged on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I agree with Copper Mountain, that in overturning this Court's dismissal of the defendant's claim in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of Appeal did clearly find that a body of trial evidence, particularly that which concerned Enviro West's "corporate behaviour", was not addressed by this Court. Instead the trial judgment erroneously focused on the Enviro West's actions on the ground, in particular the chain of miscommunication between Copper Mountain, Canyon Electric, Boundary Electric and Enviro West's office dispatch, which miscommunication was then exacerbated by Enviro West's employee's failure to understand the warning signs on the transformer.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these reasons I do not intend to review all of the evidence at trial. That evidence is set out in detail in the trial Reasons for Judgment (</w:t>
      </w:r>
      <w:hyperlink r:id="rId1110" w:history="1">
        <w:r>
          <w:rPr>
            <w:rFonts w:ascii="arial" w:eastAsia="arial" w:hAnsi="arial" w:cs="arial"/>
            <w:i/>
            <w:color w:val="0077CC"/>
            <w:sz w:val="20"/>
            <w:u w:val="single"/>
            <w:shd w:val="clear" w:color="auto" w:fill="FFFFFF"/>
            <w:lang w:val="en-US" w:eastAsia="en-US" w:bidi="ar-SA"/>
          </w:rPr>
          <w:t>2010 BCSC 1443</w:t>
        </w:r>
      </w:hyperlink>
      <w:r>
        <w:rPr>
          <w:rFonts w:ascii="arial" w:eastAsia="arial" w:hAnsi="arial" w:cs="arial"/>
          <w:color w:val="000000"/>
          <w:sz w:val="20"/>
          <w:lang w:val="en-US" w:eastAsia="en-US" w:bidi="ar-SA"/>
        </w:rPr>
        <w:t xml:space="preserve">). Instead, I intend to focus on the areas of evidence raised by the Court of Appeal, keeping in mind that the issue here is not whether Enviro West's acts or omissions caused the eventual loss, but rather whether, as the Court of Appeal noted at paragraphs 35 and 36 of its judgment, it can be said that the plaintiff met the standard of care in acting reasonably </w:t>
      </w:r>
      <w:r>
        <w:rPr>
          <w:rFonts w:ascii="arial" w:eastAsia="arial" w:hAnsi="arial" w:cs="arial"/>
          <w:i/>
          <w:color w:val="000000"/>
          <w:sz w:val="20"/>
          <w:lang w:val="en-US" w:eastAsia="en-US" w:bidi="ar-SA"/>
        </w:rPr>
        <w:t>for the safety of itself</w:t>
      </w:r>
      <w:r>
        <w:rPr>
          <w:rFonts w:ascii="arial" w:eastAsia="arial" w:hAnsi="arial" w:cs="arial"/>
          <w:color w:val="000000"/>
          <w:sz w:val="20"/>
          <w:lang w:val="en-US" w:eastAsia="en-US" w:bidi="ar-SA"/>
        </w:rPr>
        <w:t xml:space="preserve"> (my emphasis).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the outset, it will be useful here to set out paragraphs 35 and 36 of the Court of Appeal's judgment in which Saunders J.A. set out a description of the law relating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[35] The foundational principle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laid out by the Privy Council in </w:t>
      </w:r>
      <w:r>
        <w:rPr>
          <w:rFonts w:ascii="arial" w:eastAsia="arial" w:hAnsi="arial" w:cs="arial"/>
          <w:i/>
          <w:color w:val="000000"/>
          <w:sz w:val="20"/>
          <w:lang w:val="en-US" w:eastAsia="en-US" w:bidi="ar-SA"/>
        </w:rPr>
        <w:t>Nance v. B.C. Electric Railway</w:t>
      </w:r>
      <w:r>
        <w:rPr>
          <w:rFonts w:ascii="arial" w:eastAsia="arial" w:hAnsi="arial" w:cs="arial"/>
          <w:color w:val="000000"/>
          <w:sz w:val="20"/>
          <w:lang w:val="en-US" w:eastAsia="en-US" w:bidi="ar-SA"/>
        </w:rPr>
        <w:t xml:space="preserve">, </w:t>
      </w:r>
      <w:hyperlink r:id="rId1111"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and applied, for example, by this court in </w:t>
      </w:r>
      <w:r>
        <w:rPr>
          <w:rFonts w:ascii="arial" w:eastAsia="arial" w:hAnsi="arial" w:cs="arial"/>
          <w:i/>
          <w:color w:val="000000"/>
          <w:sz w:val="20"/>
          <w:lang w:val="en-US" w:eastAsia="en-US" w:bidi="ar-SA"/>
        </w:rPr>
        <w:t>Alberta Wheat Pool v. Northwest Pile</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80 B.C.L.R. (3d) 153</w:t>
        </w:r>
      </w:hyperlink>
      <w:r>
        <w:rPr>
          <w:rFonts w:ascii="arial" w:eastAsia="arial" w:hAnsi="arial" w:cs="arial"/>
          <w:color w:val="000000"/>
          <w:sz w:val="20"/>
          <w:lang w:val="en-US" w:eastAsia="en-US" w:bidi="ar-SA"/>
        </w:rPr>
        <w:t xml:space="preserve">. Writing for the majority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Mr. Justice Finch (now C.J.B.C.) described the duty of care applicable to a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duty "to take reasonable care" on one's own behalf.</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[36]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 B.C.L.R. (5th) 228</w:t>
        </w:r>
      </w:hyperlink>
      <w:r>
        <w:rPr>
          <w:rFonts w:ascii="arial" w:eastAsia="arial" w:hAnsi="arial" w:cs="arial"/>
          <w:color w:val="000000"/>
          <w:sz w:val="20"/>
          <w:lang w:val="en-US" w:eastAsia="en-US" w:bidi="ar-SA"/>
        </w:rPr>
        <w:t xml:space="preserve">, Mr. Justice Tysoe for the Court adopted at para. 25 the description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302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 ...</w:t>
      </w:r>
    </w:p>
    <w:p>
      <w:pPr>
        <w:spacing w:before="120" w:line="260" w:lineRule="atLeast"/>
        <w:ind w:left="1080"/>
        <w:rPr>
          <w:lang w:val="en-US" w:eastAsia="en-US" w:bidi="ar-SA"/>
        </w:rPr>
      </w:pPr>
      <w:r>
        <w:rPr>
          <w:rFonts w:ascii="arial" w:eastAsia="arial" w:hAnsi="arial" w:cs="arial"/>
          <w:color w:val="000000"/>
          <w:sz w:val="20"/>
          <w:lang w:val="en-US" w:eastAsia="en-US" w:bidi="ar-SA"/>
        </w:rPr>
        <w:t>[Emphasis in original; footnotes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these principles in mind, I turn to consider the areas five areas of evidence raise by the Court of Appeal:</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(a) Did Enviro West fail to take reasonable care by not asking Boundary Electric for the concentration of the PCBs or for test results?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trial, John Powell ("Powell") testified that if he received a call asking for a pick-up of PCB oil, he would inquire about the PCBs level and ask for documentation to verify the level. He said that he would expect the same response from any Enviro West employee. He was of the view that if an Enviro West driver was not aware of the 50 ppm threshold for PCBs, someone had "dropped the ball".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Yet, despite being told there were PCBs in the oil to be picked up from the transformer at the Copper Mountain mine, Glen Dueck ("Dueck"), the general manager of the Kelowna plant, did not ask for any test results to be produced by Boundary Electric. As I noted at paragraph 43 of the Trial Reasons, since Canyon Electric never told Boundary Electric that the level of PCBs in the Transformer exceeded 50 ppm, that same misinformation was passed on from Boundary Electric to Enviro West. As I noted "Everyone in the chain operated on the assumption that while the Transformer contained PCB waste oil, something that was not unusual, the PCB waste oil was within regulatory limits, and thus could be handled by both Boundary Electric and Enviro West."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problem here was that as Powell admitted, no such assumption ought to have been made. Dueck ought to have inquired as to the PCB level in the waste oil to be picked up and he ought to have insisted that whatever information was provided by Boundary Electric be supported by testing documentation verifying that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Copper Mountain further notes there was evidence at trial to support the inference that Enviro West held itself out to the public-at-large and to Boundary Electric, in particular, as being in the industry of the transportation of waste oil.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Ron Fehr ("Fehr"), the Chief Executive Officer and founder of Enviro West, agreed on discovery that Enviro West held itself out as an industry leader in Western Canada in the collection, management, transportation, recycling and disposal of liquid industrial, commercial waste including lubricants, gear oils, engine oils, transformer oils and like fuels. It has five facilities throughout Western Canada and it processes approximately 40-50 million liters of waste oil a year. Fehr also admitted that of the 7000-8000 customers that Enviro West picked up oil from, approximately 200 were customers whose oil was not motor oil, but rather oil in transformers. Fehr admitted that Enviro West would have known that the Copper Mountain mine was an "old mine" and that generally, transformers on old mine sites contained PCBs.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there was Enviro West's own customer service agreement with Boundary. While the agreement itself does not specify whether Enviro West picks up PCBs, under the terms and conditions in section B of the agreement, Enviro West agreed it would obtain all the necessary permits and abide by the rules governing the industry. Enviro West also produced a recycle docket for each pickup from Boundary Electric. While the recycle dockets do not specify whether Enviro West deals with PCBs, Powell agreed that the earlier versions of the docket did indicate Enviro West dealt with environmentally hazardous substances.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Enviro West's web site as well as the customer contractual documents and recycling dockets at least obliquely suggest that it transported hazardous wastes, in fact Enviro West was not licensed to carry waste oil with a PCBs count exceeding 50 ppm. In these circumstances, and particularly since a portion of the waste oil it picked up came from transformers, Copper Mountain says Enviro West had a duty to train its employees to identify hazardous waste. Without such training, the employees would not be in a position to determine whether the substances being picked up for transport were within the Enviro West license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on Powell's evidence, it may be concluded that the company expected its employees to inquire further, Enviro West responds that the standard of care did not require such action in this case. In the specific circumstances of this case, Enviro West says Dueck had no duty to inquire further about the PCBs level in the transformer oil. It says there was no evidence of any standard industry practice requiring a transporter of waste oil to require the production of test results in advance of pick up. Further, in this case, it says there was an established business relationship between Enviro West and Boundary and the understanding that Boundary Electric did not deal with transformers with PCBs in excess of 50 ppm. Finally, even if its employees had asked Boundary Electric for information regarding the concentration of the contaminated oil, Enviro West says there is no evidence that Boundary Electric would likely have provided Enviro West with the correct information. Rather, it says it was more likely than not that the same chain of miscommunication would have continued and that Boundary Electric would have reassured Enviro West the contaminated oil had a concentration of less than 50 ppm.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not persuaded that in the circumstances here, Enviro West can rely on the fact that there was no industry standard requiring any production of test results in advance of waste oil pick up. The fact is that Enviro West was a relatively large business which held itself out as an industry leader in Western Canada in terms of dealing with waste oil. The company was aware that from time to time, the waste oil which it picked up contained PCBs. The issue of whether the waste oil to be picked up contained PCBs over the 50 ppm threshold was ever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all of this evidence, I am satisfied that Enviro West failed in its duty of care, that is in ensuring the proper training was in place -- specifically for those employees managing and dispatching the trucks, who would be responsible for screening the pick up orders placed and ensuring that PCB levels were established and verified in advance of pickup.</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(b) Did Enviro West take reasonable care to ensure its drivers knew about the 50 ppm regulatory threshold?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Trial Reasons, after reviewing the conflicting evidence from Brian Costain ("Costain"), the driver of the oil truck in issue, I found that Costain was not aware of the 50 ppm PCB regulatory threshold at the time he attended the mine to pump the contaminated oil.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Enviro West submits that simply because Costain was unaware of the regulatory threshold does not mean Enviro West failed to meet the standard of care. It says that the Training Manuals introduced as evidence at trial demonstrate that Enviro West did provide its drivers with training on hazardous waste and the transportation of dangerous goods. Specifically, Dueck testified that Enviro West instructed its drivers never to collect unidentified materials from customers.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case, Enviro West insists that the standard of care does not require that it train its drivers to identify and classify all kinds of hazardous waste. It says this is so since the classification of hazardous waste remains the responsibility of the waste generator, which is the party with the greatest knowledge of the nature of the hazardous waste.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Again the evidence at trial was more troubling. Costain testified that when he first began to do pickups of waste oil, including from transformers, he only "shortly" received any training from Enviro West. While he generally understood that hazardous wastes could cause environmental damage, he could not recall Enviro West ever providing him with any specific warning regarding PCB-laden oil. He had "kind of heard" about the PCB concentration in oil being measured in parts per million but, as he said, this information "didn't really make any sense to me." He could not recall being advised about any regulations regarding the threshold of the concentration of PCBs in the oil he picked up. He did not see this as an issue since he expected that in any case, the Enviro West office would ensure he would be informed or that the office would stop him before he ever attempted such a pick-up.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Enviro West insists that the overall basic training of its employees was generally adequate, I find that in the context of Enviro West's stated mandate as a carrier of waste oil (including oil from transformers which regularly contained PCB's), the driver's training in this case was abysmal. I am satisfied that Enviro West failed to meet the standard of care here.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 Did Enviro West fail to ensure that its employees were aware of the meaning of labels required by the Federal Government to identify high levels of PCBs?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Enviro West submits that the standard of care does not require Enviro West to train its drivers to identify and understand complicated regulatory labels and warnings for hazardous waste which Enviro West is not in the business of handling. Again, Enviro West submits that there was no evidence of such a standard being in place. Further, even if the standard of care did require Enviro West to train its drivers to identify PCB warning signs, it says that this Court has already found there was no causal connection between this "failure" and Enviro West's loss. Specifically Enviro West notes this Court's observation that even Boundary Electric and Canyon Electric (both contractors with a good deal of experience dealing with transformers and PCB-laden oil) were not alerted to the concentration of the PCBs in the Transformer by virtue of the warning signs and labels at the Mine.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Trial Reasons, I found that Costain was mistaken in testifying that he was unaware of the warning signs and labels which were present on and around the Transformer. Costain had been greeted by a Copper Mountain employee at the Mine gate. That employee asked Costain whether he was aware that the Transformer contained PCBs and Costain reassured him that Enviro West dealt with this "all the time". At the transformer itself, another Copper Mountain employee approached Costain and said that the oil in the transformer was "hot" or "high in PCBs" and expressed some concern about leakage. Costain reassured him there was no cause for concern.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Yet neither the Copper Mountain's employees warnings' nor any of the posted signs or label warnings were of any effect in terms of raising Costain's concern. The simple fact is that he was not properly trained. He was not aware of the legislative requirements relating to PCBs and the warning signs and labels on and nearby the transformer meant nothing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not persuaded that Enviro West may escape any duty to train and educate its drivers to understand warning labels simply because the company is not in the business of handling PCB-laden waste oil. As I noted earlier, the company holds itself out in the industry as the collector of waste oil. From time to time it does pick up PCB-laden oil, the concentration of which is not necessarily settled at the time of pick-up. My earlier finding at paragraph 104 of the Trial Reasons that "Costain's reaction (to the ASKEREL label) must be considered in light of the reaction of other handlers in the chain", was directed to the issue of whether Costain was negligent in failing to respond to the warning. This begs the issue of whether his employer was negligent in failing to ensure he had the proper education and training so as to read and understand the implications of such a label.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But even at the management level, there was a shocking lack of information regarding the environmental regulations. Both Powell and Dueck were unaware that environmental regulations only required that PCB labels be placed on transformers containing oil with a PCB content exceeding 50 ppm. They were also unaware that the "Attention PCBs" label on the transformer in question was only required where the oil had a PCB content of more than 10,000 ppm. They did not know what "askerel" meant and they did not expect Enviro West drivers to take steps to find out what this meant when they saw it on a transformer. Yet, despite this evidence, Fehr testified on discovery that he would expect his regulatory personnel to be aware of a regulation requiring such a label to be placed on high level PCB transformers.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the evidence establishes Enviro West was negligent in failing to ensure the proper education and training of its employees in terms of recognizing and understanding hazardous waste labels and signage. I reject Enviro West's submission that such a lack of training was not causally connected to this loss. Had Costain had the proper training, he would likely have responded to the Copper Mountain employees' warnings in a different fashion and at the least, he would have appreciated the significance of the warning signs in and around the transformer. In all likelihood, he would have downtooled, asked some questions, verified the status of this matter with the Enviro West office, and the order would have been held up until proper testing reports were produced.</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(d) Did Enviro West fail to have guidelines or written policies in place to ensure employees or middlemen knew their statutory obligations relating to PCB's?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Enviro West says that even if the company had been required to have such guidelines or policies in place, those would not have prevented this loss. Here, it points out that Enviro West knew Boundary Electric could not handle PCB-laden oil or equipment with a concentration of PCBs in excess of 50 ppm. In effect, it says that it should have been allowed to rely on this knowledge, and thus proceed on the assumption that any pickup from Boundary Electric would be a safe pickup, within the regulatory threshold limits.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Yet the evidence at trial was much more equivocal. While Boundary Electric had told Enviro West there were PCB's in the waste oil in the transformer in question, Fehr testified that no one from Boundary Electric ever told Enviro West the concentration of PCBs in the transformer oil was less than 50 ppm. On discovery, Fehr, also testified it was generally the case that all old transformers were loaded with PCBs, whereas modern transformers had low levels of PCBs. He believed that in this case, when Enviro West was called upon to pump oil out of a transformer at the Copper Mountain mine, it would have been aware that it was picking up oil from an old mine site. On this evidence, Copper Mountain says Enviro West well understood the likelihood that it would be picking up PCB-laden oil from the mine site. In these circumstances, it says Enviro West could make no assumption the waste oil was within the regulatory threshold limit, but rather had a duty to make its own independent inquiries. But there was no policy or any other guidelines in place to ensure this would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Enviro West says that the Court should draw little from Fehr's evidence since, as Powell testified, Fehr was not active in the day-to-day management of Enviro West. Instead Enviro West submits the Court should instead prefer the evidence of Powell who was involved in the day to day management of Enviro West. I have some difficulty with this notion.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Firstly, Fehr is the Chief Executive Officer of the company and was authorized to testify on behalf of Enviro West on discovery. He has been involved in the waste oil collection industry since 1982 and founded the corporate entity, Enviro West, in 1995. He has 28 years experience in the industry.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Secondly, although Powell worked as the general manager of the company since he arrived in early 2005, on cross examination he admitted that like Fehr, he had no involvement in the day-to-day dealings of the Kelowna plant and that the operation of plant was left to Glen Dueck and "Cindy". Powell knew very little about environmental matters and was not involved directly in the incident. In my view, there is no reason the Court should prefer his evidence over that of Fehr.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individual at the company who was effectively the operating mind of Enviro West on the ground was the Kelowna manager, Dueck. Even though Dueck's duties included ensuring compliance with the Ministry of the Environment statute and regulations, he had little knowledge about transformers or PCBs, having received no training on the subject and not having attempted to educate himself on the subject.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there is the evidence that on August 28, 2008, the day after the contamination issue was discovered, Enviro West introduced a new company-wide protocol relating to the pick up of oil from transformers. The new protocol requires that wherever there are transformers on the pick up site or where there is a question regarding PCB's in the product to be picked up, there will be no pick up by Enviro West until the client produces its own testing documents to Enviro West. Further, even where the client produces its own test results, Enviro West will obtain its own samples for testing. The costs of such testing is passed on to the customers. Of course, this new policy overcomes any miscommunication issues and ensures that the statutory regulations are respected both by any middlemen as well as Enviro West's own employees.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all of this evidence, I find that Enviro West did fail to have the appropriate guidelines and policies in place to ensure employees and middlemen understood their statutory obligations relating to PCBs.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(e) Did Enviro West breach the standard of care by not testing prior to pick up when its CEO had, in the past, advocated against acting on a presumption of good faith in dealing with waste removal customers?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was perhaps one of the most controversial areas in terms of the review of the evidence at trial. Relying on an email which Fehr had sent to a Governmental Environmental Management Analyst in 2002 and 2003 (see paragraph 134 of Trial Reasons), Copper Mountain submits that in the course of his evidence, Fehr admitted he expected that before any waste oil was resold for recycling it should first be tested. Extrapolating from that admission, Copper Mountain submits it follows that Enviro West should have tested all waste oil prior to the initial pick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with Enviro West's counsel that, as I noted in my Trial Reasons, this evidence was not relevant to the issue of testing prior to intake of waste oil at the Copper Mine site. The correspondence in issue was concerned with testing prior to resale of waste oil as burner fuel. Even if this evidence was relevant, I am satisfied that there are many different concerns raised by testing prior to re-sale, and that accordingly, this evidence is of little probative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Conclusion: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have noted at many junctures, it is clear that Enviro West did breach the standard of care in this case. It failed to act reasonably for the safety of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the Court held in </w:t>
      </w:r>
      <w:r>
        <w:rPr>
          <w:rFonts w:ascii="arial" w:eastAsia="arial" w:hAnsi="arial" w:cs="arial"/>
          <w:i/>
          <w:color w:val="000000"/>
          <w:sz w:val="20"/>
          <w:lang w:val="en-US" w:eastAsia="en-US" w:bidi="ar-SA"/>
        </w:rPr>
        <w:t>Madalena v. Comox-Strathcona (Regional District),</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2009 BCSC 1597</w:t>
        </w:r>
      </w:hyperlink>
      <w:r>
        <w:rPr>
          <w:rFonts w:ascii="arial" w:eastAsia="arial" w:hAnsi="arial" w:cs="arial"/>
          <w:color w:val="000000"/>
          <w:sz w:val="20"/>
          <w:lang w:val="en-US" w:eastAsia="en-US" w:bidi="ar-SA"/>
        </w:rPr>
        <w:t>, there are a number of factors to be considered in determining the amount by which a party's conduct will be found to fall short of the standard of care. I set out those factors at paragraph 149 of the Trial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not repeat the many comments I have already made regarding Enviro West's failure to properly educate and train its employees, nor its failure to ensure that product was tested (and test results produced) before pick-up. Rather I will address two particular matters which were the focus of submissions: the nature of the conduct in issue and whether the conduct was deliberate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Regarding the nature of the conduct, Copper Mountain submits that here Enviro West is more blameworthy than it, since for some time before this incident, it had demonstrated a general indifference to issues of safety around the pick-up and transport of waste oil. Although its drivers had picked up PCB-laden oil from transformers over a period of years, Copper Mountain says that Enviro West had not established any proper training for its employees, in terms of understanding industry regulations around PCBs, determining when the regulatory thresholds were exceeded and identifying hazardous waste labels and signs.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contrast, Copper Mountain says that its own failure to meet its duty of care was no more than a "one of" situation-in the sense that Mehr, the Mine Manager, had simply failed, on this single occasion, to take proper steps to ensure that the hazardous material was being properly entrusted to a party experienced and qualified to handle the waste.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have difficulty minimizing Copper Mountain's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I will not repeat all of the failures set out at paragraphs 88-99 of the Trial Reasons. It must be remembered that Copper Mountain was the waste generator of waste oil in issue. It had an abundance of information concerning the waste oil in the transformer. From the outset it had received directions from the Ministry of the Environment concerning the proper steps to be taken to dispose of the waste oil, including the identification of the recommended contractor for the task-not Enviro West. Copper Mountain had in hand a laboratory report indicating the transformer contained oils which were almost pure PCB's. Yet despite all of this knowledge, it took no steps to ensure the hazardous waste was properly handled. While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on a single occasion, it involved multiple failures of judgment and negligent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second area which requires comment concerns Copper Mountain's submission that Enviro West should shoulder the majority of responsibility for its own loss, since it was guilty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Indeed, Mr. Anderson has submitted that Enviro West is the most "morally culpable" party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Copper Mountain's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theme is based largely on the allegation that all of Enviro West's missteps arose out of its own deliberate choice to disregard what it considered good practices and to instead put profit above safety. It says that there was pressure on tanker truck drivers to collect oil, since this is how Enviro West made money. It also provided a financial incentive to its drivers to make their pickups quickly. It points to Costain's own personnel file which indicated that he "must put forth all efforts to increase his oil collections volumes". Copper Mountain implies that Enviro West's failure to demand test results was a profit-driven choice. It says that since the company knew that any policy requiring the driver to demand the production of test results or to conduct his own testing of the oil would have slowed the pick-up process, thereby reducing the volume of waste oil picked up, and thus reducing the profit for Enviro West.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not persuaded that the evidence supports such an inference. While the evidence was that Enviro West paid its drivers an incentive to maximize the volume of waste oil pick-ups, it does not follow that the drivers were thus encouraged to put profit before safety. I expect that every company engaged in such a business would similarly urge its drivers to be as efficient as possible and maximize the size of the loads. In any case, on a review, I find there is no sufficient evidence to support the inference which Copper Mountain urges the Court to draw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my view, most of Copper Mountain's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appears to be based on the general proposition that drivers were encouraged to pick up waste oil exceeding the threshold regulatory PCB levels, safe in the knowledge that since the waste oil would ultimately be mixed in the large storage containers at the Kelowna plant, the ultimate PCB level would be diluted down to the appropriate regulatory levels before re-sale. In other words, Copper Mountain asks the Court to conclude Enviro West knew that its drivers were regularly picking up waste oil exceeding the regulatory limits, and that this practice was tolerated since the end product would be within regulatory limits.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Trial Reasons, I dealt with the issue of mixing in the context of the defendants' allegation that Enviro West was negligent in not testing the waste oil in Costain's tanker truck prior to offloading into the storage container at the Kelowna plant. I reviewed the trial evidence in some detail and concluded that I was "unable to draw any inference that the (post-incident) test results reflect any general practice on Enviro West's part to accept, mix and therefore dilute the PCB waste oil with other waste oil at its Kelowna facility". Specifically, I was relying on the evidence of Powell concerning the issue of mixing. Powell admitted, just as Fehr did on discovery, that Enviro West did mix the various waste oil loads they collected into storage containers, where the PCB content would be diluted sufficiently to allow for resale. It is Fehr's admission on discovery which apparently grounds Copper Mountain's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am not persuaded that this evidence leads to the conclusion that the mixing of waste oils in itself was inappropriate. While Enviro West was licensed to pick up and transport waste oil below the 50 ppm PCB threshold, it could not resell that waste oil as a fuel with that level of PCBs. Powell's evidence was that the British Columbia Used Oil Management Associations' Guide only allowed waste oil to be resold as fuel provided the PCB concentration was no more than 3 ppm. Naturally, since loads of </w:t>
      </w:r>
      <w:r>
        <w:rPr>
          <w:rFonts w:ascii="arial" w:eastAsia="arial" w:hAnsi="arial" w:cs="arial"/>
          <w:i/>
          <w:color w:val="000000"/>
          <w:sz w:val="20"/>
          <w:lang w:val="en-US" w:eastAsia="en-US" w:bidi="ar-SA"/>
        </w:rPr>
        <w:t>up to</w:t>
      </w:r>
      <w:r>
        <w:rPr>
          <w:rFonts w:ascii="arial" w:eastAsia="arial" w:hAnsi="arial" w:cs="arial"/>
          <w:color w:val="000000"/>
          <w:sz w:val="20"/>
          <w:lang w:val="en-US" w:eastAsia="en-US" w:bidi="ar-SA"/>
        </w:rPr>
        <w:t xml:space="preserve"> 50 ppm were being picked up and offloaded in the storage contained, some dilution process had to occur before resale. Enviro West understood or assumed that every load it picked up from a waste generator or middleman was under 50 ppm and that as tankerloads were added to the storage tank on site, an appropriate dilution would result. Whether an appropriate dilution level had been achieved would be determined by testing prior to offloading and resale. I draw no inference from this admission that Enviro West was guilty of some nefarious scheme designed to hide heavily PCB-laden oil in the tanks and ultimately succeed in resale, all the while deliberately violating its limited transportation licensure.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any case, on a review of the whole of the evidence, I am satisfied that while Enviro West was contributorily negligent, this is not a case where it can be said it displayed a systemic, deliberate disregard of any and all safety standards and practices, as Copper Mountain suggests, driven by a motivation to maximize profits regardless of the risks.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Enviro West's primary failure concerned its failure to properly train and educate its staff. The resulting ignorance of its employees allowed both the driver and his supervising manager here to erroneously assume, without verification and with no proper regard for the warning signs, that since Boundary Electric was the middleman, the PCB level of the transformer oil would be within regulatory limits. In my view, given its much superior information and its ability and duty to properly manage the hazardous waste in its control, Copper Mountain is equally blameworthy.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Thus I find Enviro West 37 1/2% contributorily negligent. Amongst the defendants, I allocate 37 1/2% of the responsibility for the loss to Copper Mountain, 12.5% to Boundary Electric, and 12.5% to Canyon Electric.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unaware of any settlement offers exchanged by the parties, so I will not address the issue of costs. I leave it to the parties to resolve this issue between themselves and failing that to submit further submissions to the Registry by May 21, 2012.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 BOYD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4"/>
          <w:headerReference w:type="default" r:id="rId1115"/>
          <w:footerReference w:type="even" r:id="rId1116"/>
          <w:footerReference w:type="default" r:id="rId1117"/>
          <w:headerReference w:type="first" r:id="rId1118"/>
          <w:footerReference w:type="first" r:id="rId11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0" w:history="1">
        <w:r>
          <w:rPr>
            <w:rFonts w:ascii="arial" w:eastAsia="arial" w:hAnsi="arial" w:cs="arial"/>
            <w:b/>
            <w:bCs/>
            <w:i/>
            <w:color w:val="0077CC"/>
            <w:kern w:val="32"/>
            <w:sz w:val="28"/>
            <w:szCs w:val="32"/>
            <w:u w:val="single"/>
            <w:shd w:val="clear" w:color="auto" w:fill="FFFFFF"/>
            <w:lang w:val="en-US" w:eastAsia="en-US" w:bidi="ar-SA"/>
          </w:rPr>
          <w:t>Lam v. University of British Columbia, [2014] B.C.J. No. 694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S035269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Howard Lam, Plaintiff, and University of British Columbia, Defendant, and Arpel Industries Ltd., carrying on business as Arpel Security, Systems, Arpel Security Systems Ltd., Arpel Security and Monitoring, Ltd., Enerand Holdings Ltd., carrying on business as Caltech Tech, Services, Peter Moore, carrying on business as Moore Security, Systems, Thermo Forma Inc., Vancouver Coastal Health Authority, operating as Vancouver General Hospital and UBC Hospital, Mallinckrodt, Inc. and Sanyo Electric Co.,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1" w:name="Keywords_46"/>
      <w:bookmarkEnd w:id="421"/>
      <w:r>
        <w:rPr>
          <w:rFonts w:ascii="arial" w:eastAsia="arial" w:hAnsi="arial" w:cs="arial"/>
          <w:b/>
          <w:color w:val="000000"/>
          <w:sz w:val="20"/>
          <w:lang w:val="en-US" w:eastAsia="en-US" w:bidi="ar-SA"/>
        </w:rPr>
        <w:t xml:space="preserve">Civil litigation — Civil procedure — Parties — Class or representative actions — Common interests and issues — Trials — Conduct of — Application by the defendant to amend the certification order by certifying an additional common issue dealing with causation and for an order that the third party claims be tried concurrently with the common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issues dismissed — Proposed common issues did not include causation issue for practical and strategic reasons — Plaintiff should not be required at this stage to add additional issues — In addition to lengthening trial, commencement of the trial would be delayed if third party proceedings would be tried with main action causing prejudice to class members.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2" w:name="Case Summary_44"/>
            <w:bookmarkEnd w:id="4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amend the certification order by certifying an additional common issue dealing with causation and for an order that the third party claims be tried concurrently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 action was certified as a class proceeding. The common issues certified included three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and two contract issues. The contract issues had been determined in favour of the representative plaintiff. The defendant argued that since causation was an essential element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issue of causation must be a common issue for all class members. As causation must be addressed at some stage of the litigation, it would be practical and efficient to consider it at the same time as the other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 defendant highlighted the efficiency which would be achieved by having the third party claims heard at the same time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because some or all of the evidence which must be considered at the trial of the third party claims would have to be heard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3" w:name="Holdings of Court_39"/>
            <w:bookmarkEnd w:id="4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common issues did not include a causation issue for practical and strategic reasons. It would be inappropriate to require the plaintiff at this late stage to add a causation common issue to the issues which were presently before the court. As the common issues were presently framed, the litigation would be advanced in a fair and efficient way. The trial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would be prolonged considerably if the third party proceedings were tried concurrently. In addition to lengthening the trial, the commencement of the trial would be delayed to accommodate all of the pretrial procedures that would be required for the third party proceedings. An increase in the length of the trial and a delay in the commencement of it would cause prejudice to the class members, considering the significant delay that had already occurred in advancing this action. If the defendant was successful in a common issues trial, there would be no need for a trial of the third party issues. Even if the defendant was unsuccessful, the findings in the common issues trial might help to narrow the issues that needed to be considered at the third party trial. There was no reason to deviate from the traditional approach of directing that the third parties not be bound by findings of fact at the common issues trial at which they were not participating.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4" w:name="Legislation Cited_33"/>
      <w:bookmarkEnd w:id="4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121" w:history="1">
        <w:r>
          <w:rPr>
            <w:rFonts w:ascii="arial" w:eastAsia="arial" w:hAnsi="arial" w:cs="arial"/>
            <w:i/>
            <w:color w:val="0077CC"/>
            <w:sz w:val="20"/>
            <w:u w:val="single"/>
            <w:shd w:val="clear" w:color="auto" w:fill="FFFFFF"/>
            <w:lang w:val="en-US" w:eastAsia="en-US" w:bidi="ar-SA"/>
          </w:rPr>
          <w:t>RSBC 1996, CHAPTER 50, s. 8</w:t>
        </w:r>
      </w:hyperlink>
      <w:r>
        <w:rPr>
          <w:rFonts w:ascii="arial" w:eastAsia="arial" w:hAnsi="arial" w:cs="arial"/>
          <w:color w:val="000000"/>
          <w:sz w:val="20"/>
          <w:lang w:val="en-US" w:eastAsia="en-US" w:bidi="ar-SA"/>
        </w:rPr>
        <w:t>(3), s. 12,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Rules of Court Rule 22(18)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5" w:name="Counsel_48"/>
      <w:bookmarkEnd w:id="4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Arthur M.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B. Kennedy, Q.C., Dylana R. Bloor, Ryan J.M. Androsoff.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Arpel Industries Ltd., carrying on business as Arpel Security Systems, Arpel Security Systems Ltd. and Arpel Security and Monitoring Ltd.: Bo S.L.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Enerand Holdings Ltd., carrying on business as Caltech Tech Services: Ward K. Branch, Christopher A.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Peter Moore, carrying on business as Moore Security Systems: Michael J.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Vancouver Coastal Health Authority: John G. Dives,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Mallinckrodt, Inc.: Michael A.G. Elliot.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Sanyo Electric Co., Ltd.: Bradley W. Dixon.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6" w:name="Judgment_48"/>
      <w:bookmarkEnd w:id="426"/>
      <w:r>
        <w:pict>
          <v:line id="_x0000_s1262"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Third Party Participation 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Common Issues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7" w:name="G.B. BUTLER J."/>
            <w:bookmarkEnd w:id="427"/>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University of British Columbia ("UBC") applies to amend the certification order by certifying a sixth common issue dealing with causation. It also seeks an order that the third party claims be tried concurrently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need not describe the background facts or the history of the proceedings in any detail as these are set out in a number of reported decisions. In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xml:space="preserve">, the court certified the action as a class proceeding. The common issues certified included three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and two contract issues. The contract issues were threshold issues which were ordered to be considered in advance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Following a summary trial application with an agreed, modified contract issue, I issued my decision in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2013 BCSC 2094</w:t>
        </w:r>
      </w:hyperlink>
      <w:r>
        <w:rPr>
          <w:rFonts w:ascii="arial" w:eastAsia="arial" w:hAnsi="arial" w:cs="arial"/>
          <w:color w:val="000000"/>
          <w:sz w:val="20"/>
          <w:lang w:val="en-US" w:eastAsia="en-US" w:bidi="ar-SA"/>
        </w:rPr>
        <w:t>, which determined the contract issues in favour of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next step in the litigation is to hear and determine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 main question raised by UBC on this application is whether those issues should be heard separately from the issues raised in the third party proceedings between UBC and the third parties. For the reasons that follow, I have dismissed UBC's application to amend the certification order to add an additional common issue regarding causation and determined that the third party issues should not be heard at the same time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Amend the Certification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Pursuant to subsection 8(3)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court may amend a certification order at any time. Given causation is an essential element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UBC says the issue of causation must be a common issue for all class members. As the class members were not involved in any aspect of the installation, operation or maintenance of the freezer which stored the sperm, the question of causation should not involve individual class members but only a consideration of the activities of UBC and the third parties. UBC says that a determination of causation as a common issue will advance the litigation in a fair and efficient manner. As causation must be addressed at some stage of the litigation, it will be practical and efficient to consider it at the same time as the other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In essence, UBC says causation was overlooked by the parties at the certification hearing and appeal when the common issues were determined and that there is no reason to leave out this essential element when determining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It argues that the certification order should thus be amended to include causation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argues that causation is not a common issue to all class members. This is because causation involves consideration of more than just the activities of UBC and the third parties. For example, the actions of UBC were not the cause of any loss to class members who were not rendered infertile by chemotherapy treatments or who decided not to have children. Causation would thus require consideration of individual issues. The plaintiff says he made a conscious, strategic decision not to include a common causation issue because of the individual issues that would have to be considered to determine causation. Further, the plaintiff chose not to name the third parties as defendants and says there is no need for those parties to be brought into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If the activities of the third parties have to be examined, it would significantly lengthen and complicate the proceedings. If a causation issue was added at this late date, it would take the plaintiff out of the driver's seat in his own class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many class proceedings it may well be expedient to consider a causation issue at the same time that other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are determined. As UBC properly notes, causation is an essential element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However, that will always depend on the factual and legal issues which underlie the proceeding. If this proceeding could best be advanced by including a causation common issue with the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 would have thought the issue would have been raised relatively early on in the proceedings. It has now been more than 13 years since the cause of action arose and 6 years since the certification application was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brought certain common issues to the court for certification based on his assessment of the questions of fact and law that underlie this proceeding. As the plaintiff argues, the proposed common issues did not include a causation issue for practical and strategic reasons. It is apparent that there are two kinds of causation questions which may need to be considered: those which may raise individual issues for some of the class members; and those which require consideration of the activities of UBC and the third parties. The plaintiff chose to leave consideration of those issues for later determination so as not to complicate and lengthen the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these circumstances, I am of the view that it would be inappropriate to "take the plaintiff out of the driver's seat" by requiring him to add a causation common issue to the issues which are presently before the court. The defendant should have raised this issue at the time of certification or on appeal rather than at this late date. As the common issues are presently framed, there is no doubt the litigation will be advanced in a fair and efficient way. Further, it is not essential for the causation question to be considered at the same time as the other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 questions dealing with causation which the parties have highlighted will be considered either in the context of the third party proceedings or when the individual issues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Before leaving this issue, I should note that UBC brings its application to add a causation common issue in part to support its application to have the third party issues tried concurrently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UBC's submission focuses on the argument that the court will be asked to determine causation as between the acts and omissions of UBC and those of the third parties. UBC says that if the plaintiff proves it breached the standard of care, that conclusion is insufficient to establish causation and liability if the effective cause of the loss was an action of a third party which was unrelated to its own breach of the standard of care. In other words, UBC is inviting the court, by way of the causation issue, to examine the actions of the third parties. Of course, this could not be done in the context of the common issues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trial if the third party claims are to be tried separately. I have already indicated that I am dismissing the application to have the third party issues determined at the same time as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If I had arrived at a different decision on that issue, I would likely have arrived at a different decision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However, I must acknowledge that the issue identified by UBC could arise. The plaintiff has created a potential problem for himself and the other class members by proceeding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without determining causation. It is possible there could be a finding in the common issues trial that UBC failed to meet the standard of care and a determination in the third party proceedings that the acts or omissions of one or some of the third parties were the effective cause of the freezer failure but that those acts or omissions were unrelated to UBC's breach of the standard of care owed to the plaintiff. If those findings are made, the class members may not be able to succeed with their claims against UBC because they will be unable to prove that UBC's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reason for this potential problem is that the plaintiff chose not to sue the third parties. The plaintiff was and is content to proceed solely against UBC. That is a strategic choice which should not be set aside based on UBC's desire to have the third parties present at the common issues trial. UBC's interest in having the causation issue determined and the plaintiff's choice to proceed solely against UBC can be accommodated by having the third party trial heard following a decision in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but before consideration of the damage issues. If the plaintiff chooses to do so, counsel could apply to have standing at the trial of the third party issues to protect the plaintiff's interest with regard to the causation issues raised by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Application to have the Third Party Issues heard Concurrently with the Common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UBC says the third party issues should be tried at the same time as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for the purpose of practicality, efficiency, economy and trial fairness. The third party claims all relate to the failure of the freezer which gives rise to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In other words, it says the factual and legal issues all involve or arise from the same incident. UBC's principal defence to the claims of the class members is that it did not breach the standard of care; it took all reasonable steps in relation to the manufacture, installation, operation, maintenance and monitoring of the freezer. UBC says that overlap between the common issues and the third party issues is inevitable given that the third parties were all involved in one or more aspects of those matters. It distinguishes cases where third party proceedings have been stayed because there were claims for indemnity, lack of oversight, or vicarious liability which could be heard separately. UBC says there is nothing peripheral about any of the third parties here. Quite simply, it says the third parties are all necessary parties at a trial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whether those issues are common issues or third party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UBC highlights the efficiency which would be achieved by having the third party claims heard at the same time because some, or all of the evidence which must be considered at the trial of the third party claims, will have to be heard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common issues trial. At the same time, judicial economy would be served by ordering the third party claims to be tried concurrently with the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takes the position that the third party claims should be stayed or that the trial of the third party proceedings should not be heard at the same time as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position on this application is founded on the same position advanced on the first application. The plaintiff chose to bring this proceeding against UBC based on particular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centre on UBC's decision to use an electric freezer to store the sperm. The plaintiff says the principal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unrelated in any way to the third parties.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will focus on UBC's decisions not to use cryogenic refrigeration but rather to store sperm in an electric freezer without a source of backup power. While the plaintiff has advanced further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UBC, the majority of those allegations relate solely to decisions made by UBC without any input from or involvement of third parties. Given the way the class proceeding has been framed, it is clear that the allegations advanced against the third parties are not closely intertwined with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will be considered in the common issues trial. Accordingly, if the third party issues are heard at the same time as the common issues, the trial would be delayed and lengthened considerably at a significant cost to the class members.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All of the third parties oppose UBC's application to have the third party proceedings tried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They note that the primary allegations of the plaintiff against UBC do not directly involve any of the third parties. Further, the liability issues in the third party proceedings all involve questions of either contractual liability between a third party and UBC, the standard of care owed by a third party to UBC, or particular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questions are all distinct from those raised by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With these new issues and the six additional parties, the third parties say that if the third party claims are tried concurrently, the length and complexity of the trial would be dramatically increased. As a result, the third parties would be prejudiced by having to attend a trial which may be unnecessary if the plaintiff is unsuccessful in the common issues trial. Further, such a trial would be longer and more costly than a trial of the third party proceedings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third parties also say the order should provide that any findings of fact made at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will not be binding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has jurisdiction to make the order sought by UBC as provided in ss. 12 and 13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court may at any time make any order it considers appropriate respecting the conduct of a class proceeding to ensure its fair and expeditious determination and, for that purpose, may impose on one or more of the parties the terms it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court may at any time stay any proceeding related to the class proceeding on the terms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Outside of the class action context, the leading case in British Columbia on whether third party proceedings should be tried at the same time as the issues between plaintiffs and defendants is </w:t>
      </w:r>
      <w:r>
        <w:rPr>
          <w:rFonts w:ascii="arial" w:eastAsia="arial" w:hAnsi="arial" w:cs="arial"/>
          <w:i/>
          <w:color w:val="000000"/>
          <w:sz w:val="20"/>
          <w:lang w:val="en-US" w:eastAsia="en-US" w:bidi="ar-SA"/>
        </w:rPr>
        <w:t>Aylsworth v. Richardson Greenshields of Canada Ltd.</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(1987), 20 B.C.L.R. (2d) 43</w:t>
        </w:r>
      </w:hyperlink>
      <w:r>
        <w:rPr>
          <w:rFonts w:ascii="arial" w:eastAsia="arial" w:hAnsi="arial" w:cs="arial"/>
          <w:color w:val="000000"/>
          <w:sz w:val="20"/>
          <w:lang w:val="en-US" w:eastAsia="en-US" w:bidi="ar-SA"/>
        </w:rPr>
        <w:t xml:space="preserve"> (S.C.). The decision was premised on a finding that the addition of the third party issues would lengthen the trial considerably. The court ordered that the third party issues be tried after the trial of the issues between the plaintiffs and the defendants in order to prevent delay and unnecessary prejudice to the plaintiffs in the prosecution of their claim. The court also ordered that the third parties would not be bound by the results of the trial so there would be no need for them to take part in that trial. The court concluded that the risk of inconsistent verdicts would be minimized by having the same judge preside at both the main trial and the trial of the third party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similar result was reached in </w:t>
      </w:r>
      <w:r>
        <w:rPr>
          <w:rFonts w:ascii="arial" w:eastAsia="arial" w:hAnsi="arial" w:cs="arial"/>
          <w:i/>
          <w:color w:val="000000"/>
          <w:sz w:val="20"/>
          <w:lang w:val="en-US" w:eastAsia="en-US" w:bidi="ar-SA"/>
        </w:rPr>
        <w:t>Module Resources Inc. v. Sookochoff</w:t>
      </w:r>
      <w:r>
        <w:rPr>
          <w:rFonts w:ascii="arial" w:eastAsia="arial" w:hAnsi="arial" w:cs="arial"/>
          <w:color w:val="000000"/>
          <w:sz w:val="20"/>
          <w:lang w:val="en-US" w:eastAsia="en-US" w:bidi="ar-SA"/>
        </w:rPr>
        <w:t xml:space="preserve"> </w:t>
      </w:r>
      <w:hyperlink r:id="rId1125" w:history="1">
        <w:r>
          <w:rPr>
            <w:rFonts w:ascii="arial" w:eastAsia="arial" w:hAnsi="arial" w:cs="arial"/>
            <w:i/>
            <w:color w:val="0077CC"/>
            <w:sz w:val="20"/>
            <w:u w:val="single"/>
            <w:shd w:val="clear" w:color="auto" w:fill="FFFFFF"/>
            <w:lang w:val="en-US" w:eastAsia="en-US" w:bidi="ar-SA"/>
          </w:rPr>
          <w:t>(1997), 41 B.C.L.R. (3d) 319</w:t>
        </w:r>
      </w:hyperlink>
      <w:r>
        <w:rPr>
          <w:rFonts w:ascii="arial" w:eastAsia="arial" w:hAnsi="arial" w:cs="arial"/>
          <w:color w:val="000000"/>
          <w:sz w:val="20"/>
          <w:lang w:val="en-US" w:eastAsia="en-US" w:bidi="ar-SA"/>
        </w:rPr>
        <w:t xml:space="preserve"> (S.C.), where Leggatt J. applied </w:t>
      </w:r>
      <w:r>
        <w:rPr>
          <w:rFonts w:ascii="arial" w:eastAsia="arial" w:hAnsi="arial" w:cs="arial"/>
          <w:i/>
          <w:color w:val="000000"/>
          <w:sz w:val="20"/>
          <w:lang w:val="en-US" w:eastAsia="en-US" w:bidi="ar-SA"/>
        </w:rPr>
        <w:t>Aylsworth</w:t>
      </w:r>
      <w:r>
        <w:rPr>
          <w:rFonts w:ascii="arial" w:eastAsia="arial" w:hAnsi="arial" w:cs="arial"/>
          <w:color w:val="000000"/>
          <w:sz w:val="20"/>
          <w:lang w:val="en-US" w:eastAsia="en-US" w:bidi="ar-SA"/>
        </w:rPr>
        <w:t xml:space="preserve"> and stated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third party proceedings will lengthen the trial significantly, the plaintiff will suffer prejudice and delay. The appropriate terms to order pursuant to Rule 22(18) are that third party issues are to be tried separately and that the third parties would not be bound by the determination of issues between the plaintiffs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current version of former Rule 22(18) is R. 3-5(14)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a party as a result of that third party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questions of prejudice and unnecessary delay are of particular importance in class proceedings. As noted in</w:t>
      </w:r>
      <w:r>
        <w:rPr>
          <w:rFonts w:ascii="arial" w:eastAsia="arial" w:hAnsi="arial" w:cs="arial"/>
          <w:i/>
          <w:color w:val="000000"/>
          <w:sz w:val="20"/>
          <w:lang w:val="en-US" w:eastAsia="en-US" w:bidi="ar-SA"/>
        </w:rPr>
        <w:t xml:space="preserve"> Hollick v. Toronto (City)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15, class proceedings are intended to provide fair and expeditious access to justice because of the important advantages they offer to class members over individual suits. To the extent that a class action is unnecessarily delayed or prolonged, the underlying purpose of class proceedings may be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agree that the trial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would be prolonged considerably if the third party proceedings were tried concurrently. Various estimates as to the amount of time that might be added to the trial were given by counsel at the hearing of this application. It was suggested that the trial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might be heard in ten days, while a combined trial would take six to ten weeks. While I cannot be particularly confident in the estimates given to me, my best estimate is that if the third party proceedings are tried concurrently with the common issues, it would add three or more weeks to the length of trial and would at least double the trial time. In addition to lengthening the trial, the commencement of the trial would undoubtedly be delayed to accommodate all of the pretrial procedures that would be required for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also clear that an increase in the length of the trial and a delay in the commencement of it would cause prejudice to the class members. This action has proceeded extraordinarily slowly and the hearing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should not be delayed any further. Of course, the order sought by UBC would also result in potential prejudice to the third parties. If UBC is successful in a common issues trial, there would be no need for a trial of the third party issues. Even if UBC is unsuccessful, the findings in the common issues trial may help to narrow the issues that need to be considered at the third party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will be evident that my current views regarding the connection between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and the third party issues are different than those expressed in my initial ruling on certification. In that decision (which is indexed at </w:t>
      </w:r>
      <w:hyperlink r:id="rId1126" w:history="1">
        <w:r>
          <w:rPr>
            <w:rFonts w:ascii="arial" w:eastAsia="arial" w:hAnsi="arial" w:cs="arial"/>
            <w:i/>
            <w:color w:val="0077CC"/>
            <w:sz w:val="20"/>
            <w:u w:val="single"/>
            <w:shd w:val="clear" w:color="auto" w:fill="FFFFFF"/>
            <w:lang w:val="en-US" w:eastAsia="en-US" w:bidi="ar-SA"/>
          </w:rPr>
          <w:t>2009 BCSC 196</w:t>
        </w:r>
      </w:hyperlink>
      <w:r>
        <w:rPr>
          <w:rFonts w:ascii="arial" w:eastAsia="arial" w:hAnsi="arial" w:cs="arial"/>
          <w:color w:val="000000"/>
          <w:sz w:val="20"/>
          <w:lang w:val="en-US" w:eastAsia="en-US" w:bidi="ar-SA"/>
        </w:rPr>
        <w:t xml:space="preserve">), I commented at para. 60 on the close intertwining of the third party issues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difficult to see how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could be heard, or what could be accomplished, without the third parties present. The question as to whether UBC breached the standard of care for a sperm storage facility operator is so closely intertwined with the issues raised between the third parties and UBC that this approach is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now persuaded that my earlier view is incorrect.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UBC are focused almost entirely on decisions which are alleged to have been made by UBC alone. This includes UBC's decision to store the sperm samples in an electric freezer rather than to use cryogenic refrigeration, which the plaintiff says is the only system which can meet the standard of care. Other important decisions alleged to have been made by UBC alone include: the failure to have a source of backup power available for the freezer; the decision to allow the freezer to fluctuate to temperatures below the minimum required for safe storage of sperm; and the failure to separate the sperm specimens into two or more freezers as a precautionary measure. The principal allegations are all based on acts or omissions of UBC which do not involve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UBC argues, there are some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it which do involve its interaction with third parties. These are primarily allegations in relation to the alarm system. It may be that these allegations will require some witnesses from the third parties to give evidence at the common issues trial. Of course, that can be accommodated. However, I accept the plaintiff's submission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alarm system are secondary to the principal allegations advanced by the plaintiff. The plaintiff says that an electric freezer system for storage of sperm which relied primarily on an alarm system to prevent damage to the sperm is inadequate. The fact that there may be some duplication of evidence on relatively minor issues is a consideration. However, where the common issues and third party trials will be heard by the same judge, there is little risk of inconsistent findings. In short, I accept that the third party issues are intertwined with the allegations to be considered in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to a minor degree. This consideration is not sufficient to counterbalance the 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I have indicated above, the plaintiff's decision to limit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bring the action only against UBC should not be lightly disregarded. A similar point was considered in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where the Court at para. 30, specifically approved of the comment of Mackenzie J.A. in the Court of Appeal decision: class members "are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wish to advance to make the case more amenable to class proceedings if they choose to do so". The plaintiff chose to bring the class proceeding solely against UBC focusing on the acts and omissions of UBC alone. Given the limited degree of interconnection between the third party issues and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and the prejudice which would be suffered to both the plaintiff and the third parties, I dismiss UBC's application to have the trials heard concurrently.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remaining consideration is what terms should be ordered to avoid prejudice to any of the parties and to put in place a fair and efficient process for the resolution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I have dismissed UBC's application to have the third party actions tried concurrently, I am of the view that I need not order a stay of the third party proceedings. No stay has been ordered to date which has permitted the parties to conduct discoveries and obtain discovery of documents. There is no need to stop those pre-trial proceedings at this stage. Indeed, they should continue so that the third party issues can be ready to proceed to trial in the event the plaintiff is successful in the common issues trial. The only order I need to make is that the trial of the third party proceedings take place after a decision has been rendered in the common issues trial. I also order that both trials shall be heard by the same judge. Of course, I have been assigned to this matter and will continue to hear any applications as well as the trial of any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next issue to be considered is whether the third parties will be bound by findings made in the common issues trial. Contrary to the submissions of UBC, the circumstances of this case are such that there is little risk that the efficacy of the class proceeding would be destroyed because of re-litigation of issues of fact in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question has been considered in a number of class proceedings. The decisions turn on the extent to which the third party claims are interconnected with the issues between the plaintiffs and defendants.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[1996] B.C.J. No. 2052</w:t>
        </w:r>
      </w:hyperlink>
      <w:r>
        <w:rPr>
          <w:rFonts w:ascii="arial" w:eastAsia="arial" w:hAnsi="arial" w:cs="arial"/>
          <w:color w:val="000000"/>
          <w:sz w:val="20"/>
          <w:lang w:val="en-US" w:eastAsia="en-US" w:bidi="ar-SA"/>
        </w:rPr>
        <w:t xml:space="preserve"> (S.C.), the court determined that the third parties should be bound by the findings of fact which would be made in the common issues trial. This was not surprising given that the third parties were in a similar position in relation to the class members as the primary defendants. In other words, the ruling was necessary to bind both the plaintiffs and third parties to a decision that would be made in the common issues trial. That situation is very different from the present case where the class members have no claims against or interaction with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(1999), 68 B.C.L.R. (3d) 293</w:t>
        </w:r>
      </w:hyperlink>
      <w:r>
        <w:rPr>
          <w:rFonts w:ascii="arial" w:eastAsia="arial" w:hAnsi="arial" w:cs="arial"/>
          <w:color w:val="000000"/>
          <w:sz w:val="20"/>
          <w:lang w:val="en-US" w:eastAsia="en-US" w:bidi="ar-SA"/>
        </w:rPr>
        <w:t xml:space="preserve"> (S.C.), Tysoe J. issued a stay of the third party claims at the time of certification of the class proceeding. In doing so, he distinguished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because he was of the view that the common issues trial would not involve extensive investigation into the activities of the third parties. He concluded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submission of counsel for Mr. Nairne that the decision of Hutchinson J.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to bind the third parties with the findings at the trial of the common issues is distinguishable from the present situation. First, it was the view of Hutchinson J. that the third parties had relied on the defendants with respect to the matter which was to be one of the common issues. It appears that these defendants had an identity of interest with the third parties on the common issues. There is not the same identity of interest between the Defendants and the Third Parties in the case at bar, and it is possible that the Defendants may introduce evidence which is prejudicial to the Third Parties. Second, Hutchinson J. based his decision on the goal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promote administrative efficiency in the courts. In my view, there will be little, if any, improvement in administrative efficiency in this case by not requiring the Third Parties to be bound by the findings of fact at the trial of the common issues. In the circumstances of the case before me and for the reasons outlined by McEachern C.J.S.C. in </w:t>
      </w:r>
      <w:r>
        <w:rPr>
          <w:rFonts w:ascii="arial" w:eastAsia="arial" w:hAnsi="arial" w:cs="arial"/>
          <w:i/>
          <w:color w:val="000000"/>
          <w:sz w:val="20"/>
          <w:lang w:val="en-US" w:eastAsia="en-US" w:bidi="ar-SA"/>
        </w:rPr>
        <w:t>Aylsworth v. Richardson Greenshields of Canada Ltd.</w:t>
      </w:r>
      <w:r>
        <w:rPr>
          <w:rFonts w:ascii="arial" w:eastAsia="arial" w:hAnsi="arial" w:cs="arial"/>
          <w:color w:val="000000"/>
          <w:sz w:val="20"/>
          <w:lang w:val="en-US" w:eastAsia="en-US" w:bidi="ar-SA"/>
        </w:rPr>
        <w:t>, I prefer the more traditional approach of directing that third parties are not to be bound by findings of fact at trials in which they do not participate. Of course, the rulings on the common issues themselves will be binding on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comments are applicable to the present case. The third parties do not have an identity of interest with UBC who may introduce evidence prejudicial to them. There would be little or no administrative efficiency in proceeding as UBC proposes. There is no reason to deviate from the traditional approach of directing that the third parties not be bound by findings of fact at the common issues trial at which they are not participating.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I make the following orders:</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dismiss UBC's application to amend the certification order by adding a common issue dealing with causation.</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dismiss UBC's application to have the third party proceedings tried concurrently with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of the third party proceedings shall be heard after a decision has been rendered in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trial. The same judge will hear both trials.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parties will not be bound by any findings of fact made at the trial of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9683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Aiken (Guardian ad litem of) v. Van Dyk, [2001] B.C.J. No. 1751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Akintoye v. Birnbaum, [2017] B.C.J. No. 1267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Andrews v. Hay, [2015] B.C.J. No. 1936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Binette v. Salmon Arm (City), [2017] I.L.R. para. G-2768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(Ministry of Forests) v. Pope &amp; Talbot Ltd., [2007] B.C.J. No. 2362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Bulwer v. Canadian Mental Health Assn., [2016] B.C.J. No. 1249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Chamberlain v. Pro Star Mechanical Technologies Ltd., [2014] B.C.J. No. 2669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Claiter v. Rose, [2005] B.C.J. No. 254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Collins v. Rees, [2012] B.C.J. No. 2032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Costello v. Hornby Island Local Trust Committee, [2009] B.C.J. No. 1950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Fakhri v. Alfalfa's Canada, Inc. (c.o.b. Capers Community Market), [2003] B.C.J. No. 2618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FFS HK Ltd. v. P.T. 25 (The), [2010] B.C.J. No. 2349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Johnston, [2001] B.C.J. No. 2721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Helen's Grill Ltd. v. Yi Sheng Enterprises Ltd., [2018] B.C.J. No. 3091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Hewko (guardian ad litem of) v. British Columbia, [2006] B.C.J. No. 2877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 v. British Columbia, [2008] B.C.J. No. 1384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v. Anderson, [2010] I.L.R. para. G-2342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Jennings v. John Doe, [2010] B.C.J. No. 2212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 v. Friesen, [2011] B.C.J. No. 2389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Phan, [2013] B.C.J. No. 1578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Murdoch v. Biggers, [2012] B.C.J. No. 1021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Nandha v. Singh, [2001] B.C.J. No. 940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Nason v. Nunes, [2007] B.C.J. No. 444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Olenga v. Sisett &amp; Co., [2010] B.C.J. No. 359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Osborne v. Harper, [2005] B.C.J. No. 1849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Paramount Resources v. Import Tool Corp., [2018] B.C.J. No. 662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P.S.D. Enterprises Ltd. v. New Westminster (City), [2011] B.C.J. No. 643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Rafiki Properties Ltd. v. Integrated Housing Development Ltd., [2000] B.C.J. No. 1061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v. Ford Motor Co., [2003] B.C.J. No. 2489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Ryan Mortgage Income Fund Inc. v. Alpine Credits Ltd., [2016] B.C.J. No. 1868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Shariatmadari v. Ahmadi, [2009] B.C.J. No. 2277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Texada Land Corp. v. Texada Logging Ltd., [2002] B.C.J. No. 904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 v. Kim Le Holdings Ltd., [2011] B.C.J. No. 2380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WM Enterprises Inc. v. Consumers Choice Mortgages Inc., [2017] B.C.J. No. 427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Wu v. Sun-Gifford, [2001] B.C.J. No. 222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Carmichael v. Kwon, [2016] B.C.J. No. 313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Deol v. Sheikh, [2016] B.C.J. No. 2717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Fontaine v. Canada (Attorney General), [2017] 1 C.N.L.R. 104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Frayne v. Alleman, [2006] B.C.J. No. 3428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Guitierrez v. Covvey, [2015] B.C.J. No. 441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Kaler v. Lee, [2016] B.C.J. No. 1278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Kathuria v. Wildgrove, [2014] B.C.J. No. 1443</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Ladas v. Apple Inc., [2014] B.C.J. No. 2429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Laidar Holdings Ltd. v. Lindt &amp; Sprungli (Canada) Inc., [2019] B.C.J. No. 89</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Rizzolo v. Brett, [2009] B.C.J. No. 1098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Saether v. Irvine, [2012] I.L.R. para. G-2423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Symons v. Insurance Corp. of British Columbia, [2016] B.C.J. No. 1909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Zhang v. Law, [2009] B.C.J. No. 1468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 West Inc. v. Copper Mountain Mining Corp., [2012] B.C.J. No. 947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 v. University of British Columbia, [2014] B.C.J. No. 694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9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8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5"/>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1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3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3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3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2AAD86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8F844A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FCF72C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11F8315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164C0A1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17356066"/>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18697172"/>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1C306A1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1C6B349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21B0C500"/>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25543CA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268D4C7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26E1A7A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2925B58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29544413"/>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2AB5D90C"/>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2BBEDA75"/>
    <w:multiLevelType w:val="multilevel"/>
    <w:tmpl w:val="00000001"/>
    <w:lvl w:ilvl="0">
      <w:start w:val="1"/>
      <w:numFmt w:val="decimal"/>
      <w:lvlText w:val="10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2F9E467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2FBBC0C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30A17EF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3509AF4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3E179D9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3F9C444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45BE367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486E4904"/>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4F25CE9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5025FA7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561F3F9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59CD209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5C7409E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5FB2681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61CA221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6482BED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65A4EC9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664DE9D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6DF5E4A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6F7A997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6FD88DA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76D91E5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77EC244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7A449AF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7CC2838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70"/>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179"/>
  </w:num>
  <w:num w:numId="62">
    <w:abstractNumId w:val="175"/>
  </w:num>
  <w:num w:numId="63">
    <w:abstractNumId w:val="145"/>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154"/>
  </w:num>
  <w:num w:numId="79">
    <w:abstractNumId w:val="159"/>
  </w:num>
  <w:num w:numId="80">
    <w:abstractNumId w:val="163"/>
  </w:num>
  <w:num w:numId="81">
    <w:abstractNumId w:val="174"/>
  </w:num>
  <w:num w:numId="82">
    <w:abstractNumId w:val="178"/>
  </w:num>
  <w:num w:numId="83">
    <w:abstractNumId w:val="161"/>
  </w:num>
  <w:num w:numId="84">
    <w:abstractNumId w:val="153"/>
  </w:num>
  <w:num w:numId="85">
    <w:abstractNumId w:val="169"/>
  </w:num>
  <w:num w:numId="86">
    <w:abstractNumId w:val="142"/>
  </w:num>
  <w:num w:numId="87">
    <w:abstractNumId w:val="138"/>
  </w:num>
  <w:num w:numId="88">
    <w:abstractNumId w:val="164"/>
  </w:num>
  <w:num w:numId="89">
    <w:abstractNumId w:val="167"/>
  </w:num>
  <w:num w:numId="90">
    <w:abstractNumId w:val="156"/>
  </w:num>
  <w:num w:numId="91">
    <w:abstractNumId w:val="157"/>
  </w:num>
  <w:num w:numId="92">
    <w:abstractNumId w:val="150"/>
  </w:num>
  <w:num w:numId="93">
    <w:abstractNumId w:val="158"/>
  </w:num>
  <w:num w:numId="94">
    <w:abstractNumId w:val="166"/>
  </w:num>
  <w:num w:numId="95">
    <w:abstractNumId w:val="176"/>
  </w:num>
  <w:num w:numId="96">
    <w:abstractNumId w:val="148"/>
  </w:num>
  <w:num w:numId="97">
    <w:abstractNumId w:val="147"/>
  </w:num>
  <w:num w:numId="98">
    <w:abstractNumId w:val="173"/>
  </w:num>
  <w:num w:numId="99">
    <w:abstractNumId w:val="151"/>
  </w:num>
  <w:num w:numId="100">
    <w:abstractNumId w:val="165"/>
  </w:num>
  <w:num w:numId="101">
    <w:abstractNumId w:val="160"/>
  </w:num>
  <w:num w:numId="102">
    <w:abstractNumId w:val="162"/>
  </w:num>
  <w:num w:numId="103">
    <w:abstractNumId w:val="146"/>
  </w:num>
  <w:num w:numId="104">
    <w:abstractNumId w:val="139"/>
  </w:num>
  <w:num w:numId="105">
    <w:abstractNumId w:val="171"/>
  </w:num>
  <w:num w:numId="106">
    <w:abstractNumId w:val="155"/>
  </w:num>
  <w:num w:numId="107">
    <w:abstractNumId w:val="177"/>
  </w:num>
  <w:num w:numId="108">
    <w:abstractNumId w:val="143"/>
  </w:num>
  <w:num w:numId="109">
    <w:abstractNumId w:val="168"/>
  </w:num>
  <w:num w:numId="110">
    <w:abstractNumId w:val="149"/>
  </w:num>
  <w:num w:numId="111">
    <w:abstractNumId w:val="172"/>
  </w:num>
  <w:num w:numId="112">
    <w:abstractNumId w:val="73"/>
  </w:num>
  <w:num w:numId="113">
    <w:abstractNumId w:val="74"/>
  </w:num>
  <w:num w:numId="114">
    <w:abstractNumId w:val="75"/>
  </w:num>
  <w:num w:numId="115">
    <w:abstractNumId w:val="76"/>
  </w:num>
  <w:num w:numId="116">
    <w:abstractNumId w:val="77"/>
  </w:num>
  <w:num w:numId="117">
    <w:abstractNumId w:val="78"/>
  </w:num>
  <w:num w:numId="118">
    <w:abstractNumId w:val="79"/>
  </w:num>
  <w:num w:numId="119">
    <w:abstractNumId w:val="80"/>
  </w:num>
  <w:num w:numId="120">
    <w:abstractNumId w:val="81"/>
  </w:num>
  <w:num w:numId="121">
    <w:abstractNumId w:val="82"/>
  </w:num>
  <w:num w:numId="122">
    <w:abstractNumId w:val="83"/>
  </w:num>
  <w:num w:numId="123">
    <w:abstractNumId w:val="84"/>
  </w:num>
  <w:num w:numId="124">
    <w:abstractNumId w:val="85"/>
  </w:num>
  <w:num w:numId="125">
    <w:abstractNumId w:val="86"/>
  </w:num>
  <w:num w:numId="126">
    <w:abstractNumId w:val="87"/>
  </w:num>
  <w:num w:numId="127">
    <w:abstractNumId w:val="88"/>
  </w:num>
  <w:num w:numId="128">
    <w:abstractNumId w:val="89"/>
  </w:num>
  <w:num w:numId="129">
    <w:abstractNumId w:val="90"/>
  </w:num>
  <w:num w:numId="130">
    <w:abstractNumId w:val="91"/>
  </w:num>
  <w:num w:numId="131">
    <w:abstractNumId w:val="92"/>
  </w:num>
  <w:num w:numId="132">
    <w:abstractNumId w:val="93"/>
  </w:num>
  <w:num w:numId="133">
    <w:abstractNumId w:val="94"/>
  </w:num>
  <w:num w:numId="134">
    <w:abstractNumId w:val="95"/>
  </w:num>
  <w:num w:numId="135">
    <w:abstractNumId w:val="96"/>
  </w:num>
  <w:num w:numId="136">
    <w:abstractNumId w:val="97"/>
  </w:num>
  <w:num w:numId="137">
    <w:abstractNumId w:val="98"/>
  </w:num>
  <w:num w:numId="138">
    <w:abstractNumId w:val="144"/>
  </w:num>
  <w:num w:numId="139">
    <w:abstractNumId w:val="99"/>
  </w:num>
  <w:num w:numId="140">
    <w:abstractNumId w:val="100"/>
  </w:num>
  <w:num w:numId="141">
    <w:abstractNumId w:val="101"/>
  </w:num>
  <w:num w:numId="142">
    <w:abstractNumId w:val="102"/>
  </w:num>
  <w:num w:numId="143">
    <w:abstractNumId w:val="103"/>
  </w:num>
  <w:num w:numId="144">
    <w:abstractNumId w:val="104"/>
  </w:num>
  <w:num w:numId="145">
    <w:abstractNumId w:val="105"/>
  </w:num>
  <w:num w:numId="146">
    <w:abstractNumId w:val="106"/>
  </w:num>
  <w:num w:numId="147">
    <w:abstractNumId w:val="107"/>
  </w:num>
  <w:num w:numId="148">
    <w:abstractNumId w:val="108"/>
  </w:num>
  <w:num w:numId="149">
    <w:abstractNumId w:val="109"/>
  </w:num>
  <w:num w:numId="150">
    <w:abstractNumId w:val="110"/>
  </w:num>
  <w:num w:numId="151">
    <w:abstractNumId w:val="111"/>
  </w:num>
  <w:num w:numId="152">
    <w:abstractNumId w:val="112"/>
  </w:num>
  <w:num w:numId="153">
    <w:abstractNumId w:val="113"/>
  </w:num>
  <w:num w:numId="154">
    <w:abstractNumId w:val="114"/>
  </w:num>
  <w:num w:numId="155">
    <w:abstractNumId w:val="115"/>
  </w:num>
  <w:num w:numId="156">
    <w:abstractNumId w:val="116"/>
  </w:num>
  <w:num w:numId="157">
    <w:abstractNumId w:val="117"/>
  </w:num>
  <w:num w:numId="158">
    <w:abstractNumId w:val="118"/>
  </w:num>
  <w:num w:numId="159">
    <w:abstractNumId w:val="119"/>
  </w:num>
  <w:num w:numId="160">
    <w:abstractNumId w:val="120"/>
  </w:num>
  <w:num w:numId="161">
    <w:abstractNumId w:val="121"/>
  </w:num>
  <w:num w:numId="162">
    <w:abstractNumId w:val="122"/>
  </w:num>
  <w:num w:numId="163">
    <w:abstractNumId w:val="123"/>
  </w:num>
  <w:num w:numId="164">
    <w:abstractNumId w:val="124"/>
  </w:num>
  <w:num w:numId="165">
    <w:abstractNumId w:val="125"/>
  </w:num>
  <w:num w:numId="166">
    <w:abstractNumId w:val="126"/>
  </w:num>
  <w:num w:numId="167">
    <w:abstractNumId w:val="127"/>
  </w:num>
  <w:num w:numId="168">
    <w:abstractNumId w:val="128"/>
  </w:num>
  <w:num w:numId="169">
    <w:abstractNumId w:val="129"/>
  </w:num>
  <w:num w:numId="170">
    <w:abstractNumId w:val="130"/>
  </w:num>
  <w:num w:numId="171">
    <w:abstractNumId w:val="131"/>
  </w:num>
  <w:num w:numId="172">
    <w:abstractNumId w:val="132"/>
  </w:num>
  <w:num w:numId="173">
    <w:abstractNumId w:val="133"/>
  </w:num>
  <w:num w:numId="174">
    <w:abstractNumId w:val="134"/>
  </w:num>
  <w:num w:numId="175">
    <w:abstractNumId w:val="135"/>
  </w:num>
  <w:num w:numId="176">
    <w:abstractNumId w:val="136"/>
  </w:num>
  <w:num w:numId="177">
    <w:abstractNumId w:val="137"/>
  </w:num>
  <w:num w:numId="178">
    <w:abstractNumId w:val="152"/>
  </w:num>
  <w:num w:numId="179">
    <w:abstractNumId w:val="140"/>
  </w:num>
  <w:num w:numId="180">
    <w:abstractNumId w:val="1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06F-242F-00000-00&amp;context=" TargetMode="External" /><Relationship Id="rId100" Type="http://schemas.openxmlformats.org/officeDocument/2006/relationships/hyperlink" Target="https://advance.lexis.com/api/document?collection=cases-ca&amp;id=urn:contentItem:5F7T-S7K1-DY33-B1N9-00000-00&amp;context=" TargetMode="External" /><Relationship Id="rId1000" Type="http://schemas.openxmlformats.org/officeDocument/2006/relationships/hyperlink" Target="https://advance.lexis.com/api/document?collection=cases-ca&amp;id=urn:contentItem:5F8T-N3V1-JTGH-B10F-00000-00&amp;context=" TargetMode="External" /><Relationship Id="rId1001" Type="http://schemas.openxmlformats.org/officeDocument/2006/relationships/hyperlink" Target="https://advance.lexis.com/api/document?collection=cases-ca&amp;id=urn:contentItem:5F7T-S7M1-DYMS-628H-00000-00&amp;context=" TargetMode="External" /><Relationship Id="rId1002" Type="http://schemas.openxmlformats.org/officeDocument/2006/relationships/hyperlink" Target="https://advance.lexis.com/api/document?collection=cases-ca&amp;id=urn:contentItem:5F7T-S7H1-F4GK-M2X8-00000-00&amp;context=" TargetMode="External" /><Relationship Id="rId1003" Type="http://schemas.openxmlformats.org/officeDocument/2006/relationships/hyperlink" Target="https://advance.lexis.com/api/document?collection=cases-ca&amp;id=urn:contentItem:5F7T-S731-F1WF-M231-00000-00&amp;context=" TargetMode="External" /><Relationship Id="rId1004" Type="http://schemas.openxmlformats.org/officeDocument/2006/relationships/hyperlink" Target="https://advance.lexis.com/api/document?collection=cases-ca&amp;id=urn:contentItem:5F7T-S6R1-DXWW-230S-00000-00&amp;context=" TargetMode="External" /><Relationship Id="rId1005" Type="http://schemas.openxmlformats.org/officeDocument/2006/relationships/hyperlink" Target="https://advance.lexis.com/api/document?collection=cases-ca&amp;id=urn:contentItem:5F7T-S6T1-F2F4-G1YT-00000-00&amp;context=" TargetMode="External" /><Relationship Id="rId1006" Type="http://schemas.openxmlformats.org/officeDocument/2006/relationships/hyperlink" Target="https://advance.lexis.com/api/document?collection=cases-ca&amp;id=urn:contentItem:5F7T-S6V1-JC0G-62HV-00000-00&amp;context=" TargetMode="External" /><Relationship Id="rId1007" Type="http://schemas.openxmlformats.org/officeDocument/2006/relationships/hyperlink" Target="https://advance.lexis.com/api/document?collection=cases-ca&amp;id=urn:contentItem:5F7T-S6T1-F8KH-X0WX-00000-00&amp;context=" TargetMode="External" /><Relationship Id="rId1008" Type="http://schemas.openxmlformats.org/officeDocument/2006/relationships/hyperlink" Target="https://advance.lexis.com/api/document?collection=cases-ca&amp;id=urn:contentItem:5F7T-S711-JNS1-M17V-00000-00&amp;context=" TargetMode="External" /><Relationship Id="rId1009" Type="http://schemas.openxmlformats.org/officeDocument/2006/relationships/hyperlink" Target="https://advance.lexis.com/api/document?collection=cases-ca&amp;id=urn:contentItem:5F7T-S7J1-JYYX-62BW-00000-00&amp;context=" TargetMode="External" /><Relationship Id="rId101" Type="http://schemas.openxmlformats.org/officeDocument/2006/relationships/header" Target="header10.xml" /><Relationship Id="rId1010" Type="http://schemas.openxmlformats.org/officeDocument/2006/relationships/hyperlink" Target="https://advance.lexis.com/api/document?collection=cases-ca&amp;id=urn:contentItem:5F7T-S7G1-JWR6-S1H2-00000-00&amp;context=" TargetMode="External" /><Relationship Id="rId1011" Type="http://schemas.openxmlformats.org/officeDocument/2006/relationships/hyperlink" Target="https://advance.lexis.com/api/document?collection=cases-ca&amp;id=urn:contentItem:5F7T-S751-JG02-S26M-00000-00&amp;context=" TargetMode="External" /><Relationship Id="rId1012" Type="http://schemas.openxmlformats.org/officeDocument/2006/relationships/hyperlink" Target="https://advance.lexis.com/api/document?collection=cases-ca&amp;id=urn:contentItem:5F7T-S761-F81W-2248-00000-00&amp;context=" TargetMode="External" /><Relationship Id="rId1013" Type="http://schemas.openxmlformats.org/officeDocument/2006/relationships/hyperlink" Target="https://advance.lexis.com/api/document?collection=cases-ca&amp;id=urn:contentItem:5F7T-S781-DYMS-61CR-00000-00&amp;context=" TargetMode="External" /><Relationship Id="rId1014" Type="http://schemas.openxmlformats.org/officeDocument/2006/relationships/hyperlink" Target="https://advance.lexis.com/api/document?collection=cases-ca&amp;id=urn:contentItem:5F7T-S7K1-F528-G2SS-00000-00&amp;context=" TargetMode="External" /><Relationship Id="rId1015" Type="http://schemas.openxmlformats.org/officeDocument/2006/relationships/hyperlink" Target="https://advance.lexis.com/api/document?collection=cases-ca&amp;id=urn:contentItem:5F7T-S7K1-F1H1-223T-00000-00&amp;context=" TargetMode="External" /><Relationship Id="rId1016" Type="http://schemas.openxmlformats.org/officeDocument/2006/relationships/hyperlink" Target="https://advance.lexis.com/api/document?collection=cases-ca&amp;id=urn:contentItem:5F7T-S6X1-F06F-22SH-00000-00&amp;context=" TargetMode="External" /><Relationship Id="rId1017" Type="http://schemas.openxmlformats.org/officeDocument/2006/relationships/hyperlink" Target="https://advance.lexis.com/api/document?collection=cases-ca&amp;id=urn:contentItem:5F82-1SB1-FBFS-S42M-00000-00&amp;context=" TargetMode="External" /><Relationship Id="rId1018" Type="http://schemas.openxmlformats.org/officeDocument/2006/relationships/hyperlink" Target="https://advance.lexis.com/api/document?collection=cases-ca&amp;id=urn:contentItem:5F7T-S731-F1WF-M229-00000-00&amp;context=" TargetMode="External" /><Relationship Id="rId1019" Type="http://schemas.openxmlformats.org/officeDocument/2006/relationships/hyperlink" Target="https://advance.lexis.com/api/document?collection=cases-ca&amp;id=urn:contentItem:5F7T-S7H1-JS5Y-B35X-00000-00&amp;context=" TargetMode="External" /><Relationship Id="rId102" Type="http://schemas.openxmlformats.org/officeDocument/2006/relationships/header" Target="header11.xml" /><Relationship Id="rId1020" Type="http://schemas.openxmlformats.org/officeDocument/2006/relationships/hyperlink" Target="https://advance.lexis.com/api/document?collection=cases-ca&amp;id=urn:contentItem:5F7T-S7H1-JCRC-B0XG-00000-00&amp;context=" TargetMode="External" /><Relationship Id="rId1021" Type="http://schemas.openxmlformats.org/officeDocument/2006/relationships/hyperlink" Target="https://advance.lexis.com/api/document?collection=cases-ca&amp;id=urn:contentItem:5F7T-S7K1-F528-G2V7-00000-00&amp;context=" TargetMode="External" /><Relationship Id="rId1022" Type="http://schemas.openxmlformats.org/officeDocument/2006/relationships/hyperlink" Target="https://advance.lexis.com/api/document?collection=cases-ca&amp;id=urn:contentItem:5F7T-S7J1-JNS1-M223-00000-00&amp;context=" TargetMode="External" /><Relationship Id="rId1023" Type="http://schemas.openxmlformats.org/officeDocument/2006/relationships/hyperlink" Target="https://advance.lexis.com/api/document?collection=cases-ca&amp;id=urn:contentItem:5F7T-S771-F361-M1VH-00000-00&amp;context=" TargetMode="External" /><Relationship Id="rId1024" Type="http://schemas.openxmlformats.org/officeDocument/2006/relationships/hyperlink" Target="https://advance.lexis.com/api/document?collection=cases-ca&amp;id=urn:contentItem:5F7T-S7H1-FCSB-S3RP-00000-00&amp;context=" TargetMode="External" /><Relationship Id="rId1025" Type="http://schemas.openxmlformats.org/officeDocument/2006/relationships/hyperlink" Target="https://advance.lexis.com/api/document?collection=cases-ca&amp;id=urn:contentItem:5GCC-XVC1-F900-G4K8-00000-00&amp;context=" TargetMode="External" /><Relationship Id="rId1026" Type="http://schemas.openxmlformats.org/officeDocument/2006/relationships/hyperlink" Target="https://advance.lexis.com/api/document?collection=cases-ca&amp;id=urn:contentItem:5R79-CD61-FG12-6379-00000-00&amp;context=" TargetMode="External" /><Relationship Id="rId1027" Type="http://schemas.openxmlformats.org/officeDocument/2006/relationships/hyperlink" Target="https://advance.lexis.com/api/document?collection=cases-ca&amp;id=urn:contentItem:5F7T-S7P1-F2TK-23G7-00000-00&amp;context=" TargetMode="External" /><Relationship Id="rId1028" Type="http://schemas.openxmlformats.org/officeDocument/2006/relationships/hyperlink" Target="https://advance.lexis.com/api/document?collection=cases-ca&amp;id=urn:contentItem:5F7T-S7M1-JJK6-S1M5-00000-00&amp;context=" TargetMode="External" /><Relationship Id="rId1029" Type="http://schemas.openxmlformats.org/officeDocument/2006/relationships/hyperlink" Target="https://advance.lexis.com/api/document?collection=cases-ca&amp;id=urn:contentItem:5S8H-74W1-F06F-24VT-00000-00&amp;context=" TargetMode="External" /><Relationship Id="rId103" Type="http://schemas.openxmlformats.org/officeDocument/2006/relationships/footer" Target="footer10.xml" /><Relationship Id="rId1030" Type="http://schemas.openxmlformats.org/officeDocument/2006/relationships/hyperlink" Target="https://advance.lexis.com/api/document?collection=cases-ca&amp;id=urn:contentItem:5F7T-S7D1-FC6N-X0WN-00000-00&amp;context=" TargetMode="External" /><Relationship Id="rId1031" Type="http://schemas.openxmlformats.org/officeDocument/2006/relationships/hyperlink" Target="https://advance.lexis.com/api/document?collection=cases-ca&amp;id=urn:contentItem:5F7T-S7P1-JNJT-B2S9-00000-00&amp;context=" TargetMode="External" /><Relationship Id="rId1032" Type="http://schemas.openxmlformats.org/officeDocument/2006/relationships/hyperlink" Target="https://advance.lexis.com/api/document?collection=cases-ca&amp;id=urn:contentItem:5F7T-S7D1-FBFS-S1SD-00000-00&amp;context=" TargetMode="External" /><Relationship Id="rId1033" Type="http://schemas.openxmlformats.org/officeDocument/2006/relationships/hyperlink" Target="https://advance.lexis.com/api/document?collection=cases-ca&amp;id=urn:contentItem:5F7T-S781-F7G6-63BD-00000-00&amp;context=" TargetMode="External" /><Relationship Id="rId1034" Type="http://schemas.openxmlformats.org/officeDocument/2006/relationships/hyperlink" Target="https://advance.lexis.com/api/document?collection=cases-ca&amp;id=urn:contentItem:5F7T-S7K1-JNY7-X4CH-00000-00&amp;context=" TargetMode="External" /><Relationship Id="rId1035" Type="http://schemas.openxmlformats.org/officeDocument/2006/relationships/hyperlink" Target="https://advance.lexis.com/api/document?collection=cases-ca&amp;id=urn:contentItem:5F7T-S721-F06F-236K-00000-00&amp;context=" TargetMode="External" /><Relationship Id="rId1036" Type="http://schemas.openxmlformats.org/officeDocument/2006/relationships/hyperlink" Target="https://advance.lexis.com/api/document?collection=cases-ca&amp;id=urn:contentItem:5F7T-S6T1-FJTD-G17V-00000-00&amp;context=" TargetMode="External" /><Relationship Id="rId1037" Type="http://schemas.openxmlformats.org/officeDocument/2006/relationships/hyperlink" Target="https://advance.lexis.com/api/document?collection=cases-ca&amp;id=urn:contentItem:5F7T-S7G1-FCYK-208R-00000-00&amp;context=" TargetMode="External" /><Relationship Id="rId1038" Type="http://schemas.openxmlformats.org/officeDocument/2006/relationships/hyperlink" Target="https://advance.lexis.com/api/document?collection=cases-ca&amp;id=urn:contentItem:5F7T-S7G1-JPP5-221F-00000-00&amp;context=" TargetMode="External" /><Relationship Id="rId1039" Type="http://schemas.openxmlformats.org/officeDocument/2006/relationships/hyperlink" Target="https://advance.lexis.com/api/document?collection=cases-ca&amp;id=urn:contentItem:5H6V-87H1-JCJ5-245H-00000-00&amp;context=" TargetMode="External" /><Relationship Id="rId104" Type="http://schemas.openxmlformats.org/officeDocument/2006/relationships/footer" Target="footer11.xml" /><Relationship Id="rId1040" Type="http://schemas.openxmlformats.org/officeDocument/2006/relationships/header" Target="header133.xml" /><Relationship Id="rId1041" Type="http://schemas.openxmlformats.org/officeDocument/2006/relationships/header" Target="header134.xml" /><Relationship Id="rId1042" Type="http://schemas.openxmlformats.org/officeDocument/2006/relationships/footer" Target="footer133.xml" /><Relationship Id="rId1043" Type="http://schemas.openxmlformats.org/officeDocument/2006/relationships/footer" Target="footer134.xml" /><Relationship Id="rId1044" Type="http://schemas.openxmlformats.org/officeDocument/2006/relationships/header" Target="header135.xml" /><Relationship Id="rId1045" Type="http://schemas.openxmlformats.org/officeDocument/2006/relationships/footer" Target="footer135.xml" /><Relationship Id="rId1046" Type="http://schemas.openxmlformats.org/officeDocument/2006/relationships/hyperlink" Target="https://advance.lexis.com/api/document?collection=cases-ca&amp;id=urn:contentItem:5F7T-S7J1-JNS1-M2JJ-00000-00&amp;context=" TargetMode="External" /><Relationship Id="rId1047" Type="http://schemas.openxmlformats.org/officeDocument/2006/relationships/hyperlink" Target="https://advance.lexis.com/api/document?collection=legislation-ca&amp;id=urn:contentItem:5F41-1FG1-JJYN-B03B-00000-00&amp;context=" TargetMode="External" /><Relationship Id="rId1048" Type="http://schemas.openxmlformats.org/officeDocument/2006/relationships/hyperlink" Target="https://advance.lexis.com/api/document?collection=legislation-ca&amp;id=urn:contentItem:5F97-RC81-FD4T-B2GB-00000-00&amp;context=" TargetMode="External" /><Relationship Id="rId1049" Type="http://schemas.openxmlformats.org/officeDocument/2006/relationships/hyperlink" Target="https://advance.lexis.com/api/document?collection=legislation-ca&amp;id=urn:contentItem:5F41-1FH1-F361-M0H8-00000-00&amp;context=" TargetMode="External" /><Relationship Id="rId105" Type="http://schemas.openxmlformats.org/officeDocument/2006/relationships/header" Target="header12.xml" /><Relationship Id="rId1050" Type="http://schemas.openxmlformats.org/officeDocument/2006/relationships/hyperlink" Target="https://advance.lexis.com/api/document?collection=cases-ca&amp;id=urn:contentItem:5F7T-S7J1-JNS1-M24J-00000-00&amp;context=" TargetMode="External" /><Relationship Id="rId1051" Type="http://schemas.openxmlformats.org/officeDocument/2006/relationships/hyperlink" Target="https://advance.lexis.com/api/document?collection=cases-ca&amp;id=urn:contentItem:5F81-YH41-JX8W-M05P-00000-00&amp;context=" TargetMode="External" /><Relationship Id="rId1052" Type="http://schemas.openxmlformats.org/officeDocument/2006/relationships/hyperlink" Target="https://advance.lexis.com/api/document?collection=cases-ca&amp;id=urn:contentItem:5F7T-S7G1-F5KY-B1CT-00000-00&amp;context=" TargetMode="External" /><Relationship Id="rId1053" Type="http://schemas.openxmlformats.org/officeDocument/2006/relationships/hyperlink" Target="https://advance.lexis.com/api/document?collection=cases-ca&amp;id=urn:contentItem:5F7T-S7C1-JXG3-X02B-00000-00&amp;context=" TargetMode="External" /><Relationship Id="rId1054" Type="http://schemas.openxmlformats.org/officeDocument/2006/relationships/hyperlink" Target="https://advance.lexis.com/api/document?collection=cases-ca&amp;id=urn:contentItem:5F7T-S7H1-F016-S3KS-00000-00&amp;context=" TargetMode="External" /><Relationship Id="rId1055" Type="http://schemas.openxmlformats.org/officeDocument/2006/relationships/hyperlink" Target="https://advance.lexis.com/api/document?collection=cases-ca&amp;id=urn:contentItem:5F7T-S7F1-F7VM-S3VD-00000-00&amp;context=" TargetMode="External" /><Relationship Id="rId1056" Type="http://schemas.openxmlformats.org/officeDocument/2006/relationships/hyperlink" Target="https://advance.lexis.com/api/document?collection=cases-ca&amp;id=urn:contentItem:5F7T-S751-JNS1-M1JB-00000-00&amp;context=" TargetMode="External" /><Relationship Id="rId1057" Type="http://schemas.openxmlformats.org/officeDocument/2006/relationships/hyperlink" Target="https://advance.lexis.com/api/document?collection=cases-ca&amp;id=urn:contentItem:5F7T-S7H1-JCRC-B104-00000-00&amp;context=" TargetMode="External" /><Relationship Id="rId1058" Type="http://schemas.openxmlformats.org/officeDocument/2006/relationships/hyperlink" Target="https://advance.lexis.com/api/document?collection=legislation-ca&amp;id=urn:contentItem:5W2C-X5J1-JJ1H-X0F6-00000-00&amp;context=" TargetMode="External" /><Relationship Id="rId1059" Type="http://schemas.openxmlformats.org/officeDocument/2006/relationships/hyperlink" Target="https://advance.lexis.com/api/document?collection=cases-ca&amp;id=urn:contentItem:5F7T-S7H1-F016-S3X8-00000-00&amp;context=" TargetMode="External" /><Relationship Id="rId106" Type="http://schemas.openxmlformats.org/officeDocument/2006/relationships/footer" Target="footer12.xml" /><Relationship Id="rId1060" Type="http://schemas.openxmlformats.org/officeDocument/2006/relationships/hyperlink" Target="https://advance.lexis.com/api/document?collection=cases-ca&amp;id=urn:contentItem:5F8T-N3V1-JTGH-B1CT-00000-00&amp;context=" TargetMode="External" /><Relationship Id="rId1061" Type="http://schemas.openxmlformats.org/officeDocument/2006/relationships/hyperlink" Target="https://advance.lexis.com/api/document?collection=cases-ca&amp;id=urn:contentItem:5F8T-N3S1-JT99-250W-00000-00&amp;context=" TargetMode="External" /><Relationship Id="rId1062" Type="http://schemas.openxmlformats.org/officeDocument/2006/relationships/hyperlink" Target="https://advance.lexis.com/api/document?collection=cases-ca&amp;id=urn:contentItem:5F8T-N3S1-JT99-250X-00000-00&amp;context=" TargetMode="External" /><Relationship Id="rId1063" Type="http://schemas.openxmlformats.org/officeDocument/2006/relationships/header" Target="header136.xml" /><Relationship Id="rId1064" Type="http://schemas.openxmlformats.org/officeDocument/2006/relationships/header" Target="header137.xml" /><Relationship Id="rId1065" Type="http://schemas.openxmlformats.org/officeDocument/2006/relationships/footer" Target="footer136.xml" /><Relationship Id="rId1066" Type="http://schemas.openxmlformats.org/officeDocument/2006/relationships/footer" Target="footer137.xml" /><Relationship Id="rId1067" Type="http://schemas.openxmlformats.org/officeDocument/2006/relationships/header" Target="header138.xml" /><Relationship Id="rId1068" Type="http://schemas.openxmlformats.org/officeDocument/2006/relationships/footer" Target="footer138.xml" /><Relationship Id="rId1069" Type="http://schemas.openxmlformats.org/officeDocument/2006/relationships/hyperlink" Target="https://advance.lexis.com/api/document?collection=cases-ca&amp;id=urn:contentItem:5K6Y-81N1-JN14-G1NX-00000-00&amp;context=" TargetMode="External" /><Relationship Id="rId107" Type="http://schemas.openxmlformats.org/officeDocument/2006/relationships/hyperlink" Target="https://advance.lexis.com/api/document?collection=cases-ca&amp;id=urn:contentItem:5NY8-H081-JSJC-X1XW-00000-00&amp;context=" TargetMode="External" /><Relationship Id="rId1070" Type="http://schemas.openxmlformats.org/officeDocument/2006/relationships/hyperlink" Target="https://advance.lexis.com/api/document?collection=cases-ca&amp;id=urn:contentItem:5F7T-S7M1-JPP5-22C8-00000-00&amp;context=" TargetMode="External" /><Relationship Id="rId1071" Type="http://schemas.openxmlformats.org/officeDocument/2006/relationships/hyperlink" Target="https://advance.lexis.com/api/document?collection=cases-ca&amp;id=urn:contentItem:5F7T-S6T1-JP9P-G14B-00000-00&amp;context=" TargetMode="External" /><Relationship Id="rId1072" Type="http://schemas.openxmlformats.org/officeDocument/2006/relationships/hyperlink" Target="https://advance.lexis.com/api/document?collection=cases-ca&amp;id=urn:contentItem:5F8T-N3T1-JJSF-234V-00000-00&amp;context=" TargetMode="External" /><Relationship Id="rId1073" Type="http://schemas.openxmlformats.org/officeDocument/2006/relationships/hyperlink" Target="https://advance.lexis.com/api/document?collection=legislation-ca&amp;id=urn:contentItem:5F41-1FG1-JJYN-B06K-00000-00&amp;context=" TargetMode="External" /><Relationship Id="rId1074" Type="http://schemas.openxmlformats.org/officeDocument/2006/relationships/header" Target="header139.xml" /><Relationship Id="rId1075" Type="http://schemas.openxmlformats.org/officeDocument/2006/relationships/header" Target="header140.xml" /><Relationship Id="rId1076" Type="http://schemas.openxmlformats.org/officeDocument/2006/relationships/footer" Target="footer139.xml" /><Relationship Id="rId1077" Type="http://schemas.openxmlformats.org/officeDocument/2006/relationships/footer" Target="footer140.xml" /><Relationship Id="rId1078" Type="http://schemas.openxmlformats.org/officeDocument/2006/relationships/header" Target="header141.xml" /><Relationship Id="rId1079" Type="http://schemas.openxmlformats.org/officeDocument/2006/relationships/footer" Target="footer141.xml" /><Relationship Id="rId108" Type="http://schemas.openxmlformats.org/officeDocument/2006/relationships/hyperlink" Target="https://advance.lexis.com/api/document?collection=cases-ca&amp;id=urn:contentItem:5N1F-TXX1-DXPM-S4BC-00000-00&amp;context=" TargetMode="External" /><Relationship Id="rId1080" Type="http://schemas.openxmlformats.org/officeDocument/2006/relationships/hyperlink" Target="https://advance.lexis.com/api/document?collection=cases-ca&amp;id=urn:contentItem:5KRM-JB41-F81W-20YX-00000-00&amp;context=" TargetMode="External" /><Relationship Id="rId1081" Type="http://schemas.openxmlformats.org/officeDocument/2006/relationships/hyperlink" Target="https://advance.lexis.com/api/document?collection=cases-ca&amp;id=urn:contentItem:5MBW-V031-F528-G2BP-00000-00&amp;context=" TargetMode="External" /><Relationship Id="rId1082" Type="http://schemas.openxmlformats.org/officeDocument/2006/relationships/hyperlink" Target="https://advance.lexis.com/api/document?collection=legislation-ca&amp;id=urn:contentItem:5F41-1FG1-F4NT-X0BX-00000-00&amp;context=" TargetMode="External" /><Relationship Id="rId1083" Type="http://schemas.openxmlformats.org/officeDocument/2006/relationships/hyperlink" Target="https://advance.lexis.com/api/document?collection=cases-ca&amp;id=urn:contentItem:5F7T-S7N1-F06F-24CN-00000-00&amp;context=" TargetMode="External" /><Relationship Id="rId1084" Type="http://schemas.openxmlformats.org/officeDocument/2006/relationships/hyperlink" Target="https://advance.lexis.com/api/document?collection=cases-ca&amp;id=urn:contentItem:5F7T-S7P1-F2TK-23H0-00000-00&amp;context=" TargetMode="External" /><Relationship Id="rId1085" Type="http://schemas.openxmlformats.org/officeDocument/2006/relationships/hyperlink" Target="https://advance.lexis.com/api/document?collection=cases-ca&amp;id=urn:contentItem:5GCC-XVC1-F900-G4Y6-00000-00&amp;context=" TargetMode="External" /><Relationship Id="rId1086" Type="http://schemas.openxmlformats.org/officeDocument/2006/relationships/hyperlink" Target="https://advance.lexis.com/api/document?collection=cases-ca&amp;id=urn:contentItem:5F7T-S7K1-DY33-B1RK-00000-00&amp;context=" TargetMode="External" /><Relationship Id="rId1087" Type="http://schemas.openxmlformats.org/officeDocument/2006/relationships/hyperlink" Target="https://advance.lexis.com/api/document?collection=cases-ca&amp;id=urn:contentItem:5F7T-S7K1-JWXF-212D-00000-00&amp;context=" TargetMode="External" /><Relationship Id="rId1088" Type="http://schemas.openxmlformats.org/officeDocument/2006/relationships/hyperlink" Target="https://advance.lexis.com/api/document?collection=cases-ca&amp;id=urn:contentItem:5F7T-S711-JNY7-X30K-00000-00&amp;context=" TargetMode="External" /><Relationship Id="rId1089" Type="http://schemas.openxmlformats.org/officeDocument/2006/relationships/hyperlink" Target="https://advance.lexis.com/api/document?collection=cases-ca&amp;id=urn:contentItem:5F7T-S7M1-JCRC-B1FJ-00000-00&amp;context=" TargetMode="External" /><Relationship Id="rId109" Type="http://schemas.openxmlformats.org/officeDocument/2006/relationships/hyperlink" Target="https://advance.lexis.com/api/document?collection=cases-ca&amp;id=urn:contentItem:5F8T-N3T1-JFKM-652N-00000-00&amp;context=" TargetMode="External" /><Relationship Id="rId1090" Type="http://schemas.openxmlformats.org/officeDocument/2006/relationships/hyperlink" Target="https://advance.lexis.com/api/document?collection=cases-ca&amp;id=urn:contentItem:5F7T-S7G1-F5KY-B1HB-00000-00&amp;context=" TargetMode="External" /><Relationship Id="rId1091" Type="http://schemas.openxmlformats.org/officeDocument/2006/relationships/hyperlink" Target="https://advance.lexis.com/api/document?collection=cases-ca&amp;id=urn:contentItem:5F7T-S7P1-F2TK-2395-00000-00&amp;context=" TargetMode="External" /><Relationship Id="rId1092" Type="http://schemas.openxmlformats.org/officeDocument/2006/relationships/hyperlink" Target="https://advance.lexis.com/api/document?collection=cases-ca&amp;id=urn:contentItem:5F7T-S771-JSJC-X05N-00000-00&amp;context=" TargetMode="External" /><Relationship Id="rId1093" Type="http://schemas.openxmlformats.org/officeDocument/2006/relationships/header" Target="header142.xml" /><Relationship Id="rId1094" Type="http://schemas.openxmlformats.org/officeDocument/2006/relationships/header" Target="header143.xml" /><Relationship Id="rId1095" Type="http://schemas.openxmlformats.org/officeDocument/2006/relationships/footer" Target="footer142.xml" /><Relationship Id="rId1096" Type="http://schemas.openxmlformats.org/officeDocument/2006/relationships/footer" Target="footer143.xml" /><Relationship Id="rId1097" Type="http://schemas.openxmlformats.org/officeDocument/2006/relationships/header" Target="header144.xml" /><Relationship Id="rId1098" Type="http://schemas.openxmlformats.org/officeDocument/2006/relationships/footer" Target="footer144.xml" /><Relationship Id="rId1099" Type="http://schemas.openxmlformats.org/officeDocument/2006/relationships/hyperlink" Target="https://advance.lexis.com/api/document?collection=cases-ca&amp;id=urn:contentItem:5F7T-S7J1-FGCG-S0JS-00000-00&amp;context=" TargetMode="External" /><Relationship Id="rId11" Type="http://schemas.openxmlformats.org/officeDocument/2006/relationships/hyperlink" Target="https://advance.lexis.com/api/document?collection=cases-ca&amp;id=urn:contentItem:5F7T-S741-DY89-M3PR-00000-00&amp;context=" TargetMode="External" /><Relationship Id="rId110" Type="http://schemas.openxmlformats.org/officeDocument/2006/relationships/hyperlink" Target="https://advance.lexis.com/api/document?collection=cases-ca&amp;id=urn:contentItem:5F8T-N3V1-JF75-M3CF-00000-00&amp;context=" TargetMode="External" /><Relationship Id="rId1100" Type="http://schemas.openxmlformats.org/officeDocument/2006/relationships/hyperlink" Target="https://advance.lexis.com/api/document?collection=cases-ca&amp;id=urn:contentItem:5K6Y-81M1-F81W-23GH-00000-00&amp;context=" TargetMode="External" /><Relationship Id="rId1101" Type="http://schemas.openxmlformats.org/officeDocument/2006/relationships/hyperlink" Target="https://advance.lexis.com/api/document?collection=cases-ca&amp;id=urn:contentItem:5F7T-S7F1-F7VM-S46D-00000-00&amp;context=" TargetMode="External" /><Relationship Id="rId1102" Type="http://schemas.openxmlformats.org/officeDocument/2006/relationships/header" Target="header145.xml" /><Relationship Id="rId1103" Type="http://schemas.openxmlformats.org/officeDocument/2006/relationships/header" Target="header146.xml" /><Relationship Id="rId1104" Type="http://schemas.openxmlformats.org/officeDocument/2006/relationships/footer" Target="footer145.xml" /><Relationship Id="rId1105" Type="http://schemas.openxmlformats.org/officeDocument/2006/relationships/footer" Target="footer146.xml" /><Relationship Id="rId1106" Type="http://schemas.openxmlformats.org/officeDocument/2006/relationships/header" Target="header147.xml" /><Relationship Id="rId1107" Type="http://schemas.openxmlformats.org/officeDocument/2006/relationships/footer" Target="footer147.xml" /><Relationship Id="rId1108" Type="http://schemas.openxmlformats.org/officeDocument/2006/relationships/hyperlink" Target="https://advance.lexis.com/api/document?collection=cases-ca&amp;id=urn:contentItem:5F7T-S7M1-JFSV-G3N6-00000-00&amp;context=" TargetMode="External" /><Relationship Id="rId1109" Type="http://schemas.openxmlformats.org/officeDocument/2006/relationships/hyperlink" Target="https://advance.lexis.com/api/document?collection=cases-ca&amp;id=urn:contentItem:5K6Y-81N1-JN14-G23B-00000-00&amp;context=" TargetMode="External" /><Relationship Id="rId111" Type="http://schemas.openxmlformats.org/officeDocument/2006/relationships/hyperlink" Target="https://advance.lexis.com/api/document?collection=cases-ca&amp;id=urn:contentItem:5F7T-S7C1-JXG3-X05F-00000-00&amp;context=" TargetMode="External" /><Relationship Id="rId1110" Type="http://schemas.openxmlformats.org/officeDocument/2006/relationships/hyperlink" Target="https://advance.lexis.com/api/document?collection=cases-ca&amp;id=urn:contentItem:5F7T-S7K1-JX3N-B2XY-00000-00&amp;context=" TargetMode="External" /><Relationship Id="rId1111" Type="http://schemas.openxmlformats.org/officeDocument/2006/relationships/hyperlink" Target="https://advance.lexis.com/api/document?collection=cases-ca&amp;id=urn:contentItem:5F81-WC31-F5KY-B4VS-00000-00&amp;context=" TargetMode="External" /><Relationship Id="rId1112" Type="http://schemas.openxmlformats.org/officeDocument/2006/relationships/hyperlink" Target="https://advance.lexis.com/api/document?collection=cases-ca&amp;id=urn:contentItem:5F7T-S7J1-DXWW-251K-00000-00&amp;context=" TargetMode="External" /><Relationship Id="rId1113" Type="http://schemas.openxmlformats.org/officeDocument/2006/relationships/hyperlink" Target="https://advance.lexis.com/api/document?collection=cases-ca&amp;id=urn:contentItem:5F7T-S7J1-JGBH-B2FG-00000-00&amp;context=" TargetMode="External" /><Relationship Id="rId1114" Type="http://schemas.openxmlformats.org/officeDocument/2006/relationships/header" Target="header148.xml" /><Relationship Id="rId1115" Type="http://schemas.openxmlformats.org/officeDocument/2006/relationships/header" Target="header149.xml" /><Relationship Id="rId1116" Type="http://schemas.openxmlformats.org/officeDocument/2006/relationships/footer" Target="footer148.xml" /><Relationship Id="rId1117" Type="http://schemas.openxmlformats.org/officeDocument/2006/relationships/footer" Target="footer149.xml" /><Relationship Id="rId1118" Type="http://schemas.openxmlformats.org/officeDocument/2006/relationships/header" Target="header150.xml" /><Relationship Id="rId1119" Type="http://schemas.openxmlformats.org/officeDocument/2006/relationships/footer" Target="footer150.xml" /><Relationship Id="rId112" Type="http://schemas.openxmlformats.org/officeDocument/2006/relationships/hyperlink" Target="https://advance.lexis.com/api/document?collection=cases-ca&amp;id=urn:contentItem:5F7T-S7K1-JKHB-6305-00000-00&amp;context=" TargetMode="External" /><Relationship Id="rId1120" Type="http://schemas.openxmlformats.org/officeDocument/2006/relationships/hyperlink" Target="https://advance.lexis.com/api/document?collection=cases-ca&amp;id=urn:contentItem:5F7T-S7P1-JP4G-6252-00000-00&amp;context=" TargetMode="External" /><Relationship Id="rId1121" Type="http://schemas.openxmlformats.org/officeDocument/2006/relationships/hyperlink" Target="https://advance.lexis.com/api/document?collection=legislation-ca&amp;id=urn:contentItem:5TBM-3RN1-DXPM-S03G-00000-00&amp;context=" TargetMode="External" /><Relationship Id="rId1122" Type="http://schemas.openxmlformats.org/officeDocument/2006/relationships/hyperlink" Target="https://advance.lexis.com/api/document?collection=cases-ca&amp;id=urn:contentItem:5F7T-S7K1-F1H1-22C7-00000-00&amp;context=" TargetMode="External" /><Relationship Id="rId1123" Type="http://schemas.openxmlformats.org/officeDocument/2006/relationships/hyperlink" Target="https://advance.lexis.com/api/document?collection=cases-ca&amp;id=urn:contentItem:5F7T-S7P1-JG02-S416-00000-00&amp;context=" TargetMode="External" /><Relationship Id="rId1124" Type="http://schemas.openxmlformats.org/officeDocument/2006/relationships/hyperlink" Target="https://advance.lexis.com/api/document?collection=cases-ca&amp;id=urn:contentItem:5F7T-S6X1-FCCX-60NH-00000-00&amp;context=" TargetMode="External" /><Relationship Id="rId1125" Type="http://schemas.openxmlformats.org/officeDocument/2006/relationships/hyperlink" Target="https://advance.lexis.com/api/document?collection=cases-ca&amp;id=urn:contentItem:5F7T-S751-F361-M0RW-00000-00&amp;context=" TargetMode="External" /><Relationship Id="rId1126" Type="http://schemas.openxmlformats.org/officeDocument/2006/relationships/hyperlink" Target="https://advance.lexis.com/api/document?collection=cases-ca&amp;id=urn:contentItem:5F7T-S7H1-F016-S3KV-00000-00&amp;context=" TargetMode="External" /><Relationship Id="rId1127" Type="http://schemas.openxmlformats.org/officeDocument/2006/relationships/hyperlink" Target="https://advance.lexis.com/api/document?collection=cases-ca&amp;id=urn:contentItem:5F7T-S741-DXPM-S0VS-00000-00&amp;context=" TargetMode="External" /><Relationship Id="rId1128" Type="http://schemas.openxmlformats.org/officeDocument/2006/relationships/hyperlink" Target="https://advance.lexis.com/api/document?collection=cases-ca&amp;id=urn:contentItem:5F7T-S761-F7ND-G4HP-00000-00&amp;context=" TargetMode="External" /><Relationship Id="rId1129" Type="http://schemas.openxmlformats.org/officeDocument/2006/relationships/numbering" Target="numbering.xml" /><Relationship Id="rId113" Type="http://schemas.openxmlformats.org/officeDocument/2006/relationships/hyperlink" Target="https://advance.lexis.com/api/document?collection=cases-ca&amp;id=urn:contentItem:5F7T-S7M1-JJK6-S1NF-00000-00&amp;context=" TargetMode="External" /><Relationship Id="rId1130" Type="http://schemas.openxmlformats.org/officeDocument/2006/relationships/styles" Target="styles.xml" /><Relationship Id="rId114" Type="http://schemas.openxmlformats.org/officeDocument/2006/relationships/hyperlink" Target="https://advance.lexis.com/api/document?collection=cases-ca&amp;id=urn:contentItem:5F7T-S701-F8KH-X150-00000-00&amp;context=" TargetMode="External" /><Relationship Id="rId115" Type="http://schemas.openxmlformats.org/officeDocument/2006/relationships/hyperlink" Target="https://advance.lexis.com/api/document?collection=cases-ca&amp;id=urn:contentItem:5F8P-SCN1-FK0M-S2WB-00000-00&amp;context=" TargetMode="External" /><Relationship Id="rId116" Type="http://schemas.openxmlformats.org/officeDocument/2006/relationships/hyperlink" Target="https://advance.lexis.com/api/document?collection=cases-ca&amp;id=urn:contentItem:5F7T-S761-JCBX-S0MY-00000-00&amp;context=" TargetMode="External" /><Relationship Id="rId117" Type="http://schemas.openxmlformats.org/officeDocument/2006/relationships/header" Target="header13.xml" /><Relationship Id="rId118" Type="http://schemas.openxmlformats.org/officeDocument/2006/relationships/header" Target="header14.xml" /><Relationship Id="rId119" Type="http://schemas.openxmlformats.org/officeDocument/2006/relationships/footer" Target="footer13.xml" /><Relationship Id="rId12" Type="http://schemas.openxmlformats.org/officeDocument/2006/relationships/hyperlink" Target="https://advance.lexis.com/api/document?collection=cases-ca&amp;id=urn:contentItem:5F7T-S6X1-FCCX-60RS-00000-00&amp;context=" TargetMode="External" /><Relationship Id="rId120" Type="http://schemas.openxmlformats.org/officeDocument/2006/relationships/footer" Target="footer14.xml" /><Relationship Id="rId121" Type="http://schemas.openxmlformats.org/officeDocument/2006/relationships/header" Target="header15.xml" /><Relationship Id="rId122" Type="http://schemas.openxmlformats.org/officeDocument/2006/relationships/footer" Target="footer15.xml" /><Relationship Id="rId123" Type="http://schemas.openxmlformats.org/officeDocument/2006/relationships/hyperlink" Target="https://advance.lexis.com/api/document?collection=cases-ca&amp;id=urn:contentItem:5F7T-S7G1-F5KY-B1VN-00000-00&amp;context=" TargetMode="External" /><Relationship Id="rId124" Type="http://schemas.openxmlformats.org/officeDocument/2006/relationships/hyperlink" Target="https://advance.lexis.com/api/document?collection=legislation-ca&amp;id=urn:contentItem:5F97-RBV1-JFKM-62VB-00000-00&amp;context=" TargetMode="External" /><Relationship Id="rId125" Type="http://schemas.openxmlformats.org/officeDocument/2006/relationships/hyperlink" Target="https://advance.lexis.com/api/document?collection=legislation-ca&amp;id=urn:contentItem:5F97-RC71-JBDT-B2XC-00000-00&amp;context=" TargetMode="External" /><Relationship Id="rId126" Type="http://schemas.openxmlformats.org/officeDocument/2006/relationships/hyperlink" Target="https://advance.lexis.com/api/document?collection=cases-ca&amp;id=urn:contentItem:5F7T-S6Y1-JF75-M3PG-00000-00&amp;context=" TargetMode="External" /><Relationship Id="rId127" Type="http://schemas.openxmlformats.org/officeDocument/2006/relationships/hyperlink" Target="https://advance.lexis.com/api/document?collection=legislation-ca&amp;id=urn:contentItem:5W2C-X5N1-DYFH-X0KN-00000-00&amp;context=" TargetMode="External" /><Relationship Id="rId128" Type="http://schemas.openxmlformats.org/officeDocument/2006/relationships/hyperlink" Target="https://advance.lexis.com/api/document?collection=cases-ca&amp;id=urn:contentItem:5F8T-N3V1-JTGH-B108-00000-00&amp;context=" TargetMode="External" /><Relationship Id="rId129" Type="http://schemas.openxmlformats.org/officeDocument/2006/relationships/header" Target="header16.xml" /><Relationship Id="rId13" Type="http://schemas.openxmlformats.org/officeDocument/2006/relationships/hyperlink" Target="https://advance.lexis.com/api/document?collection=cases-ca&amp;id=urn:contentItem:5F7T-S6T1-DY89-M331-00000-00&amp;context=" TargetMode="External" /><Relationship Id="rId130" Type="http://schemas.openxmlformats.org/officeDocument/2006/relationships/header" Target="header17.xml" /><Relationship Id="rId131" Type="http://schemas.openxmlformats.org/officeDocument/2006/relationships/footer" Target="footer16.xml" /><Relationship Id="rId132" Type="http://schemas.openxmlformats.org/officeDocument/2006/relationships/footer" Target="footer17.xml" /><Relationship Id="rId133" Type="http://schemas.openxmlformats.org/officeDocument/2006/relationships/header" Target="header18.xml" /><Relationship Id="rId134" Type="http://schemas.openxmlformats.org/officeDocument/2006/relationships/footer" Target="footer18.xml" /><Relationship Id="rId135" Type="http://schemas.openxmlformats.org/officeDocument/2006/relationships/hyperlink" Target="https://advance.lexis.com/api/document?collection=cases-ca&amp;id=urn:contentItem:5K2W-7K31-F06F-212M-00000-00&amp;context=" TargetMode="External" /><Relationship Id="rId136" Type="http://schemas.openxmlformats.org/officeDocument/2006/relationships/hyperlink" Target="https://advance.lexis.com/api/document?collection=legislation-ca&amp;id=urn:contentItem:5PC1-38C1-FGRY-B542-00000-00&amp;context=" TargetMode="External" /><Relationship Id="rId137" Type="http://schemas.openxmlformats.org/officeDocument/2006/relationships/hyperlink" Target="https://advance.lexis.com/api/document?collection=legislation-ca&amp;id=urn:contentItem:5KDP-V8P1-JPGX-S1FR-00000-00&amp;context=" TargetMode="External" /><Relationship Id="rId138" Type="http://schemas.openxmlformats.org/officeDocument/2006/relationships/hyperlink" Target="https://advance.lexis.com/api/document?collection=legislation-ca&amp;id=urn:contentItem:5F41-1FJ1-JK4W-M0B7-00000-00&amp;context=" TargetMode="External" /><Relationship Id="rId139" Type="http://schemas.openxmlformats.org/officeDocument/2006/relationships/hyperlink" Target="https://advance.lexis.com/api/document?collection=legislation-ca&amp;id=urn:contentItem:5VYK-W9V1-F4NT-X509-00000-00&amp;context=" TargetMode="External" /><Relationship Id="rId14" Type="http://schemas.openxmlformats.org/officeDocument/2006/relationships/hyperlink" Target="https://advance.lexis.com/api/document?collection=cases-ca&amp;id=urn:contentItem:5F7T-S6X1-FJDY-X14K-00000-00&amp;context=" TargetMode="External" /><Relationship Id="rId140" Type="http://schemas.openxmlformats.org/officeDocument/2006/relationships/hyperlink" Target="https://advance.lexis.com/api/document?collection=cases-ca&amp;id=urn:contentItem:5F8T-N3T1-JGHR-M220-00000-00&amp;context=" TargetMode="External" /><Relationship Id="rId141" Type="http://schemas.openxmlformats.org/officeDocument/2006/relationships/hyperlink" Target="https://advance.lexis.com/api/document?collection=cases-ca&amp;id=urn:contentItem:5F8T-N3V1-JTGH-B1CN-00000-00&amp;context=" TargetMode="External" /><Relationship Id="rId142" Type="http://schemas.openxmlformats.org/officeDocument/2006/relationships/hyperlink" Target="https://advance.lexis.com/api/document?collection=cases-ca&amp;id=urn:contentItem:5F7T-S7K1-F1H1-2217-00000-00&amp;context=" TargetMode="External" /><Relationship Id="rId143" Type="http://schemas.openxmlformats.org/officeDocument/2006/relationships/hyperlink" Target="https://advance.lexis.com/api/document?collection=cases-ca&amp;id=urn:contentItem:5F8T-N3V1-JTGH-B1C7-00000-00&amp;context=" TargetMode="External" /><Relationship Id="rId144" Type="http://schemas.openxmlformats.org/officeDocument/2006/relationships/hyperlink" Target="https://advance.lexis.com/api/document?collection=cases-ca&amp;id=urn:contentItem:5F8T-N3V1-FC1F-M49J-00000-00&amp;context=" TargetMode="External" /><Relationship Id="rId145" Type="http://schemas.openxmlformats.org/officeDocument/2006/relationships/header" Target="header19.xml" /><Relationship Id="rId146" Type="http://schemas.openxmlformats.org/officeDocument/2006/relationships/header" Target="header20.xml" /><Relationship Id="rId147" Type="http://schemas.openxmlformats.org/officeDocument/2006/relationships/footer" Target="footer19.xml" /><Relationship Id="rId148" Type="http://schemas.openxmlformats.org/officeDocument/2006/relationships/footer" Target="footer20.xml" /><Relationship Id="rId149" Type="http://schemas.openxmlformats.org/officeDocument/2006/relationships/header" Target="header21.xml" /><Relationship Id="rId15" Type="http://schemas.openxmlformats.org/officeDocument/2006/relationships/hyperlink" Target="https://advance.lexis.com/api/document?collection=cases-ca&amp;id=urn:contentItem:5F8T-N3R1-JJSF-22WM-00000-00&amp;context=" TargetMode="External" /><Relationship Id="rId150" Type="http://schemas.openxmlformats.org/officeDocument/2006/relationships/footer" Target="footer21.xml" /><Relationship Id="rId151" Type="http://schemas.openxmlformats.org/officeDocument/2006/relationships/hyperlink" Target="https://advance.lexis.com/api/document?collection=cases-ca&amp;id=urn:contentItem:5GCC-XVB1-JGHR-M4J7-00000-00&amp;context=" TargetMode="External" /><Relationship Id="rId152" Type="http://schemas.openxmlformats.org/officeDocument/2006/relationships/hyperlink" Target="https://advance.lexis.com/api/document?collection=legislation-ca&amp;id=urn:contentItem:5F41-1FJ1-JG59-214N-00000-00&amp;context=" TargetMode="External" /><Relationship Id="rId153" Type="http://schemas.openxmlformats.org/officeDocument/2006/relationships/hyperlink" Target="https://advance.lexis.com/api/document?collection=cases-ca&amp;id=urn:contentItem:5F7T-S6W1-F5T5-M1X4-00000-00&amp;context=" TargetMode="External" /><Relationship Id="rId154" Type="http://schemas.openxmlformats.org/officeDocument/2006/relationships/hyperlink" Target="https://advance.lexis.com/api/document?collection=cases-ca&amp;id=urn:contentItem:5F7T-S7D1-FFFC-B1JG-00000-00&amp;context=" TargetMode="External" /><Relationship Id="rId155" Type="http://schemas.openxmlformats.org/officeDocument/2006/relationships/hyperlink" Target="https://advance.lexis.com/api/document?collection=cases-ca&amp;id=urn:contentItem:5F7T-S781-DYMS-61N0-00000-00&amp;context=" TargetMode="External" /><Relationship Id="rId156" Type="http://schemas.openxmlformats.org/officeDocument/2006/relationships/hyperlink" Target="https://advance.lexis.com/api/document?collection=cases-ca&amp;id=urn:contentItem:5F7T-S741-FJM6-61VP-00000-00&amp;context=" TargetMode="External" /><Relationship Id="rId157" Type="http://schemas.openxmlformats.org/officeDocument/2006/relationships/hyperlink" Target="https://advance.lexis.com/api/document?collection=cases-ca&amp;id=urn:contentItem:5F8T-N3V1-JTGH-B175-00000-00&amp;context=" TargetMode="External" /><Relationship Id="rId158" Type="http://schemas.openxmlformats.org/officeDocument/2006/relationships/hyperlink" Target="https://advance.lexis.com/api/document?collection=cases-ca&amp;id=urn:contentItem:5F8T-N3T1-JJSF-23P9-00000-00&amp;context=" TargetMode="External" /><Relationship Id="rId159" Type="http://schemas.openxmlformats.org/officeDocument/2006/relationships/hyperlink" Target="https://advance.lexis.com/api/document?collection=cases-ca&amp;id=urn:contentItem:5F81-WC31-F5KY-B4V9-00000-00&amp;context=" TargetMode="External" /><Relationship Id="rId16" Type="http://schemas.openxmlformats.org/officeDocument/2006/relationships/hyperlink" Target="https://advance.lexis.com/api/document?collection=cases-ca&amp;id=urn:contentItem:5F7T-S711-JG02-S1W6-00000-00&amp;context=" TargetMode="External" /><Relationship Id="rId160" Type="http://schemas.openxmlformats.org/officeDocument/2006/relationships/hyperlink" Target="https://advance.lexis.com/api/document?collection=cases-ca&amp;id=urn:contentItem:5F7T-S791-JCJ5-24WP-00000-00&amp;context=" TargetMode="External" /><Relationship Id="rId161" Type="http://schemas.openxmlformats.org/officeDocument/2006/relationships/hyperlink" Target="https://advance.lexis.com/api/document?collection=cases-ca&amp;id=urn:contentItem:5F7T-S7M1-DYMS-628V-00000-00&amp;context="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cases-ca&amp;id=urn:contentItem:5F7T-S7D1-JN6B-S17P-00000-00&amp;context=" TargetMode="External" /><Relationship Id="rId169" Type="http://schemas.openxmlformats.org/officeDocument/2006/relationships/hyperlink" Target="https://advance.lexis.com/api/document?collection=cases-ca&amp;id=urn:contentItem:5K6Y-81M1-F65M-61HM-00000-00&amp;context=" TargetMode="External" /><Relationship Id="rId17" Type="http://schemas.openxmlformats.org/officeDocument/2006/relationships/hyperlink" Target="https://advance.lexis.com/api/document?collection=cases-ca&amp;id=urn:contentItem:5F7T-S731-JNJT-B236-00000-00&amp;context=" TargetMode="External" /><Relationship Id="rId170" Type="http://schemas.openxmlformats.org/officeDocument/2006/relationships/hyperlink" Target="https://advance.lexis.com/api/document?collection=cases-ca&amp;id=urn:contentItem:5F7T-S781-DYMS-61NV-00000-00&amp;context=" TargetMode="External" /><Relationship Id="rId171" Type="http://schemas.openxmlformats.org/officeDocument/2006/relationships/hyperlink" Target="https://advance.lexis.com/api/document?collection=cases-ca&amp;id=urn:contentItem:5F7T-S721-JSC5-M387-00000-00&amp;context=" TargetMode="External" /><Relationship Id="rId172" Type="http://schemas.openxmlformats.org/officeDocument/2006/relationships/hyperlink" Target="https://advance.lexis.com/api/document?collection=cases-ca&amp;id=urn:contentItem:5F8T-N3R1-FJDY-X362-00000-00&amp;context=" TargetMode="External" /><Relationship Id="rId173" Type="http://schemas.openxmlformats.org/officeDocument/2006/relationships/hyperlink" Target="https://advance.lexis.com/api/document?collection=cases-ca&amp;id=urn:contentItem:5F8T-N3T1-JJSF-235C-00000-00&amp;context=" TargetMode="External" /><Relationship Id="rId174" Type="http://schemas.openxmlformats.org/officeDocument/2006/relationships/header" Target="header25.xml" /><Relationship Id="rId175" Type="http://schemas.openxmlformats.org/officeDocument/2006/relationships/header" Target="header26.xml" /><Relationship Id="rId176" Type="http://schemas.openxmlformats.org/officeDocument/2006/relationships/footer" Target="footer25.xml" /><Relationship Id="rId177" Type="http://schemas.openxmlformats.org/officeDocument/2006/relationships/footer" Target="footer26.xml" /><Relationship Id="rId178" Type="http://schemas.openxmlformats.org/officeDocument/2006/relationships/header" Target="header27.xml" /><Relationship Id="rId179" Type="http://schemas.openxmlformats.org/officeDocument/2006/relationships/footer" Target="footer27.xml" /><Relationship Id="rId18" Type="http://schemas.openxmlformats.org/officeDocument/2006/relationships/hyperlink" Target="https://advance.lexis.com/api/document?collection=cases-ca&amp;id=urn:contentItem:5F7T-S6W1-JF75-M2W6-00000-00&amp;context=" TargetMode="External" /><Relationship Id="rId180" Type="http://schemas.openxmlformats.org/officeDocument/2006/relationships/hyperlink" Target="https://advance.lexis.com/api/document?collection=cases-ca&amp;id=urn:contentItem:5F7T-S7N1-JWR6-S26B-00000-00&amp;context="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cases-ca&amp;id=urn:contentItem:5F7T-S7J1-JYYX-62M3-00000-00&amp;context=" TargetMode="External" /><Relationship Id="rId188" Type="http://schemas.openxmlformats.org/officeDocument/2006/relationships/hyperlink" Target="https://advance.lexis.com/api/document?collection=legislation-ca&amp;id=urn:contentItem:5F41-1FG1-JC0G-61MY-00000-00&amp;context=" TargetMode="External" /><Relationship Id="rId189" Type="http://schemas.openxmlformats.org/officeDocument/2006/relationships/hyperlink" Target="https://advance.lexis.com/api/document?collection=cases-ca&amp;id=urn:contentItem:5F7T-S731-DY33-B0W4-00000-00&amp;context=" TargetMode="External" /><Relationship Id="rId19" Type="http://schemas.openxmlformats.org/officeDocument/2006/relationships/hyperlink" Target="https://advance.lexis.com/api/document?collection=cases-ca&amp;id=urn:contentItem:5F7T-S6V1-JWR6-S0XT-00000-00&amp;context=" TargetMode="External" /><Relationship Id="rId190" Type="http://schemas.openxmlformats.org/officeDocument/2006/relationships/hyperlink" Target="https://advance.lexis.com/api/document?collection=cases-ca&amp;id=urn:contentItem:5F7T-S7G1-JX3N-B2FY-00000-00&amp;context=" TargetMode="External" /><Relationship Id="rId191" Type="http://schemas.openxmlformats.org/officeDocument/2006/relationships/hyperlink" Target="https://advance.lexis.com/api/document?collection=cases-ca&amp;id=urn:contentItem:5F7T-S6Y1-F81W-212N-00000-00&amp;context=" TargetMode="External" /><Relationship Id="rId192" Type="http://schemas.openxmlformats.org/officeDocument/2006/relationships/hyperlink" Target="https://advance.lexis.com/api/document?collection=cases-ca&amp;id=urn:contentItem:5F7T-S6Y1-JPP5-215V-00000-00&amp;context=" TargetMode="External" /><Relationship Id="rId193" Type="http://schemas.openxmlformats.org/officeDocument/2006/relationships/hyperlink" Target="https://advance.lexis.com/api/document?collection=cases-ca&amp;id=urn:contentItem:5F8T-N3V1-FC1F-M3X1-00000-00&amp;context=" TargetMode="External" /><Relationship Id="rId194" Type="http://schemas.openxmlformats.org/officeDocument/2006/relationships/hyperlink" Target="https://advance.lexis.com/api/document?collection=cases-ca&amp;id=urn:contentItem:5F8P-SDV1-FC6N-X07Y-00000-00&amp;context=" TargetMode="External" /><Relationship Id="rId195" Type="http://schemas.openxmlformats.org/officeDocument/2006/relationships/hyperlink" Target="https://advance.lexis.com/api/document?collection=cases-ca&amp;id=urn:contentItem:5F8T-N3V1-JTGH-B0YX-00000-00&amp;context=" TargetMode="External" /><Relationship Id="rId196" Type="http://schemas.openxmlformats.org/officeDocument/2006/relationships/hyperlink" Target="https://advance.lexis.com/api/document?collection=cases-ca&amp;id=urn:contentItem:5F7T-S7F1-F7VM-S426-00000-00&amp;context=" TargetMode="External" /><Relationship Id="rId197" Type="http://schemas.openxmlformats.org/officeDocument/2006/relationships/hyperlink" Target="https://advance.lexis.com/api/document?collection=cases-ca&amp;id=urn:contentItem:5F7T-S7F1-DXWW-23R0-00000-00&amp;context=" TargetMode="External" /><Relationship Id="rId198" Type="http://schemas.openxmlformats.org/officeDocument/2006/relationships/hyperlink" Target="https://advance.lexis.com/api/document?collection=cases-ca&amp;id=urn:contentItem:5F7T-S781-F27X-61BF-00000-00&amp;context=" TargetMode="External" /><Relationship Id="rId199" Type="http://schemas.openxmlformats.org/officeDocument/2006/relationships/hyperlink" Target="https://advance.lexis.com/api/document?collection=cases-ca&amp;id=urn:contentItem:5F7T-S751-JG02-S21X-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21-F8D9-M0SG-00000-00&amp;context=" TargetMode="External" /><Relationship Id="rId200" Type="http://schemas.openxmlformats.org/officeDocument/2006/relationships/hyperlink" Target="https://advance.lexis.com/api/document?collection=cases-ca&amp;id=urn:contentItem:5F8T-N3T1-JJSF-2339-00000-00&amp;context=" TargetMode="External" /><Relationship Id="rId201" Type="http://schemas.openxmlformats.org/officeDocument/2006/relationships/hyperlink" Target="https://advance.lexis.com/api/document?collection=cases-ca&amp;id=urn:contentItem:5F8T-N3V1-FC1F-M49K-00000-00&amp;context=" TargetMode="External" /><Relationship Id="rId202" Type="http://schemas.openxmlformats.org/officeDocument/2006/relationships/hyperlink" Target="https://advance.lexis.com/api/document?collection=cases-ca&amp;id=urn:contentItem:5F8T-N3V1-JTGH-B16R-00000-00&amp;context=" TargetMode="External" /><Relationship Id="rId203" Type="http://schemas.openxmlformats.org/officeDocument/2006/relationships/hyperlink" Target="https://advance.lexis.com/api/document?collection=cases-ca&amp;id=urn:contentItem:5F8T-N3V1-JF75-M3VR-00000-00&amp;context=" TargetMode="External" /><Relationship Id="rId204" Type="http://schemas.openxmlformats.org/officeDocument/2006/relationships/hyperlink" Target="https://advance.lexis.com/api/document?collection=cases-ca&amp;id=urn:contentItem:5F81-VJX1-JJYN-B4T6-00000-00&amp;context=" TargetMode="External" /><Relationship Id="rId205" Type="http://schemas.openxmlformats.org/officeDocument/2006/relationships/hyperlink" Target="https://advance.lexis.com/api/document?collection=cases-ca&amp;id=urn:contentItem:5F8T-N3V1-FC1F-M4BS-00000-00&amp;context=" TargetMode="External" /><Relationship Id="rId206" Type="http://schemas.openxmlformats.org/officeDocument/2006/relationships/hyperlink" Target="https://advance.lexis.com/api/document?collection=cases-ca&amp;id=urn:contentItem:5F81-VJX1-FGY5-M3MD-00000-00&amp;context=" TargetMode="External" /><Relationship Id="rId207" Type="http://schemas.openxmlformats.org/officeDocument/2006/relationships/hyperlink" Target="https://advance.lexis.com/api/document?collection=cases-ca&amp;id=urn:contentItem:5F8P-SDT1-JSRM-63G8-00000-00&amp;context=" TargetMode="External" /><Relationship Id="rId208" Type="http://schemas.openxmlformats.org/officeDocument/2006/relationships/hyperlink" Target="https://advance.lexis.com/api/document?collection=cases-ca&amp;id=urn:contentItem:5F8P-SF61-JP4G-62SD-00000-00&amp;context=" TargetMode="External" /><Relationship Id="rId209" Type="http://schemas.openxmlformats.org/officeDocument/2006/relationships/hyperlink" Target="https://advance.lexis.com/api/document?collection=cases-ca&amp;id=urn:contentItem:5F7T-S7H1-F016-S430-00000-00&amp;context=" TargetMode="External" /><Relationship Id="rId21" Type="http://schemas.openxmlformats.org/officeDocument/2006/relationships/hyperlink" Target="https://advance.lexis.com/api/document?collection=cases-ca&amp;id=urn:contentItem:5F7T-S741-DY89-M3MC-00000-00&amp;context=" TargetMode="External" /><Relationship Id="rId210" Type="http://schemas.openxmlformats.org/officeDocument/2006/relationships/hyperlink" Target="https://advance.lexis.com/api/document?collection=cases-ca&amp;id=urn:contentItem:5F8P-SF41-F016-S0C7-00000-00&amp;context=" TargetMode="External" /><Relationship Id="rId211" Type="http://schemas.openxmlformats.org/officeDocument/2006/relationships/header" Target="header31.xml" /><Relationship Id="rId212" Type="http://schemas.openxmlformats.org/officeDocument/2006/relationships/header" Target="header32.xml" /><Relationship Id="rId213" Type="http://schemas.openxmlformats.org/officeDocument/2006/relationships/footer" Target="footer31.xml" /><Relationship Id="rId214" Type="http://schemas.openxmlformats.org/officeDocument/2006/relationships/footer" Target="footer32.xml" /><Relationship Id="rId215" Type="http://schemas.openxmlformats.org/officeDocument/2006/relationships/header" Target="header33.xml" /><Relationship Id="rId216" Type="http://schemas.openxmlformats.org/officeDocument/2006/relationships/footer" Target="footer33.xml" /><Relationship Id="rId217" Type="http://schemas.openxmlformats.org/officeDocument/2006/relationships/hyperlink" Target="https://advance.lexis.com/api/document?collection=cases-ca&amp;id=urn:contentItem:5F7T-S7C1-FGRY-B0NK-00000-00&amp;context=" TargetMode="External" /><Relationship Id="rId218" Type="http://schemas.openxmlformats.org/officeDocument/2006/relationships/hyperlink" Target="https://advance.lexis.com/api/document?collection=legislation-ca&amp;id=urn:contentItem:5TBM-3RN1-FBV7-B0M1-00000-00&amp;context=" TargetMode="External" /><Relationship Id="rId219" Type="http://schemas.openxmlformats.org/officeDocument/2006/relationships/hyperlink" Target="https://advance.lexis.com/api/document?collection=legislation-ca&amp;id=urn:contentItem:5F3B-B8W1-JCJ5-21BD-00000-00&amp;context=" TargetMode="External" /><Relationship Id="rId22" Type="http://schemas.openxmlformats.org/officeDocument/2006/relationships/hyperlink" Target="https://advance.lexis.com/api/document?collection=cases-ca&amp;id=urn:contentItem:5F7T-S6R1-JSXV-G0P2-00000-00&amp;context=" TargetMode="External" /><Relationship Id="rId220" Type="http://schemas.openxmlformats.org/officeDocument/2006/relationships/hyperlink" Target="https://advance.lexis.com/api/document?collection=cases-ca&amp;id=urn:contentItem:5F8P-SF11-JF1Y-B32K-00000-00&amp;context=" TargetMode="External" /><Relationship Id="rId221" Type="http://schemas.openxmlformats.org/officeDocument/2006/relationships/hyperlink" Target="https://advance.lexis.com/api/document?collection=cases-ca&amp;id=urn:contentItem:5F81-VJX1-JP9P-G4WT-00000-00&amp;context=" TargetMode="External" /><Relationship Id="rId222" Type="http://schemas.openxmlformats.org/officeDocument/2006/relationships/hyperlink" Target="https://advance.lexis.com/api/document?collection=cases-ca&amp;id=urn:contentItem:5F8T-N3V1-FC1F-M497-00000-00&amp;context=" TargetMode="External" /><Relationship Id="rId223" Type="http://schemas.openxmlformats.org/officeDocument/2006/relationships/hyperlink" Target="https://advance.lexis.com/api/document?collection=cases-ca&amp;id=urn:contentItem:5F8T-N3V1-FC1F-M486-00000-00&amp;context=" TargetMode="External" /><Relationship Id="rId224" Type="http://schemas.openxmlformats.org/officeDocument/2006/relationships/hyperlink" Target="https://advance.lexis.com/api/document?collection=cases-ca&amp;id=urn:contentItem:5F7T-S781-F7G6-63N4-00000-00&amp;context=" TargetMode="External" /><Relationship Id="rId225" Type="http://schemas.openxmlformats.org/officeDocument/2006/relationships/hyperlink" Target="https://advance.lexis.com/api/document?collection=cases-ca&amp;id=urn:contentItem:5F7T-S751-JG02-S29T-00000-00&amp;context=" TargetMode="External" /><Relationship Id="rId226" Type="http://schemas.openxmlformats.org/officeDocument/2006/relationships/hyperlink" Target="https://advance.lexis.com/api/document?collection=legislation-ca&amp;id=urn:contentItem:5VYK-W9X1-JN6B-S1KB-00000-00&amp;context=" TargetMode="External" /><Relationship Id="rId227" Type="http://schemas.openxmlformats.org/officeDocument/2006/relationships/hyperlink" Target="https://advance.lexis.com/api/document?collection=cases-ca&amp;id=urn:contentItem:5F7T-S6X1-FBN1-20XN-00000-00&amp;context=" TargetMode="External" /><Relationship Id="rId228" Type="http://schemas.openxmlformats.org/officeDocument/2006/relationships/hyperlink" Target="https://advance.lexis.com/api/document?collection=cases-ca&amp;id=urn:contentItem:5F8T-N3V1-JF75-M3GT-00000-00&amp;context=" TargetMode="External" /><Relationship Id="rId229" Type="http://schemas.openxmlformats.org/officeDocument/2006/relationships/hyperlink" Target="https://advance.lexis.com/api/document?collection=cases-ca&amp;id=urn:contentItem:5F7T-S791-FJTD-G2FC-00000-00&amp;context=" TargetMode="External" /><Relationship Id="rId23" Type="http://schemas.openxmlformats.org/officeDocument/2006/relationships/hyperlink" Target="https://advance.lexis.com/api/document?collection=cases-ca&amp;id=urn:contentItem:5F7T-S711-JG02-S1W0-00000-00&amp;context=" TargetMode="External" /><Relationship Id="rId230" Type="http://schemas.openxmlformats.org/officeDocument/2006/relationships/hyperlink" Target="https://advance.lexis.com/api/document?collection=cases-ca&amp;id=urn:contentItem:5F7T-S7B1-FH4C-X3GF-00000-00&amp;context=" TargetMode="External" /><Relationship Id="rId231" Type="http://schemas.openxmlformats.org/officeDocument/2006/relationships/hyperlink" Target="https://advance.lexis.com/api/document?collection=cases-ca&amp;id=urn:contentItem:5F81-VJX1-JJYN-B4GP-00000-00&amp;context=" TargetMode="External" /><Relationship Id="rId232" Type="http://schemas.openxmlformats.org/officeDocument/2006/relationships/hyperlink" Target="https://advance.lexis.com/api/document?collection=cases-ca&amp;id=urn:contentItem:5F8T-N3V1-FC1F-M46D-00000-00&amp;context=" TargetMode="External" /><Relationship Id="rId233" Type="http://schemas.openxmlformats.org/officeDocument/2006/relationships/hyperlink" Target="https://advance.lexis.com/api/document?collection=cases-ca&amp;id=urn:contentItem:5F7T-S781-F27X-612F-00000-00&amp;context=" TargetMode="External" /><Relationship Id="rId234" Type="http://schemas.openxmlformats.org/officeDocument/2006/relationships/hyperlink" Target="https://advance.lexis.com/api/document?collection=cases-ca&amp;id=urn:contentItem:5F7T-S771-JTGH-B1KF-00000-00&amp;context=" TargetMode="External" /><Relationship Id="rId235" Type="http://schemas.openxmlformats.org/officeDocument/2006/relationships/hyperlink" Target="https://advance.lexis.com/api/document?collection=cases-ca&amp;id=urn:contentItem:5F7T-S781-F27X-6143-00000-00&amp;context=" TargetMode="External" /><Relationship Id="rId236" Type="http://schemas.openxmlformats.org/officeDocument/2006/relationships/hyperlink" Target="https://advance.lexis.com/api/document?collection=cases-ca&amp;id=urn:contentItem:5F7T-S7C1-F4NT-X3GV-00000-00&amp;context=" TargetMode="External" /><Relationship Id="rId237" Type="http://schemas.openxmlformats.org/officeDocument/2006/relationships/hyperlink" Target="https://advance.lexis.com/api/document?collection=cases-ca&amp;id=urn:contentItem:5F7T-S751-JBM1-M2D6-00000-00&amp;context=" TargetMode="External" /><Relationship Id="rId238" Type="http://schemas.openxmlformats.org/officeDocument/2006/relationships/hyperlink" Target="https://advance.lexis.com/api/document?collection=cases-ca&amp;id=urn:contentItem:5F7T-S751-FJDY-X419-00000-00&amp;context=" TargetMode="External" /><Relationship Id="rId239" Type="http://schemas.openxmlformats.org/officeDocument/2006/relationships/hyperlink" Target="https://advance.lexis.com/api/document?collection=cases-ca&amp;id=urn:contentItem:5F7T-S751-JP4G-614D-00000-00&amp;context=" TargetMode="External" /><Relationship Id="rId24" Type="http://schemas.openxmlformats.org/officeDocument/2006/relationships/hyperlink" Target="https://advance.lexis.com/api/document?collection=cases-ca&amp;id=urn:contentItem:5F7T-S721-F4NT-X2NM-00000-00&amp;context=" TargetMode="External" /><Relationship Id="rId240" Type="http://schemas.openxmlformats.org/officeDocument/2006/relationships/header" Target="header34.xml" /><Relationship Id="rId241" Type="http://schemas.openxmlformats.org/officeDocument/2006/relationships/header" Target="header35.xml" /><Relationship Id="rId242" Type="http://schemas.openxmlformats.org/officeDocument/2006/relationships/footer" Target="footer34.xml" /><Relationship Id="rId243" Type="http://schemas.openxmlformats.org/officeDocument/2006/relationships/footer" Target="footer35.xml" /><Relationship Id="rId244" Type="http://schemas.openxmlformats.org/officeDocument/2006/relationships/header" Target="header36.xml" /><Relationship Id="rId245" Type="http://schemas.openxmlformats.org/officeDocument/2006/relationships/footer" Target="footer36.xml" /><Relationship Id="rId246" Type="http://schemas.openxmlformats.org/officeDocument/2006/relationships/hyperlink" Target="https://advance.lexis.com/api/document?collection=cases-ca&amp;id=urn:contentItem:5F7T-S7K1-JNY7-X4FN-00000-00&amp;context=" TargetMode="External" /><Relationship Id="rId247" Type="http://schemas.openxmlformats.org/officeDocument/2006/relationships/hyperlink" Target="https://advance.lexis.com/api/document?collection=legislation-ca&amp;id=urn:contentItem:5F3B-BD81-JS0R-20B2-00000-00&amp;context=" TargetMode="External" /><Relationship Id="rId248" Type="http://schemas.openxmlformats.org/officeDocument/2006/relationships/hyperlink" Target="https://advance.lexis.com/api/document?collection=legislation-ca&amp;id=urn:contentItem:5F3B-BDF1-JW5H-X09J-00000-00&amp;context=" TargetMode="External" /><Relationship Id="rId249" Type="http://schemas.openxmlformats.org/officeDocument/2006/relationships/hyperlink" Target="https://advance.lexis.com/api/document?collection=legislation-ca&amp;id=urn:contentItem:5F3B-B9P1-JF75-M0NX-00000-00&amp;context=" TargetMode="External" /><Relationship Id="rId25" Type="http://schemas.openxmlformats.org/officeDocument/2006/relationships/hyperlink" Target="https://advance.lexis.com/api/document?collection=cases-ca&amp;id=urn:contentItem:5F7T-S711-JC0G-62TF-00000-00&amp;context=" TargetMode="External" /><Relationship Id="rId250" Type="http://schemas.openxmlformats.org/officeDocument/2006/relationships/hyperlink" Target="https://advance.lexis.com/api/document?collection=legislation-ca&amp;id=urn:contentItem:5VYK-WB01-JJSF-2213-00000-00&amp;context=" TargetMode="External" /><Relationship Id="rId251" Type="http://schemas.openxmlformats.org/officeDocument/2006/relationships/hyperlink" Target="https://advance.lexis.com/api/document?collection=legislation-ca&amp;id=urn:contentItem:5FBX-WG31-JS5Y-B46J-00000-00&amp;context=" TargetMode="External" /><Relationship Id="rId252" Type="http://schemas.openxmlformats.org/officeDocument/2006/relationships/hyperlink" Target="https://advance.lexis.com/api/document?collection=legislation-ca&amp;id=urn:contentItem:5VYK-WB31-F1H1-226C-00000-00&amp;context=" TargetMode="External" /><Relationship Id="rId253" Type="http://schemas.openxmlformats.org/officeDocument/2006/relationships/hyperlink" Target="https://advance.lexis.com/api/document?collection=legislation-ca&amp;id=urn:contentItem:5V9X-CRP1-JNJT-B002-00000-00&amp;context=" TargetMode="External" /><Relationship Id="rId254" Type="http://schemas.openxmlformats.org/officeDocument/2006/relationships/hyperlink" Target="https://advance.lexis.com/api/document?collection=cases-ca&amp;id=urn:contentItem:5F8T-N3V1-JTGH-B18F-00000-00&amp;context=" TargetMode="External" /><Relationship Id="rId255" Type="http://schemas.openxmlformats.org/officeDocument/2006/relationships/hyperlink" Target="https://advance.lexis.com/api/document?collection=cases-ca&amp;id=urn:contentItem:5F8T-N3T1-JFKM-655K-00000-00&amp;context=" TargetMode="External" /><Relationship Id="rId256" Type="http://schemas.openxmlformats.org/officeDocument/2006/relationships/hyperlink" Target="https://advance.lexis.com/api/document?collection=cases-ca&amp;id=urn:contentItem:5F7T-S7J1-JYYX-624T-00000-00&amp;context=" TargetMode="External" /><Relationship Id="rId257" Type="http://schemas.openxmlformats.org/officeDocument/2006/relationships/hyperlink" Target="https://advance.lexis.com/api/document?collection=cases-ca&amp;id=urn:contentItem:5F8T-N3V1-JF75-M3S6-00000-00&amp;context=" TargetMode="External" /><Relationship Id="rId258" Type="http://schemas.openxmlformats.org/officeDocument/2006/relationships/hyperlink" Target="https://advance.lexis.com/api/document?collection=cases-ca&amp;id=urn:contentItem:5F7T-S771-JTGH-B136-00000-00&amp;context=" TargetMode="External" /><Relationship Id="rId259" Type="http://schemas.openxmlformats.org/officeDocument/2006/relationships/hyperlink" Target="https://advance.lexis.com/api/document?collection=cases-ca&amp;id=urn:contentItem:5F7T-S751-JBM1-M2CY-00000-00&amp;context=" TargetMode="External" /><Relationship Id="rId26" Type="http://schemas.openxmlformats.org/officeDocument/2006/relationships/hyperlink" Target="https://advance.lexis.com/api/document?collection=cases-ca&amp;id=urn:contentItem:5F8T-N3S1-JT99-250Y-00000-00&amp;context=" TargetMode="External" /><Relationship Id="rId260" Type="http://schemas.openxmlformats.org/officeDocument/2006/relationships/hyperlink" Target="https://advance.lexis.com/api/document?collection=cases-ca&amp;id=urn:contentItem:5F7T-S7F1-FBN1-21XT-00000-00&amp;context=" TargetMode="External" /><Relationship Id="rId261" Type="http://schemas.openxmlformats.org/officeDocument/2006/relationships/header" Target="header37.xml" /><Relationship Id="rId262" Type="http://schemas.openxmlformats.org/officeDocument/2006/relationships/header" Target="header38.xml" /><Relationship Id="rId263" Type="http://schemas.openxmlformats.org/officeDocument/2006/relationships/footer" Target="footer37.xml" /><Relationship Id="rId264" Type="http://schemas.openxmlformats.org/officeDocument/2006/relationships/footer" Target="footer38.xml" /><Relationship Id="rId265" Type="http://schemas.openxmlformats.org/officeDocument/2006/relationships/header" Target="header39.xml" /><Relationship Id="rId266" Type="http://schemas.openxmlformats.org/officeDocument/2006/relationships/footer" Target="footer39.xml" /><Relationship Id="rId267" Type="http://schemas.openxmlformats.org/officeDocument/2006/relationships/hyperlink" Target="https://advance.lexis.com/api/document?collection=cases-ca&amp;id=urn:contentItem:5F7T-S781-JSC5-M4G8-00000-00&amp;context=" TargetMode="External" /><Relationship Id="rId268" Type="http://schemas.openxmlformats.org/officeDocument/2006/relationships/hyperlink" Target="https://advance.lexis.com/api/document?collection=cases-ca&amp;id=urn:contentItem:5F7T-S731-JNJT-B1W0-00000-00&amp;context=" TargetMode="External" /><Relationship Id="rId269" Type="http://schemas.openxmlformats.org/officeDocument/2006/relationships/header" Target="header40.xml" /><Relationship Id="rId27" Type="http://schemas.openxmlformats.org/officeDocument/2006/relationships/hyperlink" Target="https://advance.lexis.com/api/document?collection=legislation-ca&amp;id=urn:contentItem:5F41-1FJ1-JBDT-B066-00000-00&amp;context=" TargetMode="External" /><Relationship Id="rId270" Type="http://schemas.openxmlformats.org/officeDocument/2006/relationships/header" Target="header41.xml" /><Relationship Id="rId271" Type="http://schemas.openxmlformats.org/officeDocument/2006/relationships/footer" Target="footer40.xml" /><Relationship Id="rId272" Type="http://schemas.openxmlformats.org/officeDocument/2006/relationships/footer" Target="footer41.xml" /><Relationship Id="rId273" Type="http://schemas.openxmlformats.org/officeDocument/2006/relationships/header" Target="header42.xml" /><Relationship Id="rId274" Type="http://schemas.openxmlformats.org/officeDocument/2006/relationships/footer" Target="footer42.xml" /><Relationship Id="rId275" Type="http://schemas.openxmlformats.org/officeDocument/2006/relationships/hyperlink" Target="https://advance.lexis.com/api/document?collection=cases-ca&amp;id=urn:contentItem:5T6H-NM31-F873-B0RK-00000-00&amp;context=" TargetMode="External" /><Relationship Id="rId276" Type="http://schemas.openxmlformats.org/officeDocument/2006/relationships/hyperlink" Target="https://advance.lexis.com/api/document?collection=cases-ca&amp;id=urn:contentItem:5F8P-T8X1-FBV7-B4GX-00000-00&amp;context=" TargetMode="External" /><Relationship Id="rId277" Type="http://schemas.openxmlformats.org/officeDocument/2006/relationships/hyperlink" Target="https://advance.lexis.com/api/document?collection=cases-ca&amp;id=urn:contentItem:5F8T-N3V1-FC1F-M3WJ-00000-00&amp;context=" TargetMode="External" /><Relationship Id="rId278" Type="http://schemas.openxmlformats.org/officeDocument/2006/relationships/hyperlink" Target="https://advance.lexis.com/api/document?collection=cases-ca&amp;id=urn:contentItem:5SXV-YM51-F1WF-M2P7-00000-00&amp;context=" TargetMode="External" /><Relationship Id="rId279" Type="http://schemas.openxmlformats.org/officeDocument/2006/relationships/hyperlink" Target="https://advance.lexis.com/api/document?collection=cases-ca&amp;id=urn:contentItem:5FXJ-PSX1-JNJT-B0JG-00000-00&amp;context=" TargetMode="External" /><Relationship Id="rId28" Type="http://schemas.openxmlformats.org/officeDocument/2006/relationships/hyperlink" Target="https://advance.lexis.com/api/document?collection=cases-ca&amp;id=urn:contentItem:5F7T-S741-F528-G2HT-00000-00&amp;context=" TargetMode="External" /><Relationship Id="rId280" Type="http://schemas.openxmlformats.org/officeDocument/2006/relationships/hyperlink" Target="https://advance.lexis.com/api/document?collection=cases-ca&amp;id=urn:contentItem:5F7T-S7G1-FCYK-209C-00000-00&amp;context=" TargetMode="External" /><Relationship Id="rId281" Type="http://schemas.openxmlformats.org/officeDocument/2006/relationships/hyperlink" Target="https://advance.lexis.com/api/document?collection=cases-ca&amp;id=urn:contentItem:5F7T-S751-JBM1-M2HC-00000-00&amp;context=" TargetMode="External" /><Relationship Id="rId282" Type="http://schemas.openxmlformats.org/officeDocument/2006/relationships/hyperlink" Target="https://advance.lexis.com/api/document?collection=cases-ca&amp;id=urn:contentItem:5HR4-FPP1-JG02-S2BC-00000-00&amp;context=" TargetMode="External" /><Relationship Id="rId283" Type="http://schemas.openxmlformats.org/officeDocument/2006/relationships/hyperlink" Target="https://advance.lexis.com/api/document?collection=cases-ca&amp;id=urn:contentItem:5F7T-S7M1-F4W2-624B-00000-00&amp;context=" TargetMode="External" /><Relationship Id="rId284" Type="http://schemas.openxmlformats.org/officeDocument/2006/relationships/hyperlink" Target="https://advance.lexis.com/api/document?collection=cases-ca&amp;id=urn:contentItem:5F7F-5RH1-FJM6-6036-00000-00&amp;context=" TargetMode="External" /><Relationship Id="rId285" Type="http://schemas.openxmlformats.org/officeDocument/2006/relationships/hyperlink" Target="https://advance.lexis.com/api/document?collection=cases-ca&amp;id=urn:contentItem:5F8N-K6W1-JNJT-B4VM-00000-00&amp;context=" TargetMode="External" /><Relationship Id="rId286" Type="http://schemas.openxmlformats.org/officeDocument/2006/relationships/hyperlink" Target="https://advance.lexis.com/api/document?collection=cases-ca&amp;id=urn:contentItem:5F7T-S7D1-FBFS-S1TM-00000-00&amp;context=" TargetMode="External" /><Relationship Id="rId287" Type="http://schemas.openxmlformats.org/officeDocument/2006/relationships/header" Target="header43.xml" /><Relationship Id="rId288" Type="http://schemas.openxmlformats.org/officeDocument/2006/relationships/header" Target="header44.xml" /><Relationship Id="rId289" Type="http://schemas.openxmlformats.org/officeDocument/2006/relationships/footer" Target="footer43.xml" /><Relationship Id="rId29" Type="http://schemas.openxmlformats.org/officeDocument/2006/relationships/hyperlink" Target="https://advance.lexis.com/api/document?collection=cases-ca&amp;id=urn:contentItem:5F8T-N3V1-JF75-M3CR-00000-00&amp;context=" TargetMode="External" /><Relationship Id="rId290" Type="http://schemas.openxmlformats.org/officeDocument/2006/relationships/footer" Target="footer44.xml" /><Relationship Id="rId291" Type="http://schemas.openxmlformats.org/officeDocument/2006/relationships/header" Target="header45.xml" /><Relationship Id="rId292" Type="http://schemas.openxmlformats.org/officeDocument/2006/relationships/footer" Target="footer45.xml" /><Relationship Id="rId293" Type="http://schemas.openxmlformats.org/officeDocument/2006/relationships/hyperlink" Target="https://advance.lexis.com/api/document?collection=cases-ca&amp;id=urn:contentItem:5F7T-S7F1-JBT7-X2PG-00000-00&amp;context=" TargetMode="External" /><Relationship Id="rId294" Type="http://schemas.openxmlformats.org/officeDocument/2006/relationships/hyperlink" Target="https://advance.lexis.com/api/document?collection=cases-ca&amp;id=urn:contentItem:5K6Y-81M1-JGPY-X1M2-00000-00&amp;context=" TargetMode="External" /><Relationship Id="rId295" Type="http://schemas.openxmlformats.org/officeDocument/2006/relationships/hyperlink" Target="https://advance.lexis.com/api/document?collection=legislation-ca&amp;id=urn:contentItem:5F41-1FG1-JC0G-61K1-00000-00&amp;context=" TargetMode="External" /><Relationship Id="rId296" Type="http://schemas.openxmlformats.org/officeDocument/2006/relationships/hyperlink" Target="https://advance.lexis.com/api/document?collection=legislation-ca&amp;id=urn:contentItem:5YG0-C781-JB7K-210W-00000-00&amp;context=" TargetMode="External" /><Relationship Id="rId297" Type="http://schemas.openxmlformats.org/officeDocument/2006/relationships/hyperlink" Target="https://advance.lexis.com/api/document?collection=cases-ca&amp;id=urn:contentItem:5F8P-SDP1-JSC5-M0JB-00000-00&amp;context=" TargetMode="External" /><Relationship Id="rId298" Type="http://schemas.openxmlformats.org/officeDocument/2006/relationships/hyperlink" Target="https://advance.lexis.com/api/document?collection=cases-ca&amp;id=urn:contentItem:5F8P-SDT1-JCJ5-24W0-00000-00&amp;context=" TargetMode="External" /><Relationship Id="rId299" Type="http://schemas.openxmlformats.org/officeDocument/2006/relationships/hyperlink" Target="https://advance.lexis.com/api/document?collection=cases-ca&amp;id=urn:contentItem:5F7T-S771-F81W-22KH-00000-00&amp;context=" TargetMode="External" /><Relationship Id="rId3" Type="http://schemas.openxmlformats.org/officeDocument/2006/relationships/fontTable" Target="fontTable.xml" /><Relationship Id="rId30" Type="http://schemas.openxmlformats.org/officeDocument/2006/relationships/header" Target="header4.xml" /><Relationship Id="rId300" Type="http://schemas.openxmlformats.org/officeDocument/2006/relationships/hyperlink" Target="https://advance.lexis.com/api/document?collection=cases-ca&amp;id=urn:contentItem:5F8T-N3V1-JTGH-B12V-00000-00&amp;context=" TargetMode="External" /><Relationship Id="rId301" Type="http://schemas.openxmlformats.org/officeDocument/2006/relationships/hyperlink" Target="https://advance.lexis.com/api/document?collection=legislation-ca&amp;id=urn:contentItem:5VYK-W9Y1-DYFH-X0T4-00000-00&amp;context=" TargetMode="External" /><Relationship Id="rId302" Type="http://schemas.openxmlformats.org/officeDocument/2006/relationships/hyperlink" Target="https://advance.lexis.com/api/document?collection=cases-ca&amp;id=urn:contentItem:5F8W-M3Y1-JWR6-S52V-00000-00&amp;context=" TargetMode="External" /><Relationship Id="rId303" Type="http://schemas.openxmlformats.org/officeDocument/2006/relationships/hyperlink" Target="https://advance.lexis.com/api/document?collection=cases-ca&amp;id=urn:contentItem:5F8W-M411-FBV7-B19F-00000-00&amp;context=" TargetMode="External" /><Relationship Id="rId304" Type="http://schemas.openxmlformats.org/officeDocument/2006/relationships/hyperlink" Target="https://advance.lexis.com/api/document?collection=cases-ca&amp;id=urn:contentItem:5F8W-M411-FBV7-B130-00000-00&amp;context=" TargetMode="External" /><Relationship Id="rId305" Type="http://schemas.openxmlformats.org/officeDocument/2006/relationships/hyperlink" Target="https://advance.lexis.com/api/document?collection=cases-ca&amp;id=urn:contentItem:5F7F-5RG1-FCSB-S0CN-00000-00&amp;context=" TargetMode="External" /><Relationship Id="rId306" Type="http://schemas.openxmlformats.org/officeDocument/2006/relationships/hyperlink" Target="https://advance.lexis.com/api/document?collection=cases-ca&amp;id=urn:contentItem:5F8W-M411-JS5Y-B3NV-00000-00&amp;context=" TargetMode="External" /><Relationship Id="rId307" Type="http://schemas.openxmlformats.org/officeDocument/2006/relationships/hyperlink" Target="https://advance.lexis.com/api/document?collection=cases-ca&amp;id=urn:contentItem:5F8T-N3T1-JGHR-M24Y-00000-00&amp;context=" TargetMode="External" /><Relationship Id="rId308" Type="http://schemas.openxmlformats.org/officeDocument/2006/relationships/hyperlink" Target="https://advance.lexis.com/api/document?collection=legislation-ca&amp;id=urn:contentItem:5W07-7FV1-JTGH-B2YF-00000-00&amp;context=" TargetMode="External" /><Relationship Id="rId309" Type="http://schemas.openxmlformats.org/officeDocument/2006/relationships/hyperlink" Target="https://advance.lexis.com/api/document?collection=cases-ca&amp;id=urn:contentItem:5F8T-N3V1-FC1F-M41S-00000-00&amp;context=" TargetMode="External" /><Relationship Id="rId31" Type="http://schemas.openxmlformats.org/officeDocument/2006/relationships/header" Target="header5.xml" /><Relationship Id="rId310" Type="http://schemas.openxmlformats.org/officeDocument/2006/relationships/hyperlink" Target="https://advance.lexis.com/api/document?collection=cases-ca&amp;id=urn:contentItem:5F8T-N3V1-JTGH-B127-00000-00&amp;context=" TargetMode="External" /><Relationship Id="rId311" Type="http://schemas.openxmlformats.org/officeDocument/2006/relationships/hyperlink" Target="https://advance.lexis.com/api/document?collection=cases-ca&amp;id=urn:contentItem:5F7T-S771-FG68-G11R-00000-00&amp;context=" TargetMode="External" /><Relationship Id="rId312" Type="http://schemas.openxmlformats.org/officeDocument/2006/relationships/hyperlink" Target="https://advance.lexis.com/api/document?collection=cases-ca&amp;id=urn:contentItem:5F8T-N3V1-JTGH-B12R-00000-00&amp;context=" TargetMode="External" /><Relationship Id="rId313" Type="http://schemas.openxmlformats.org/officeDocument/2006/relationships/hyperlink" Target="https://advance.lexis.com/api/document?collection=cases-ca&amp;id=urn:contentItem:5F8T-N3V1-JF75-M3TB-00000-00&amp;context=" TargetMode="External" /><Relationship Id="rId314" Type="http://schemas.openxmlformats.org/officeDocument/2006/relationships/hyperlink" Target="https://advance.lexis.com/api/document?collection=cases-ca&amp;id=urn:contentItem:5F7T-S6Y1-F4GK-M25H-00000-00&amp;context=" TargetMode="External" /><Relationship Id="rId315" Type="http://schemas.openxmlformats.org/officeDocument/2006/relationships/header" Target="header46.xml" /><Relationship Id="rId316" Type="http://schemas.openxmlformats.org/officeDocument/2006/relationships/header" Target="header47.xml" /><Relationship Id="rId317" Type="http://schemas.openxmlformats.org/officeDocument/2006/relationships/footer" Target="footer46.xml" /><Relationship Id="rId318" Type="http://schemas.openxmlformats.org/officeDocument/2006/relationships/footer" Target="footer47.xml" /><Relationship Id="rId319" Type="http://schemas.openxmlformats.org/officeDocument/2006/relationships/header" Target="header48.xml" /><Relationship Id="rId32" Type="http://schemas.openxmlformats.org/officeDocument/2006/relationships/footer" Target="footer4.xml" /><Relationship Id="rId320" Type="http://schemas.openxmlformats.org/officeDocument/2006/relationships/footer" Target="footer48.xml" /><Relationship Id="rId321" Type="http://schemas.openxmlformats.org/officeDocument/2006/relationships/hyperlink" Target="https://advance.lexis.com/api/document?collection=cases-ca&amp;id=urn:contentItem:5F7T-S7H1-F4GK-M2Y2-00000-00&amp;context=" TargetMode="External" /><Relationship Id="rId322" Type="http://schemas.openxmlformats.org/officeDocument/2006/relationships/hyperlink" Target="https://advance.lexis.com/api/document?collection=legislation-ca&amp;id=urn:contentItem:5F3B-B841-JCRC-B19S-00000-00&amp;context=" TargetMode="External" /><Relationship Id="rId323" Type="http://schemas.openxmlformats.org/officeDocument/2006/relationships/hyperlink" Target="https://advance.lexis.com/api/document?collection=legislation-ca&amp;id=urn:contentItem:5F41-1FN1-JSXV-G1K2-00000-00&amp;context=" TargetMode="External" /><Relationship Id="rId324" Type="http://schemas.openxmlformats.org/officeDocument/2006/relationships/hyperlink" Target="https://advance.lexis.com/api/document?collection=legislation-ca&amp;id=urn:contentItem:5F41-1FN1-JJK6-S0DV-00000-00&amp;context=" TargetMode="External" /><Relationship Id="rId325" Type="http://schemas.openxmlformats.org/officeDocument/2006/relationships/hyperlink" Target="https://advance.lexis.com/api/document?collection=legislation-ca&amp;id=urn:contentItem:5W3Y-TSR1-FC6N-X0HD-00000-00&amp;context=" TargetMode="External" /><Relationship Id="rId326" Type="http://schemas.openxmlformats.org/officeDocument/2006/relationships/hyperlink" Target="https://advance.lexis.com/api/document?collection=legislation-ca&amp;id=urn:contentItem:5F41-1FH1-JSRM-601V-00000-00&amp;context=" TargetMode="External" /><Relationship Id="rId327" Type="http://schemas.openxmlformats.org/officeDocument/2006/relationships/hyperlink" Target="https://advance.lexis.com/api/document?collection=cases-ca&amp;id=urn:contentItem:5F8P-SF01-JS0R-20DX-00000-00&amp;context=" TargetMode="External" /><Relationship Id="rId328" Type="http://schemas.openxmlformats.org/officeDocument/2006/relationships/hyperlink" Target="https://advance.lexis.com/api/document?collection=cases-ca&amp;id=urn:contentItem:5F7T-S7G1-JN6B-S1BX-00000-00&amp;context=" TargetMode="External" /><Relationship Id="rId329" Type="http://schemas.openxmlformats.org/officeDocument/2006/relationships/hyperlink" Target="https://advance.lexis.com/api/document?collection=cases-ca&amp;id=urn:contentItem:5F8P-SGC1-JG02-S2NV-00000-00&amp;context=" TargetMode="External" /><Relationship Id="rId33" Type="http://schemas.openxmlformats.org/officeDocument/2006/relationships/footer" Target="footer5.xml" /><Relationship Id="rId330" Type="http://schemas.openxmlformats.org/officeDocument/2006/relationships/hyperlink" Target="https://advance.lexis.com/api/document?collection=cases-ca&amp;id=urn:contentItem:5F8P-SDV1-JG02-S11P-00000-00&amp;context=" TargetMode="External" /><Relationship Id="rId331" Type="http://schemas.openxmlformats.org/officeDocument/2006/relationships/hyperlink" Target="https://advance.lexis.com/api/document?collection=cases-ca&amp;id=urn:contentItem:5F8P-SDY1-F30T-B0D4-00000-00&amp;context=" TargetMode="External" /><Relationship Id="rId332" Type="http://schemas.openxmlformats.org/officeDocument/2006/relationships/hyperlink" Target="https://advance.lexis.com/api/document?collection=legislation-ca&amp;id=urn:contentItem:5F41-1FP1-JXNB-60FG-00000-00&amp;context=" TargetMode="External" /><Relationship Id="rId333" Type="http://schemas.openxmlformats.org/officeDocument/2006/relationships/hyperlink" Target="https://advance.lexis.com/api/document?collection=cases-ca&amp;id=urn:contentItem:5F8T-N3T1-JGHR-M278-00000-00&amp;context=" TargetMode="External" /><Relationship Id="rId334" Type="http://schemas.openxmlformats.org/officeDocument/2006/relationships/hyperlink" Target="https://advance.lexis.com/api/document?collection=cases-ca&amp;id=urn:contentItem:5F8W-M471-JK4W-M26X-00000-00&amp;context=" TargetMode="External" /><Relationship Id="rId335" Type="http://schemas.openxmlformats.org/officeDocument/2006/relationships/hyperlink" Target="https://advance.lexis.com/api/document?collection=cases-ca&amp;id=urn:contentItem:5F8P-SDN1-F1H1-218R-00000-00&amp;context=" TargetMode="External" /><Relationship Id="rId336" Type="http://schemas.openxmlformats.org/officeDocument/2006/relationships/hyperlink" Target="https://advance.lexis.com/api/document?collection=cases-ca&amp;id=urn:contentItem:5F8P-SF01-JTGH-B3MN-00000-00&amp;context=" TargetMode="External" /><Relationship Id="rId337" Type="http://schemas.openxmlformats.org/officeDocument/2006/relationships/hyperlink" Target="https://advance.lexis.com/api/document?collection=cases-ca&amp;id=urn:contentItem:5F7T-S7F1-FBN1-21V4-00000-00&amp;context=" TargetMode="External" /><Relationship Id="rId338" Type="http://schemas.openxmlformats.org/officeDocument/2006/relationships/hyperlink" Target="https://advance.lexis.com/api/document?collection=cases-ca&amp;id=urn:contentItem:5F81-VJX1-FD4T-B34P-00000-00&amp;context=" TargetMode="External" /><Relationship Id="rId339" Type="http://schemas.openxmlformats.org/officeDocument/2006/relationships/hyperlink" Target="https://advance.lexis.com/api/document?collection=cases-ca&amp;id=urn:contentItem:5F7T-S7D1-DY89-M45W-00000-00&amp;context=" TargetMode="External" /><Relationship Id="rId34" Type="http://schemas.openxmlformats.org/officeDocument/2006/relationships/header" Target="header6.xml" /><Relationship Id="rId340" Type="http://schemas.openxmlformats.org/officeDocument/2006/relationships/hyperlink" Target="https://advance.lexis.com/api/document?collection=legislation-ca&amp;id=urn:contentItem:5VYK-WB31-JWBS-64YB-00000-00&amp;context=" TargetMode="External" /><Relationship Id="rId341" Type="http://schemas.openxmlformats.org/officeDocument/2006/relationships/hyperlink" Target="https://advance.lexis.com/api/document?collection=cases-ca&amp;id=urn:contentItem:5F8P-SCJ1-JNJT-B3MT-00000-00&amp;context=" TargetMode="External" /><Relationship Id="rId342" Type="http://schemas.openxmlformats.org/officeDocument/2006/relationships/hyperlink" Target="https://advance.lexis.com/api/document?collection=cases-ca&amp;id=urn:contentItem:5F8P-SCN1-JW5H-X2NR-00000-00&amp;context=" TargetMode="External" /><Relationship Id="rId343" Type="http://schemas.openxmlformats.org/officeDocument/2006/relationships/hyperlink" Target="https://advance.lexis.com/api/document?collection=cases-ca&amp;id=urn:contentItem:5F8P-SGC1-JG02-S290-00000-00&amp;context=" TargetMode="External" /><Relationship Id="rId344" Type="http://schemas.openxmlformats.org/officeDocument/2006/relationships/hyperlink" Target="https://advance.lexis.com/api/document?collection=cases-ca&amp;id=urn:contentItem:5F7T-S7G1-F5KY-B1HF-00000-00&amp;context=" TargetMode="External" /><Relationship Id="rId345" Type="http://schemas.openxmlformats.org/officeDocument/2006/relationships/hyperlink" Target="https://advance.lexis.com/api/document?collection=cases-ca&amp;id=urn:contentItem:5F8P-SDF1-JXNB-64WG-00000-00&amp;context=" TargetMode="External" /><Relationship Id="rId346" Type="http://schemas.openxmlformats.org/officeDocument/2006/relationships/header" Target="header49.xml" /><Relationship Id="rId347" Type="http://schemas.openxmlformats.org/officeDocument/2006/relationships/header" Target="header50.xml" /><Relationship Id="rId348" Type="http://schemas.openxmlformats.org/officeDocument/2006/relationships/footer" Target="footer49.xml" /><Relationship Id="rId349" Type="http://schemas.openxmlformats.org/officeDocument/2006/relationships/footer" Target="footer50.xml" /><Relationship Id="rId35" Type="http://schemas.openxmlformats.org/officeDocument/2006/relationships/footer" Target="footer6.xml" /><Relationship Id="rId350" Type="http://schemas.openxmlformats.org/officeDocument/2006/relationships/header" Target="header51.xml" /><Relationship Id="rId351" Type="http://schemas.openxmlformats.org/officeDocument/2006/relationships/footer" Target="footer51.xml" /><Relationship Id="rId352" Type="http://schemas.openxmlformats.org/officeDocument/2006/relationships/hyperlink" Target="https://advance.lexis.com/api/document?collection=cases-ca&amp;id=urn:contentItem:5K6Y-81M1-F81W-23SK-00000-00&amp;context=" TargetMode="External" /><Relationship Id="rId353" Type="http://schemas.openxmlformats.org/officeDocument/2006/relationships/hyperlink" Target="https://advance.lexis.com/api/document?collection=cases-ca&amp;id=urn:contentItem:5F7T-S7K1-JWXF-20WH-00000-00&amp;context=" TargetMode="External" /><Relationship Id="rId354" Type="http://schemas.openxmlformats.org/officeDocument/2006/relationships/hyperlink" Target="https://advance.lexis.com/api/document?collection=cases-ca&amp;id=urn:contentItem:5F7T-S7K1-JSJC-X10Y-00000-00&amp;context=" TargetMode="External" /><Relationship Id="rId355" Type="http://schemas.openxmlformats.org/officeDocument/2006/relationships/hyperlink" Target="https://advance.lexis.com/api/document?collection=cases-ca&amp;id=urn:contentItem:5F7T-S761-JGHR-M2J3-00000-00&amp;context=" TargetMode="External" /><Relationship Id="rId356" Type="http://schemas.openxmlformats.org/officeDocument/2006/relationships/hyperlink" Target="https://advance.lexis.com/api/document?collection=cases-ca&amp;id=urn:contentItem:5F7T-S7G1-JN6B-S1GX-00000-00&amp;context=" TargetMode="External" /><Relationship Id="rId357" Type="http://schemas.openxmlformats.org/officeDocument/2006/relationships/hyperlink" Target="https://advance.lexis.com/api/document?collection=cases-ca&amp;id=urn:contentItem:5F7T-S751-JCJ5-2491-00000-00&amp;context=" TargetMode="External" /><Relationship Id="rId358" Type="http://schemas.openxmlformats.org/officeDocument/2006/relationships/hyperlink" Target="https://advance.lexis.com/api/document?collection=cases-ca&amp;id=urn:contentItem:5F7T-S761-JS5Y-B1PW-00000-00&amp;context=" TargetMode="External" /><Relationship Id="rId359" Type="http://schemas.openxmlformats.org/officeDocument/2006/relationships/hyperlink" Target="https://advance.lexis.com/api/document?collection=cases-ca&amp;id=urn:contentItem:5F7T-S6V1-F2TK-227X-00000-00&amp;context=" TargetMode="External" /><Relationship Id="rId36" Type="http://schemas.openxmlformats.org/officeDocument/2006/relationships/hyperlink" Target="https://advance.lexis.com/api/document?collection=cases-ca&amp;id=urn:contentItem:5NYG-2N01-F2F4-G4KB-00000-00&amp;context=" TargetMode="External" /><Relationship Id="rId360" Type="http://schemas.openxmlformats.org/officeDocument/2006/relationships/hyperlink" Target="https://advance.lexis.com/api/document?collection=cases-ca&amp;id=urn:contentItem:5F7T-S781-DYMS-61HT-00000-00&amp;context=" TargetMode="External" /><Relationship Id="rId361" Type="http://schemas.openxmlformats.org/officeDocument/2006/relationships/hyperlink" Target="https://advance.lexis.com/api/document?collection=cases-ca&amp;id=urn:contentItem:5F7T-S7F1-JFKM-622N-00000-00&amp;context=" TargetMode="External" /><Relationship Id="rId362" Type="http://schemas.openxmlformats.org/officeDocument/2006/relationships/hyperlink" Target="https://advance.lexis.com/api/document?collection=cases-ca&amp;id=urn:contentItem:5F16-9351-FGRY-B4FV-00000-00&amp;context=" TargetMode="External" /><Relationship Id="rId363" Type="http://schemas.openxmlformats.org/officeDocument/2006/relationships/hyperlink" Target="https://advance.lexis.com/api/document?collection=cases-ca&amp;id=urn:contentItem:5F8T-N3V1-JF75-M392-00000-00&amp;context=" TargetMode="External" /><Relationship Id="rId364" Type="http://schemas.openxmlformats.org/officeDocument/2006/relationships/hyperlink" Target="https://advance.lexis.com/api/document?collection=cases-ca&amp;id=urn:contentItem:5F8T-N3T1-JFKM-650G-00000-00&amp;context=" TargetMode="External" /><Relationship Id="rId365" Type="http://schemas.openxmlformats.org/officeDocument/2006/relationships/hyperlink" Target="https://advance.lexis.com/api/document?collection=cases-ca&amp;id=urn:contentItem:5F7T-S6Y1-JSC5-M2KT-00000-00&amp;context=" TargetMode="External" /><Relationship Id="rId366" Type="http://schemas.openxmlformats.org/officeDocument/2006/relationships/hyperlink" Target="https://advance.lexis.com/api/document?collection=cases-ca&amp;id=urn:contentItem:5F7T-S6V1-JFKM-6133-00000-00&amp;context=" TargetMode="External" /><Relationship Id="rId367" Type="http://schemas.openxmlformats.org/officeDocument/2006/relationships/hyperlink" Target="https://advance.lexis.com/api/document?collection=cases-ca&amp;id=urn:contentItem:5F7T-S7H1-FCSB-S3RY-00000-00&amp;context=" TargetMode="External" /><Relationship Id="rId368" Type="http://schemas.openxmlformats.org/officeDocument/2006/relationships/hyperlink" Target="https://advance.lexis.com/api/document?collection=cases-ca&amp;id=urn:contentItem:5F7T-S6W1-JYYX-61TX-00000-00&amp;context=" TargetMode="External" /><Relationship Id="rId369" Type="http://schemas.openxmlformats.org/officeDocument/2006/relationships/hyperlink" Target="https://advance.lexis.com/api/document?collection=cases-ca&amp;id=urn:contentItem:5F7T-S7F1-F7VM-S475-00000-00&amp;context=" TargetMode="External" /><Relationship Id="rId37" Type="http://schemas.openxmlformats.org/officeDocument/2006/relationships/hyperlink" Target="https://advance.lexis.com/api/document?collection=legislation-ca&amp;id=urn:contentItem:5F3B-B7K1-DY89-M237-00000-00&amp;context=" TargetMode="External" /><Relationship Id="rId370" Type="http://schemas.openxmlformats.org/officeDocument/2006/relationships/hyperlink" Target="https://advance.lexis.com/api/document?collection=cases-ca&amp;id=urn:contentItem:5F7T-S761-F81W-21RK-00000-00&amp;context=" TargetMode="External" /><Relationship Id="rId371" Type="http://schemas.openxmlformats.org/officeDocument/2006/relationships/header" Target="header52.xml" /><Relationship Id="rId372" Type="http://schemas.openxmlformats.org/officeDocument/2006/relationships/header" Target="header53.xml" /><Relationship Id="rId373" Type="http://schemas.openxmlformats.org/officeDocument/2006/relationships/footer" Target="footer52.xml" /><Relationship Id="rId374" Type="http://schemas.openxmlformats.org/officeDocument/2006/relationships/footer" Target="footer53.xml" /><Relationship Id="rId375" Type="http://schemas.openxmlformats.org/officeDocument/2006/relationships/header" Target="header54.xml" /><Relationship Id="rId376" Type="http://schemas.openxmlformats.org/officeDocument/2006/relationships/footer" Target="footer54.xml" /><Relationship Id="rId377" Type="http://schemas.openxmlformats.org/officeDocument/2006/relationships/hyperlink" Target="https://advance.lexis.com/api/document?collection=cases-ca&amp;id=urn:contentItem:5F7T-S7K1-JNY7-X47J-00000-00&amp;context=" TargetMode="External" /><Relationship Id="rId378" Type="http://schemas.openxmlformats.org/officeDocument/2006/relationships/hyperlink" Target="https://advance.lexis.com/api/document?collection=cases-ca&amp;id=urn:contentItem:5K6Y-81M1-F81W-23TF-00000-00&amp;context=" TargetMode="External" /><Relationship Id="rId379" Type="http://schemas.openxmlformats.org/officeDocument/2006/relationships/hyperlink" Target="https://advance.lexis.com/api/document?collection=legislation-ca&amp;id=urn:contentItem:5VYK-47Y1-F06F-21ND-00000-00&amp;context=" TargetMode="External" /><Relationship Id="rId38" Type="http://schemas.openxmlformats.org/officeDocument/2006/relationships/hyperlink" Target="https://advance.lexis.com/api/document?collection=legislation-ca&amp;id=urn:contentItem:5VYK-W9V1-JS0R-23WX-00000-00&amp;context=" TargetMode="External" /><Relationship Id="rId380" Type="http://schemas.openxmlformats.org/officeDocument/2006/relationships/hyperlink" Target="https://advance.lexis.com/api/document?collection=cases-ca&amp;id=urn:contentItem:5F7T-S721-JSC5-M37V-00000-00&amp;context=" TargetMode="External" /><Relationship Id="rId381" Type="http://schemas.openxmlformats.org/officeDocument/2006/relationships/hyperlink" Target="https://advance.lexis.com/api/document?collection=cases-ca&amp;id=urn:contentItem:5F7T-S711-JC0G-62R6-00000-00&amp;context=" TargetMode="External" /><Relationship Id="rId382" Type="http://schemas.openxmlformats.org/officeDocument/2006/relationships/hyperlink" Target="https://advance.lexis.com/api/document?collection=cases-ca&amp;id=urn:contentItem:5F7T-S761-FGJR-22HV-00000-00&amp;context=" TargetMode="External" /><Relationship Id="rId383" Type="http://schemas.openxmlformats.org/officeDocument/2006/relationships/hyperlink" Target="https://advance.lexis.com/api/document?collection=cases-ca&amp;id=urn:contentItem:5F7T-S7C1-F7VM-S3GW-00000-00&amp;context=" TargetMode="External" /><Relationship Id="rId384" Type="http://schemas.openxmlformats.org/officeDocument/2006/relationships/hyperlink" Target="https://advance.lexis.com/api/document?collection=cases-ca&amp;id=urn:contentItem:5F7T-S781-JSC5-M3W5-00000-00&amp;context=" TargetMode="External" /><Relationship Id="rId385" Type="http://schemas.openxmlformats.org/officeDocument/2006/relationships/hyperlink" Target="https://advance.lexis.com/api/document?collection=cases-ca&amp;id=urn:contentItem:5F7T-S7B1-F7ND-G51J-00000-00&amp;context=" TargetMode="External" /><Relationship Id="rId386" Type="http://schemas.openxmlformats.org/officeDocument/2006/relationships/hyperlink" Target="https://advance.lexis.com/api/document?collection=cases-ca&amp;id=urn:contentItem:5F7T-S791-JCJ5-2547-00000-00&amp;context=" TargetMode="External" /><Relationship Id="rId387" Type="http://schemas.openxmlformats.org/officeDocument/2006/relationships/hyperlink" Target="https://advance.lexis.com/api/document?collection=cases-ca&amp;id=urn:contentItem:5F7T-S7J1-JNS1-M268-00000-00&amp;context=" TargetMode="External" /><Relationship Id="rId388" Type="http://schemas.openxmlformats.org/officeDocument/2006/relationships/hyperlink" Target="https://advance.lexis.com/api/document?collection=cases-ca&amp;id=urn:contentItem:5F16-9371-JGPY-X0KK-00000-00&amp;context=" TargetMode="External" /><Relationship Id="rId389" Type="http://schemas.openxmlformats.org/officeDocument/2006/relationships/hyperlink" Target="https://advance.lexis.com/api/document?collection=cases-ca&amp;id=urn:contentItem:5F7T-S7D1-JN6B-S0NV-00000-00&amp;context=" TargetMode="External" /><Relationship Id="rId39" Type="http://schemas.openxmlformats.org/officeDocument/2006/relationships/hyperlink" Target="https://advance.lexis.com/api/document?collection=cases-ca&amp;id=urn:contentItem:5F8W-W661-F873-B47K-00000-00&amp;context=" TargetMode="External" /><Relationship Id="rId390" Type="http://schemas.openxmlformats.org/officeDocument/2006/relationships/hyperlink" Target="https://advance.lexis.com/api/document?collection=cases-ca&amp;id=urn:contentItem:5F7T-S7K1-JWXF-2193-00000-00&amp;context=" TargetMode="External" /><Relationship Id="rId391" Type="http://schemas.openxmlformats.org/officeDocument/2006/relationships/hyperlink" Target="https://advance.lexis.com/api/document?collection=cases-ca&amp;id=urn:contentItem:5F7T-S721-F06F-237C-00000-00&amp;context=" TargetMode="External" /><Relationship Id="rId392" Type="http://schemas.openxmlformats.org/officeDocument/2006/relationships/hyperlink" Target="https://advance.lexis.com/api/document?collection=cases-ca&amp;id=urn:contentItem:5F7T-S7F1-JX3N-B1MK-00000-00&amp;context=" TargetMode="External" /><Relationship Id="rId393" Type="http://schemas.openxmlformats.org/officeDocument/2006/relationships/hyperlink" Target="https://advance.lexis.com/api/document?collection=cases-ca&amp;id=urn:contentItem:5F7T-S7F1-F7VM-S45H-00000-00&amp;context=" TargetMode="External" /><Relationship Id="rId394" Type="http://schemas.openxmlformats.org/officeDocument/2006/relationships/hyperlink" Target="https://advance.lexis.com/api/document?collection=cases-ca&amp;id=urn:contentItem:5F7T-S7F1-JFKM-622J-00000-00&amp;context=" TargetMode="External" /><Relationship Id="rId395" Type="http://schemas.openxmlformats.org/officeDocument/2006/relationships/hyperlink" Target="https://advance.lexis.com/api/document?collection=cases-ca&amp;id=urn:contentItem:5F7T-S7H1-F016-S3P5-00000-00&amp;context=" TargetMode="External" /><Relationship Id="rId396" Type="http://schemas.openxmlformats.org/officeDocument/2006/relationships/hyperlink" Target="https://advance.lexis.com/api/document?collection=cases-ca&amp;id=urn:contentItem:5F7T-S721-F5T5-M2F4-00000-00&amp;context=" TargetMode="External" /><Relationship Id="rId397" Type="http://schemas.openxmlformats.org/officeDocument/2006/relationships/hyperlink" Target="https://advance.lexis.com/api/document?collection=cases-ca&amp;id=urn:contentItem:5F7T-S7D1-FFFC-B1JM-00000-00&amp;context=" TargetMode="External" /><Relationship Id="rId398" Type="http://schemas.openxmlformats.org/officeDocument/2006/relationships/header" Target="header55.xml" /><Relationship Id="rId399" Type="http://schemas.openxmlformats.org/officeDocument/2006/relationships/header" Target="header56.xml" /><Relationship Id="rId4" Type="http://schemas.openxmlformats.org/officeDocument/2006/relationships/header" Target="header1.xml" /><Relationship Id="rId40" Type="http://schemas.openxmlformats.org/officeDocument/2006/relationships/hyperlink" Target="https://advance.lexis.com/api/document?collection=cases-ca&amp;id=urn:contentItem:5GRD-0501-JSRM-61CR-00000-00&amp;context=" TargetMode="External" /><Relationship Id="rId400" Type="http://schemas.openxmlformats.org/officeDocument/2006/relationships/footer" Target="footer55.xml" /><Relationship Id="rId401" Type="http://schemas.openxmlformats.org/officeDocument/2006/relationships/footer" Target="footer56.xml" /><Relationship Id="rId402" Type="http://schemas.openxmlformats.org/officeDocument/2006/relationships/header" Target="header57.xml" /><Relationship Id="rId403" Type="http://schemas.openxmlformats.org/officeDocument/2006/relationships/footer" Target="footer57.xml" /><Relationship Id="rId404" Type="http://schemas.openxmlformats.org/officeDocument/2006/relationships/hyperlink" Target="https://advance.lexis.com/api/document?collection=cases-ca&amp;id=urn:contentItem:5F7T-S7M1-JPP5-22SB-00000-00&amp;context=" TargetMode="External" /><Relationship Id="rId405" Type="http://schemas.openxmlformats.org/officeDocument/2006/relationships/hyperlink" Target="https://advance.lexis.com/api/document?collection=cases-ca&amp;id=urn:contentItem:5F7T-S741-F57G-S1SV-00000-00&amp;context=" TargetMode="External" /><Relationship Id="rId406" Type="http://schemas.openxmlformats.org/officeDocument/2006/relationships/hyperlink" Target="https://advance.lexis.com/api/document?collection=cases-ca&amp;id=urn:contentItem:5F7T-S7G1-JWR6-S21H-00000-00&amp;context=" TargetMode="External" /><Relationship Id="rId407" Type="http://schemas.openxmlformats.org/officeDocument/2006/relationships/header" Target="header58.xml" /><Relationship Id="rId408" Type="http://schemas.openxmlformats.org/officeDocument/2006/relationships/header" Target="header59.xml" /><Relationship Id="rId409" Type="http://schemas.openxmlformats.org/officeDocument/2006/relationships/footer" Target="footer58.xml" /><Relationship Id="rId41" Type="http://schemas.openxmlformats.org/officeDocument/2006/relationships/hyperlink" Target="https://advance.lexis.com/api/document?collection=cases-ca&amp;id=urn:contentItem:5F8T-N3V1-FH4C-X1Y3-00000-00&amp;context=" TargetMode="External" /><Relationship Id="rId410" Type="http://schemas.openxmlformats.org/officeDocument/2006/relationships/footer" Target="footer59.xml" /><Relationship Id="rId411" Type="http://schemas.openxmlformats.org/officeDocument/2006/relationships/header" Target="header60.xml" /><Relationship Id="rId412" Type="http://schemas.openxmlformats.org/officeDocument/2006/relationships/footer" Target="footer60.xml" /><Relationship Id="rId413" Type="http://schemas.openxmlformats.org/officeDocument/2006/relationships/hyperlink" Target="https://advance.lexis.com/api/document?collection=cases-ca&amp;id=urn:contentItem:5F7T-S7P1-JCRC-B20Y-00000-00&amp;context=" TargetMode="External" /><Relationship Id="rId414" Type="http://schemas.openxmlformats.org/officeDocument/2006/relationships/hyperlink" Target="https://advance.lexis.com/api/document?collection=cases-ca&amp;id=urn:contentItem:5K6Y-81N1-JFDC-X1DC-00000-00&amp;context=" TargetMode="External" /><Relationship Id="rId415" Type="http://schemas.openxmlformats.org/officeDocument/2006/relationships/hyperlink" Target="https://advance.lexis.com/api/document?collection=cases-ca&amp;id=urn:contentItem:5F7T-S721-JSC5-M3NC-00000-00&amp;context=" TargetMode="External" /><Relationship Id="rId416" Type="http://schemas.openxmlformats.org/officeDocument/2006/relationships/hyperlink" Target="https://advance.lexis.com/api/document?collection=cases-ca&amp;id=urn:contentItem:5F7T-S6V1-JFKM-6144-00000-00&amp;context=" TargetMode="External" /><Relationship Id="rId417" Type="http://schemas.openxmlformats.org/officeDocument/2006/relationships/hyperlink" Target="https://advance.lexis.com/api/document?collection=cases-ca&amp;id=urn:contentItem:5F7T-S701-JJYN-B2C1-00000-00&amp;context=" TargetMode="External" /><Relationship Id="rId418" Type="http://schemas.openxmlformats.org/officeDocument/2006/relationships/hyperlink" Target="https://advance.lexis.com/api/document?collection=cases-ca&amp;id=urn:contentItem:5F7T-S7K1-F1H1-22CX-00000-00&amp;context=" TargetMode="External" /><Relationship Id="rId419" Type="http://schemas.openxmlformats.org/officeDocument/2006/relationships/hyperlink" Target="https://advance.lexis.com/api/document?collection=cases-ca&amp;id=urn:contentItem:5F7T-S711-F27X-60M7-00000-00&amp;context=" TargetMode="External" /><Relationship Id="rId42" Type="http://schemas.openxmlformats.org/officeDocument/2006/relationships/hyperlink" Target="https://advance.lexis.com/api/document?collection=cases-ca&amp;id=urn:contentItem:5F7T-S761-FFMK-M15W-00000-00&amp;context=" TargetMode="External" /><Relationship Id="rId420" Type="http://schemas.openxmlformats.org/officeDocument/2006/relationships/header" Target="header61.xml" /><Relationship Id="rId421" Type="http://schemas.openxmlformats.org/officeDocument/2006/relationships/header" Target="header62.xml" /><Relationship Id="rId422" Type="http://schemas.openxmlformats.org/officeDocument/2006/relationships/footer" Target="footer61.xml" /><Relationship Id="rId423" Type="http://schemas.openxmlformats.org/officeDocument/2006/relationships/footer" Target="footer62.xml" /><Relationship Id="rId424" Type="http://schemas.openxmlformats.org/officeDocument/2006/relationships/header" Target="header63.xml" /><Relationship Id="rId425" Type="http://schemas.openxmlformats.org/officeDocument/2006/relationships/footer" Target="footer63.xml" /><Relationship Id="rId426" Type="http://schemas.openxmlformats.org/officeDocument/2006/relationships/hyperlink" Target="https://advance.lexis.com/api/document?collection=cases-ca&amp;id=urn:contentItem:5F7T-S7M1-JFSV-G3T5-00000-00&amp;context=" TargetMode="External" /><Relationship Id="rId427" Type="http://schemas.openxmlformats.org/officeDocument/2006/relationships/hyperlink" Target="https://advance.lexis.com/api/document?collection=legislation-ca&amp;id=urn:contentItem:5F41-1FH1-F361-M0F1-00000-00&amp;context=" TargetMode="External" /><Relationship Id="rId428" Type="http://schemas.openxmlformats.org/officeDocument/2006/relationships/hyperlink" Target="https://advance.lexis.com/api/document?collection=legislation-ca&amp;id=urn:contentItem:5F41-1FH1-F361-M0F4-00000-00&amp;context=" TargetMode="External" /><Relationship Id="rId429" Type="http://schemas.openxmlformats.org/officeDocument/2006/relationships/hyperlink" Target="https://advance.lexis.com/api/document?collection=cases-ca&amp;id=urn:contentItem:5F7T-S7J1-JYYX-624K-00000-00&amp;context=" TargetMode="External" /><Relationship Id="rId43" Type="http://schemas.openxmlformats.org/officeDocument/2006/relationships/hyperlink" Target="https://advance.lexis.com/api/document?collection=cases-ca&amp;id=urn:contentItem:5F7T-S7G1-JBT7-X40C-00000-00&amp;context=" TargetMode="External" /><Relationship Id="rId430" Type="http://schemas.openxmlformats.org/officeDocument/2006/relationships/hyperlink" Target="https://advance.lexis.com/api/document?collection=cases-ca&amp;id=urn:contentItem:5F7T-S701-JF75-M47G-00000-00&amp;context=" TargetMode="External" /><Relationship Id="rId431" Type="http://schemas.openxmlformats.org/officeDocument/2006/relationships/hyperlink" Target="https://advance.lexis.com/api/document?collection=cases-ca&amp;id=urn:contentItem:5F7T-S7D1-FC6N-X0DR-00000-00&amp;context=" TargetMode="External" /><Relationship Id="rId432" Type="http://schemas.openxmlformats.org/officeDocument/2006/relationships/hyperlink" Target="https://advance.lexis.com/api/document?collection=cases-ca&amp;id=urn:contentItem:5F7T-S7H1-JCRC-B0WC-00000-00&amp;context=" TargetMode="External" /><Relationship Id="rId433" Type="http://schemas.openxmlformats.org/officeDocument/2006/relationships/header" Target="header64.xml" /><Relationship Id="rId434" Type="http://schemas.openxmlformats.org/officeDocument/2006/relationships/header" Target="header65.xml" /><Relationship Id="rId435" Type="http://schemas.openxmlformats.org/officeDocument/2006/relationships/footer" Target="footer64.xml" /><Relationship Id="rId436" Type="http://schemas.openxmlformats.org/officeDocument/2006/relationships/footer" Target="footer65.xml" /><Relationship Id="rId437" Type="http://schemas.openxmlformats.org/officeDocument/2006/relationships/header" Target="header66.xml" /><Relationship Id="rId438" Type="http://schemas.openxmlformats.org/officeDocument/2006/relationships/footer" Target="footer66.xml" /><Relationship Id="rId439" Type="http://schemas.openxmlformats.org/officeDocument/2006/relationships/hyperlink" Target="https://advance.lexis.com/api/document?collection=cases-ca&amp;id=urn:contentItem:5F7T-S751-FJDY-X3RJ-00000-00&amp;context=" TargetMode="External" /><Relationship Id="rId44" Type="http://schemas.openxmlformats.org/officeDocument/2006/relationships/hyperlink" Target="https://advance.lexis.com/api/document?collection=cases-ca&amp;id=urn:contentItem:5F7T-S7K1-JX3N-B2V4-00000-00&amp;context=" TargetMode="External" /><Relationship Id="rId440" Type="http://schemas.openxmlformats.org/officeDocument/2006/relationships/hyperlink" Target="https://advance.lexis.com/api/document?collection=cases-ca&amp;id=urn:contentItem:5F7T-S771-JN14-G2DF-00000-00&amp;context=" TargetMode="External" /><Relationship Id="rId441" Type="http://schemas.openxmlformats.org/officeDocument/2006/relationships/hyperlink" Target="https://advance.lexis.com/api/document?collection=cases-ca&amp;id=urn:contentItem:5F7T-S741-F528-G21K-00000-00&amp;context=" TargetMode="External" /><Relationship Id="rId442" Type="http://schemas.openxmlformats.org/officeDocument/2006/relationships/hyperlink" Target="https://advance.lexis.com/api/document?collection=cases-ca&amp;id=urn:contentItem:5F7T-S741-F7VM-S324-00000-00&amp;context=" TargetMode="External" /><Relationship Id="rId443" Type="http://schemas.openxmlformats.org/officeDocument/2006/relationships/hyperlink" Target="https://advance.lexis.com/api/document?collection=cases-ca&amp;id=urn:contentItem:5F7T-S721-JSC5-M3N7-00000-00&amp;context=" TargetMode="External" /><Relationship Id="rId444" Type="http://schemas.openxmlformats.org/officeDocument/2006/relationships/header" Target="header67.xml" /><Relationship Id="rId445" Type="http://schemas.openxmlformats.org/officeDocument/2006/relationships/header" Target="header68.xml" /><Relationship Id="rId446" Type="http://schemas.openxmlformats.org/officeDocument/2006/relationships/footer" Target="footer67.xml" /><Relationship Id="rId447" Type="http://schemas.openxmlformats.org/officeDocument/2006/relationships/footer" Target="footer68.xml" /><Relationship Id="rId448" Type="http://schemas.openxmlformats.org/officeDocument/2006/relationships/header" Target="header69.xml" /><Relationship Id="rId449" Type="http://schemas.openxmlformats.org/officeDocument/2006/relationships/footer" Target="footer69.xml" /><Relationship Id="rId45" Type="http://schemas.openxmlformats.org/officeDocument/2006/relationships/hyperlink" Target="https://advance.lexis.com/api/document?collection=cases-ca&amp;id=urn:contentItem:5F7T-S7N1-F06F-24KX-00000-00&amp;context=" TargetMode="External" /><Relationship Id="rId450" Type="http://schemas.openxmlformats.org/officeDocument/2006/relationships/hyperlink" Target="https://advance.lexis.com/api/document?collection=cases-ca&amp;id=urn:contentItem:5F7T-S7F1-F7VM-S453-00000-00&amp;context=" TargetMode="External" /><Relationship Id="rId451" Type="http://schemas.openxmlformats.org/officeDocument/2006/relationships/hyperlink" Target="https://advance.lexis.com/api/document?collection=cases-ca&amp;id=urn:contentItem:5F8T-N3V1-JF75-M3D0-00000-00&amp;context=" TargetMode="External" /><Relationship Id="rId452" Type="http://schemas.openxmlformats.org/officeDocument/2006/relationships/hyperlink" Target="https://advance.lexis.com/api/document?collection=cases-ca&amp;id=urn:contentItem:5F7T-S761-JS5Y-B1F1-00000-00&amp;context=" TargetMode="External" /><Relationship Id="rId453" Type="http://schemas.openxmlformats.org/officeDocument/2006/relationships/hyperlink" Target="https://advance.lexis.com/api/document?collection=cases-ca&amp;id=urn:contentItem:5F7T-S711-F5KY-B14K-00000-00&amp;context=" TargetMode="External" /><Relationship Id="rId454" Type="http://schemas.openxmlformats.org/officeDocument/2006/relationships/hyperlink" Target="https://advance.lexis.com/api/document?collection=cases-ca&amp;id=urn:contentItem:5F7T-S7F1-FJTD-G38M-00000-00&amp;context=" TargetMode="External" /><Relationship Id="rId455" Type="http://schemas.openxmlformats.org/officeDocument/2006/relationships/hyperlink" Target="https://advance.lexis.com/api/document?collection=cases-ca&amp;id=urn:contentItem:5F8T-N3V1-FC1F-M3WV-00000-00&amp;context=" TargetMode="External" /><Relationship Id="rId456" Type="http://schemas.openxmlformats.org/officeDocument/2006/relationships/hyperlink" Target="https://advance.lexis.com/api/document?collection=cases-ca&amp;id=urn:contentItem:5F7T-S7C1-F4NT-X42R-00000-00&amp;context=" TargetMode="External" /><Relationship Id="rId457" Type="http://schemas.openxmlformats.org/officeDocument/2006/relationships/hyperlink" Target="https://advance.lexis.com/api/document?collection=cases-ca&amp;id=urn:contentItem:5F8T-N3V1-FC1F-M4C7-00000-00&amp;context=" TargetMode="External" /><Relationship Id="rId458" Type="http://schemas.openxmlformats.org/officeDocument/2006/relationships/hyperlink" Target="https://advance.lexis.com/api/document?collection=cases-ca&amp;id=urn:contentItem:5F8N-K731-JS0R-24FG-00000-00&amp;context=" TargetMode="External" /><Relationship Id="rId459" Type="http://schemas.openxmlformats.org/officeDocument/2006/relationships/hyperlink" Target="https://advance.lexis.com/api/document?collection=cases-ca&amp;id=urn:contentItem:5F7T-S731-F60C-X178-00000-00&amp;context=" TargetMode="External" /><Relationship Id="rId46" Type="http://schemas.openxmlformats.org/officeDocument/2006/relationships/hyperlink" Target="https://advance.lexis.com/api/document?collection=cases-ca&amp;id=urn:contentItem:5F82-1SJ1-FGY5-M50Y-00000-00&amp;context=" TargetMode="External" /><Relationship Id="rId460" Type="http://schemas.openxmlformats.org/officeDocument/2006/relationships/hyperlink" Target="https://advance.lexis.com/api/document?collection=cases-ca&amp;id=urn:contentItem:5F7T-S741-FJM6-61PW-00000-00&amp;context=" TargetMode="External" /><Relationship Id="rId461" Type="http://schemas.openxmlformats.org/officeDocument/2006/relationships/hyperlink" Target="https://advance.lexis.com/api/document?collection=cases-ca&amp;id=urn:contentItem:5F7T-S7D1-FFFC-B1B0-00000-00&amp;context=" TargetMode="External" /><Relationship Id="rId462" Type="http://schemas.openxmlformats.org/officeDocument/2006/relationships/hyperlink" Target="https://advance.lexis.com/api/document?collection=cases-ca&amp;id=urn:contentItem:5F7T-S721-FG12-622N-00000-00&amp;context=" TargetMode="External" /><Relationship Id="rId463" Type="http://schemas.openxmlformats.org/officeDocument/2006/relationships/hyperlink" Target="https://advance.lexis.com/api/document?collection=cases-ca&amp;id=urn:contentItem:5F7T-S741-DXPM-S10D-00000-00&amp;context=" TargetMode="External" /><Relationship Id="rId464" Type="http://schemas.openxmlformats.org/officeDocument/2006/relationships/hyperlink" Target="https://advance.lexis.com/api/document?collection=cases-ca&amp;id=urn:contentItem:5F7T-S781-F06F-240H-00000-00&amp;context=" TargetMode="External" /><Relationship Id="rId465" Type="http://schemas.openxmlformats.org/officeDocument/2006/relationships/hyperlink" Target="https://advance.lexis.com/api/document?collection=cases-ca&amp;id=urn:contentItem:5F7T-S7C1-F7VM-S3P7-00000-00&amp;context=" TargetMode="External" /><Relationship Id="rId466" Type="http://schemas.openxmlformats.org/officeDocument/2006/relationships/hyperlink" Target="https://advance.lexis.com/api/document?collection=cases-ca&amp;id=urn:contentItem:5F7T-S6W1-F4GK-M1GM-00000-00&amp;context=" TargetMode="External" /><Relationship Id="rId467" Type="http://schemas.openxmlformats.org/officeDocument/2006/relationships/hyperlink" Target="https://advance.lexis.com/api/document?collection=cases-ca&amp;id=urn:contentItem:5F7T-S701-JJ6S-61DM-00000-00&amp;context=" TargetMode="External" /><Relationship Id="rId468" Type="http://schemas.openxmlformats.org/officeDocument/2006/relationships/hyperlink" Target="https://advance.lexis.com/api/document?collection=cases-ca&amp;id=urn:contentItem:5F7T-S7C1-F4NT-X38V-00000-00&amp;context=" TargetMode="External" /><Relationship Id="rId469" Type="http://schemas.openxmlformats.org/officeDocument/2006/relationships/hyperlink" Target="https://advance.lexis.com/api/document?collection=cases-ca&amp;id=urn:contentItem:5F7T-S711-JB2B-S13B-00000-00&amp;context=" TargetMode="External" /><Relationship Id="rId47" Type="http://schemas.openxmlformats.org/officeDocument/2006/relationships/hyperlink" Target="https://advance.lexis.com/api/document?collection=cases-ca&amp;id=urn:contentItem:5F7T-S7D1-FCSB-S2T6-00000-00&amp;context=" TargetMode="External" /><Relationship Id="rId470" Type="http://schemas.openxmlformats.org/officeDocument/2006/relationships/hyperlink" Target="https://advance.lexis.com/api/document?collection=cases-ca&amp;id=urn:contentItem:5F7T-S6Y1-JPP5-21M3-00000-00&amp;context=" TargetMode="External" /><Relationship Id="rId471" Type="http://schemas.openxmlformats.org/officeDocument/2006/relationships/header" Target="header70.xml" /><Relationship Id="rId472" Type="http://schemas.openxmlformats.org/officeDocument/2006/relationships/header" Target="header71.xml" /><Relationship Id="rId473" Type="http://schemas.openxmlformats.org/officeDocument/2006/relationships/footer" Target="footer70.xml" /><Relationship Id="rId474" Type="http://schemas.openxmlformats.org/officeDocument/2006/relationships/footer" Target="footer71.xml" /><Relationship Id="rId475" Type="http://schemas.openxmlformats.org/officeDocument/2006/relationships/header" Target="header72.xml" /><Relationship Id="rId476" Type="http://schemas.openxmlformats.org/officeDocument/2006/relationships/footer" Target="footer72.xml" /><Relationship Id="rId477" Type="http://schemas.openxmlformats.org/officeDocument/2006/relationships/hyperlink" Target="https://advance.lexis.com/api/document?collection=cases-ca&amp;id=urn:contentItem:5F7T-S7K1-JSJC-X11G-00000-00&amp;context=" TargetMode="External" /><Relationship Id="rId478" Type="http://schemas.openxmlformats.org/officeDocument/2006/relationships/hyperlink" Target="https://advance.lexis.com/api/document?collection=cases-ca&amp;id=urn:contentItem:5F7T-S7D1-JXG3-X143-00000-00&amp;context=" TargetMode="External" /><Relationship Id="rId479" Type="http://schemas.openxmlformats.org/officeDocument/2006/relationships/hyperlink" Target="https://advance.lexis.com/api/document?collection=cases-ca&amp;id=urn:contentItem:5F16-93D1-F81W-219M-00000-00&amp;context=" TargetMode="External" /><Relationship Id="rId48" Type="http://schemas.openxmlformats.org/officeDocument/2006/relationships/hyperlink" Target="https://advance.lexis.com/api/document?collection=cases-ca&amp;id=urn:contentItem:5F8T-N3V1-JFKM-607N-00000-00&amp;context=" TargetMode="External" /><Relationship Id="rId480" Type="http://schemas.openxmlformats.org/officeDocument/2006/relationships/hyperlink" Target="https://advance.lexis.com/api/document?collection=cases-ca&amp;id=urn:contentItem:5F16-93B1-F4GK-M40N-00000-00&amp;context=" TargetMode="External" /><Relationship Id="rId481" Type="http://schemas.openxmlformats.org/officeDocument/2006/relationships/hyperlink" Target="https://advance.lexis.com/api/document?collection=cases-ca&amp;id=urn:contentItem:5F8T-N3R1-JJSF-22MN-00000-00&amp;context=" TargetMode="External" /><Relationship Id="rId482" Type="http://schemas.openxmlformats.org/officeDocument/2006/relationships/hyperlink" Target="https://advance.lexis.com/api/document?collection=cases-ca&amp;id=urn:contentItem:5F7T-S6X1-FJDY-X1J8-00000-00&amp;context=" TargetMode="External" /><Relationship Id="rId483" Type="http://schemas.openxmlformats.org/officeDocument/2006/relationships/hyperlink" Target="https://advance.lexis.com/api/document?collection=cases-ca&amp;id=urn:contentItem:5F7T-S771-JN14-G2SW-00000-00&amp;context=" TargetMode="External" /><Relationship Id="rId484" Type="http://schemas.openxmlformats.org/officeDocument/2006/relationships/hyperlink" Target="https://advance.lexis.com/api/document?collection=cases-ca&amp;id=urn:contentItem:5F81-VJV1-JK4W-M4N7-00000-00&amp;context=" TargetMode="External" /><Relationship Id="rId485" Type="http://schemas.openxmlformats.org/officeDocument/2006/relationships/hyperlink" Target="https://advance.lexis.com/api/document?collection=cases-ca&amp;id=urn:contentItem:5F7T-S791-JCJ5-24TV-00000-00&amp;context=" TargetMode="External" /><Relationship Id="rId486" Type="http://schemas.openxmlformats.org/officeDocument/2006/relationships/header" Target="header73.xml" /><Relationship Id="rId487" Type="http://schemas.openxmlformats.org/officeDocument/2006/relationships/header" Target="header74.xml" /><Relationship Id="rId488" Type="http://schemas.openxmlformats.org/officeDocument/2006/relationships/footer" Target="footer73.xml" /><Relationship Id="rId489" Type="http://schemas.openxmlformats.org/officeDocument/2006/relationships/footer" Target="footer74.xml" /><Relationship Id="rId49" Type="http://schemas.openxmlformats.org/officeDocument/2006/relationships/hyperlink" Target="https://advance.lexis.com/api/document?collection=cases-ca&amp;id=urn:contentItem:5F7T-S7F1-JFKM-61KM-00000-00&amp;context=" TargetMode="External" /><Relationship Id="rId490" Type="http://schemas.openxmlformats.org/officeDocument/2006/relationships/header" Target="header75.xml" /><Relationship Id="rId491" Type="http://schemas.openxmlformats.org/officeDocument/2006/relationships/footer" Target="footer75.xml" /><Relationship Id="rId492" Type="http://schemas.openxmlformats.org/officeDocument/2006/relationships/hyperlink" Target="https://advance.lexis.com/api/document?collection=cases-ca&amp;id=urn:contentItem:5F7T-S7D1-FFFC-B193-00000-00&amp;context=" TargetMode="External" /><Relationship Id="rId493" Type="http://schemas.openxmlformats.org/officeDocument/2006/relationships/hyperlink" Target="https://advance.lexis.com/api/document?collection=cases-ca&amp;id=urn:contentItem:5F7T-S7D1-JG02-S2PN-00000-00&amp;context=" TargetMode="External" /><Relationship Id="rId494" Type="http://schemas.openxmlformats.org/officeDocument/2006/relationships/hyperlink" Target="https://advance.lexis.com/api/document?collection=cases-ca&amp;id=urn:contentItem:5F7T-S7D1-JG02-S33R-00000-00&amp;context=" TargetMode="External" /><Relationship Id="rId495" Type="http://schemas.openxmlformats.org/officeDocument/2006/relationships/hyperlink" Target="https://advance.lexis.com/api/document?collection=cases-ca&amp;id=urn:contentItem:5F81-VJX1-F5T5-M4HH-00000-00&amp;context=" TargetMode="External" /><Relationship Id="rId496" Type="http://schemas.openxmlformats.org/officeDocument/2006/relationships/hyperlink" Target="https://advance.lexis.com/api/document?collection=cases-ca&amp;id=urn:contentItem:5F8T-N3V1-JF75-M3FN-00000-00&amp;context=" TargetMode="External" /><Relationship Id="rId497" Type="http://schemas.openxmlformats.org/officeDocument/2006/relationships/hyperlink" Target="https://advance.lexis.com/api/document?collection=cases-ca&amp;id=urn:contentItem:5F81-VJX1-FGY5-M3MR-00000-00&amp;context=" TargetMode="External" /><Relationship Id="rId498" Type="http://schemas.openxmlformats.org/officeDocument/2006/relationships/hyperlink" Target="https://advance.lexis.com/api/document?collection=cases-ca&amp;id=urn:contentItem:5F8T-N3T1-JJSF-23F8-00000-00&amp;context=" TargetMode="External" /><Relationship Id="rId499" Type="http://schemas.openxmlformats.org/officeDocument/2006/relationships/hyperlink" Target="https://advance.lexis.com/api/document?collection=cases-ca&amp;id=urn:contentItem:5F16-9361-F27X-613B-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H1-JCRC-B0YY-00000-00&amp;context=" TargetMode="External" /><Relationship Id="rId500" Type="http://schemas.openxmlformats.org/officeDocument/2006/relationships/hyperlink" Target="https://advance.lexis.com/api/document?collection=cases-ca&amp;id=urn:contentItem:5F16-9361-FFMK-M070-00000-00&amp;context=" TargetMode="External" /><Relationship Id="rId501" Type="http://schemas.openxmlformats.org/officeDocument/2006/relationships/hyperlink" Target="https://advance.lexis.com/api/document?collection=cases-ca&amp;id=urn:contentItem:5F7T-S701-JJ6S-61J5-00000-00&amp;context=" TargetMode="External" /><Relationship Id="rId502" Type="http://schemas.openxmlformats.org/officeDocument/2006/relationships/hyperlink" Target="https://advance.lexis.com/api/document?collection=cases-ca&amp;id=urn:contentItem:5F7T-S6T1-FJTD-G17T-00000-00&amp;context=" TargetMode="External" /><Relationship Id="rId503" Type="http://schemas.openxmlformats.org/officeDocument/2006/relationships/hyperlink" Target="https://advance.lexis.com/api/document?collection=cases-ca&amp;id=urn:contentItem:5F8T-N3V1-JFKM-608J-00000-00&amp;context=" TargetMode="External" /><Relationship Id="rId504" Type="http://schemas.openxmlformats.org/officeDocument/2006/relationships/hyperlink" Target="https://advance.lexis.com/api/document?collection=cases-ca&amp;id=urn:contentItem:5F8T-N3V1-FC1F-M428-00000-00&amp;context=" TargetMode="External" /><Relationship Id="rId505" Type="http://schemas.openxmlformats.org/officeDocument/2006/relationships/hyperlink" Target="https://advance.lexis.com/api/document?collection=cases-ca&amp;id=urn:contentItem:5F7T-S731-JNJT-B20C-00000-00&amp;context=" TargetMode="External" /><Relationship Id="rId506" Type="http://schemas.openxmlformats.org/officeDocument/2006/relationships/hyperlink" Target="https://advance.lexis.com/api/document?collection=cases-ca&amp;id=urn:contentItem:5F7T-S711-F5KY-B10P-00000-00&amp;context=" TargetMode="External" /><Relationship Id="rId507" Type="http://schemas.openxmlformats.org/officeDocument/2006/relationships/hyperlink" Target="https://advance.lexis.com/api/document?collection=cases-ca&amp;id=urn:contentItem:5F7T-S7D1-JN6B-S0XF-00000-00&amp;context=" TargetMode="External" /><Relationship Id="rId508" Type="http://schemas.openxmlformats.org/officeDocument/2006/relationships/hyperlink" Target="https://advance.lexis.com/api/document?collection=cases-ca&amp;id=urn:contentItem:5F8T-N3V1-JF75-M3K1-00000-00&amp;context=" TargetMode="External" /><Relationship Id="rId509" Type="http://schemas.openxmlformats.org/officeDocument/2006/relationships/hyperlink" Target="https://advance.lexis.com/api/document?collection=cases-ca&amp;id=urn:contentItem:5F2P-NNM1-JCRC-B52T-00000-00&amp;context=" TargetMode="External" /><Relationship Id="rId51" Type="http://schemas.openxmlformats.org/officeDocument/2006/relationships/hyperlink" Target="https://advance.lexis.com/api/document?collection=cases-ca&amp;id=urn:contentItem:5F8T-N3V1-JTGH-B1HX-00000-00&amp;context=" TargetMode="External" /><Relationship Id="rId510" Type="http://schemas.openxmlformats.org/officeDocument/2006/relationships/hyperlink" Target="https://advance.lexis.com/api/document?collection=cases-ca&amp;id=urn:contentItem:5F8P-SCJ1-JNJT-B3F6-00000-00&amp;context=" TargetMode="External" /><Relationship Id="rId511" Type="http://schemas.openxmlformats.org/officeDocument/2006/relationships/hyperlink" Target="https://advance.lexis.com/api/document?collection=cases-ca&amp;id=urn:contentItem:5F7T-S731-JC0G-63HG-00000-00&amp;context=" TargetMode="External" /><Relationship Id="rId512" Type="http://schemas.openxmlformats.org/officeDocument/2006/relationships/header" Target="header76.xml" /><Relationship Id="rId513" Type="http://schemas.openxmlformats.org/officeDocument/2006/relationships/header" Target="header77.xml" /><Relationship Id="rId514" Type="http://schemas.openxmlformats.org/officeDocument/2006/relationships/footer" Target="footer76.xml" /><Relationship Id="rId515" Type="http://schemas.openxmlformats.org/officeDocument/2006/relationships/footer" Target="footer77.xml" /><Relationship Id="rId516" Type="http://schemas.openxmlformats.org/officeDocument/2006/relationships/header" Target="header78.xml" /><Relationship Id="rId517" Type="http://schemas.openxmlformats.org/officeDocument/2006/relationships/footer" Target="footer78.xml" /><Relationship Id="rId518" Type="http://schemas.openxmlformats.org/officeDocument/2006/relationships/hyperlink" Target="https://advance.lexis.com/api/document?collection=cases-ca&amp;id=urn:contentItem:5S4F-TMK1-JNY7-X0V4-00000-00&amp;context=" TargetMode="External" /><Relationship Id="rId519" Type="http://schemas.openxmlformats.org/officeDocument/2006/relationships/hyperlink" Target="https://advance.lexis.com/api/document?collection=cases-ca&amp;id=urn:contentItem:5F7T-S6X1-FJDY-X10J-00000-00&amp;context=" TargetMode="External" /><Relationship Id="rId52" Type="http://schemas.openxmlformats.org/officeDocument/2006/relationships/hyperlink" Target="https://advance.lexis.com/api/document?collection=cases-ca&amp;id=urn:contentItem:5F7T-S7P1-JG02-S4DC-00000-00&amp;context=" TargetMode="External" /><Relationship Id="rId520" Type="http://schemas.openxmlformats.org/officeDocument/2006/relationships/hyperlink" Target="https://advance.lexis.com/api/document?collection=cases-ca&amp;id=urn:contentItem:5HSD-C7M1-JFSV-G4CS-00000-00&amp;context=" TargetMode="External" /><Relationship Id="rId521" Type="http://schemas.openxmlformats.org/officeDocument/2006/relationships/hyperlink" Target="https://advance.lexis.com/api/document?collection=cases-ca&amp;id=urn:contentItem:5F7T-S701-JF75-M4J3-00000-00&amp;context=" TargetMode="External" /><Relationship Id="rId522" Type="http://schemas.openxmlformats.org/officeDocument/2006/relationships/hyperlink" Target="https://advance.lexis.com/api/document?collection=cases-ca&amp;id=urn:contentItem:5F7T-S7M1-JNCK-22JW-00000-00&amp;context=" TargetMode="External" /><Relationship Id="rId523" Type="http://schemas.openxmlformats.org/officeDocument/2006/relationships/hyperlink" Target="https://advance.lexis.com/api/document?collection=cases-ca&amp;id=urn:contentItem:5F7T-S7H1-JS5Y-B2VJ-00000-00&amp;context=" TargetMode="External" /><Relationship Id="rId524" Type="http://schemas.openxmlformats.org/officeDocument/2006/relationships/hyperlink" Target="https://advance.lexis.com/api/document?collection=cases-ca&amp;id=urn:contentItem:5F7T-S6Y1-F65M-6050-00000-00&amp;context=" TargetMode="External" /><Relationship Id="rId525" Type="http://schemas.openxmlformats.org/officeDocument/2006/relationships/hyperlink" Target="https://advance.lexis.com/api/document?collection=cases-ca&amp;id=urn:contentItem:5F7T-S7M1-JCRC-B1H1-00000-00&amp;context=" TargetMode="External" /><Relationship Id="rId526" Type="http://schemas.openxmlformats.org/officeDocument/2006/relationships/hyperlink" Target="https://advance.lexis.com/api/document?collection=cases-ca&amp;id=urn:contentItem:5F7T-S6Y1-JSC5-M2KH-00000-00&amp;context=" TargetMode="External" /><Relationship Id="rId527" Type="http://schemas.openxmlformats.org/officeDocument/2006/relationships/hyperlink" Target="https://advance.lexis.com/api/document?collection=cases-ca&amp;id=urn:contentItem:5F8T-N3S1-JBDT-B0CM-00000-00&amp;context=" TargetMode="External" /><Relationship Id="rId528" Type="http://schemas.openxmlformats.org/officeDocument/2006/relationships/hyperlink" Target="https://advance.lexis.com/api/document?collection=cases-ca&amp;id=urn:contentItem:5F8T-N3S1-JT99-24RR-00000-00&amp;context=" TargetMode="External" /><Relationship Id="rId529" Type="http://schemas.openxmlformats.org/officeDocument/2006/relationships/hyperlink" Target="https://advance.lexis.com/api/document?collection=cases-ca&amp;id=urn:contentItem:5F7T-S6W1-F4GK-M1J6-00000-00&amp;context=" TargetMode="External" /><Relationship Id="rId53" Type="http://schemas.openxmlformats.org/officeDocument/2006/relationships/hyperlink" Target="https://advance.lexis.com/api/document?collection=cases-ca&amp;id=urn:contentItem:5F8P-SDD1-JK4W-M41M-00000-00&amp;context=" TargetMode="External" /><Relationship Id="rId530" Type="http://schemas.openxmlformats.org/officeDocument/2006/relationships/hyperlink" Target="https://advance.lexis.com/api/document?collection=cases-ca&amp;id=urn:contentItem:5F7T-S711-F4GK-M2N0-00000-00&amp;context=" TargetMode="External" /><Relationship Id="rId531" Type="http://schemas.openxmlformats.org/officeDocument/2006/relationships/hyperlink" Target="https://advance.lexis.com/api/document?collection=cases-ca&amp;id=urn:contentItem:5F7T-S6S1-JTNR-M1RV-00000-00&amp;context=" TargetMode="External" /><Relationship Id="rId532" Type="http://schemas.openxmlformats.org/officeDocument/2006/relationships/header" Target="header79.xml" /><Relationship Id="rId533" Type="http://schemas.openxmlformats.org/officeDocument/2006/relationships/header" Target="header80.xml" /><Relationship Id="rId534" Type="http://schemas.openxmlformats.org/officeDocument/2006/relationships/footer" Target="footer79.xml" /><Relationship Id="rId535" Type="http://schemas.openxmlformats.org/officeDocument/2006/relationships/footer" Target="footer80.xml" /><Relationship Id="rId536" Type="http://schemas.openxmlformats.org/officeDocument/2006/relationships/header" Target="header81.xml" /><Relationship Id="rId537" Type="http://schemas.openxmlformats.org/officeDocument/2006/relationships/footer" Target="footer81.xml" /><Relationship Id="rId538" Type="http://schemas.openxmlformats.org/officeDocument/2006/relationships/hyperlink" Target="https://advance.lexis.com/api/document?collection=cases-ca&amp;id=urn:contentItem:5F7T-S7K1-DY33-B1T1-00000-00&amp;context=" TargetMode="External" /><Relationship Id="rId539" Type="http://schemas.openxmlformats.org/officeDocument/2006/relationships/hyperlink" Target="https://advance.lexis.com/api/document?collection=cases-ca&amp;id=urn:contentItem:5F7T-S7M1-JPP5-22NG-00000-00&amp;context=" TargetMode="External" /><Relationship Id="rId54" Type="http://schemas.openxmlformats.org/officeDocument/2006/relationships/hyperlink" Target="https://advance.lexis.com/api/document?collection=cases-ca&amp;id=urn:contentItem:5F8T-N3V1-JTGH-B1H5-00000-00&amp;context=" TargetMode="External" /><Relationship Id="rId540" Type="http://schemas.openxmlformats.org/officeDocument/2006/relationships/hyperlink" Target="https://advance.lexis.com/api/document?collection=legislation-ca&amp;id=urn:contentItem:5J7V-7TT1-JWJ0-G14C-00000-00&amp;context=" TargetMode="External" /><Relationship Id="rId541" Type="http://schemas.openxmlformats.org/officeDocument/2006/relationships/hyperlink" Target="https://advance.lexis.com/api/document?collection=cases-ca&amp;id=urn:contentItem:5F7T-S7K1-F528-G2YB-00000-00&amp;context=" TargetMode="External" /><Relationship Id="rId542" Type="http://schemas.openxmlformats.org/officeDocument/2006/relationships/hyperlink" Target="https://advance.lexis.com/api/document?collection=cases-ca&amp;id=urn:contentItem:5F8T-N3V1-JFKM-609G-00000-00&amp;context=" TargetMode="External" /><Relationship Id="rId543" Type="http://schemas.openxmlformats.org/officeDocument/2006/relationships/hyperlink" Target="https://advance.lexis.com/api/document?collection=cases-ca&amp;id=urn:contentItem:5F7T-S6T1-JT99-20TD-00000-00&amp;context=" TargetMode="External" /><Relationship Id="rId544" Type="http://schemas.openxmlformats.org/officeDocument/2006/relationships/hyperlink" Target="https://advance.lexis.com/api/document?collection=cases-ca&amp;id=urn:contentItem:5F7T-S7H1-K054-G249-00000-00&amp;context=" TargetMode="External" /><Relationship Id="rId545" Type="http://schemas.openxmlformats.org/officeDocument/2006/relationships/hyperlink" Target="https://advance.lexis.com/api/document?collection=cases-ca&amp;id=urn:contentItem:5F7H-KW71-JFDC-X00J-00000-00&amp;context=" TargetMode="External" /><Relationship Id="rId546" Type="http://schemas.openxmlformats.org/officeDocument/2006/relationships/hyperlink" Target="https://advance.lexis.com/api/document?collection=cases-ca&amp;id=urn:contentItem:5F7T-S7H1-JG02-S3H1-00000-00&amp;context=" TargetMode="External" /><Relationship Id="rId547" Type="http://schemas.openxmlformats.org/officeDocument/2006/relationships/hyperlink" Target="https://advance.lexis.com/api/document?collection=cases-ca&amp;id=urn:contentItem:5F16-93F1-JCJ5-22T3-00000-00&amp;context=" TargetMode="External" /><Relationship Id="rId548" Type="http://schemas.openxmlformats.org/officeDocument/2006/relationships/hyperlink" Target="https://advance.lexis.com/api/document?collection=cases-ca&amp;id=urn:contentItem:5F7T-S771-JSJC-X013-00000-00&amp;context=" TargetMode="External" /><Relationship Id="rId549" Type="http://schemas.openxmlformats.org/officeDocument/2006/relationships/hyperlink" Target="https://advance.lexis.com/api/document?collection=cases-ca&amp;id=urn:contentItem:5F7T-S751-F361-M0TK-00000-00&amp;context=" TargetMode="External" /><Relationship Id="rId55" Type="http://schemas.openxmlformats.org/officeDocument/2006/relationships/hyperlink" Target="https://advance.lexis.com/api/document?collection=cases-ca&amp;id=urn:contentItem:5F16-9371-JGPY-X0FN-00000-00&amp;context=" TargetMode="External" /><Relationship Id="rId550" Type="http://schemas.openxmlformats.org/officeDocument/2006/relationships/hyperlink" Target="https://advance.lexis.com/api/document?collection=cases-ca&amp;id=urn:contentItem:5F7F-5RH1-FJM6-603V-00000-00&amp;context=" TargetMode="External" /><Relationship Id="rId551" Type="http://schemas.openxmlformats.org/officeDocument/2006/relationships/hyperlink" Target="https://advance.lexis.com/api/document?collection=cases-ca&amp;id=urn:contentItem:5F8T-N3R1-JBDT-B566-00000-00&amp;context=" TargetMode="External" /><Relationship Id="rId552" Type="http://schemas.openxmlformats.org/officeDocument/2006/relationships/hyperlink" Target="https://advance.lexis.com/api/document?collection=cases-ca&amp;id=urn:contentItem:5F8T-N3V1-JTGH-B123-00000-00&amp;context=" TargetMode="External" /><Relationship Id="rId553" Type="http://schemas.openxmlformats.org/officeDocument/2006/relationships/hyperlink" Target="https://advance.lexis.com/api/document?collection=cases-ca&amp;id=urn:contentItem:5F8P-T8W1-DYFH-X3CX-00000-00&amp;context=" TargetMode="External" /><Relationship Id="rId554" Type="http://schemas.openxmlformats.org/officeDocument/2006/relationships/hyperlink" Target="https://advance.lexis.com/api/document?collection=cases-ca&amp;id=urn:contentItem:5F7T-S711-F5KY-B14T-00000-00&amp;context=" TargetMode="External" /><Relationship Id="rId555" Type="http://schemas.openxmlformats.org/officeDocument/2006/relationships/header" Target="header82.xml" /><Relationship Id="rId556" Type="http://schemas.openxmlformats.org/officeDocument/2006/relationships/header" Target="header83.xml" /><Relationship Id="rId557" Type="http://schemas.openxmlformats.org/officeDocument/2006/relationships/footer" Target="footer82.xml" /><Relationship Id="rId558" Type="http://schemas.openxmlformats.org/officeDocument/2006/relationships/footer" Target="footer83.xml" /><Relationship Id="rId559" Type="http://schemas.openxmlformats.org/officeDocument/2006/relationships/header" Target="header84.xml" /><Relationship Id="rId56" Type="http://schemas.openxmlformats.org/officeDocument/2006/relationships/hyperlink" Target="https://advance.lexis.com/api/document?collection=cases-ca&amp;id=urn:contentItem:5GS2-38W1-JBDT-B00H-00000-00&amp;context=" TargetMode="External" /><Relationship Id="rId560" Type="http://schemas.openxmlformats.org/officeDocument/2006/relationships/footer" Target="footer84.xml" /><Relationship Id="rId561" Type="http://schemas.openxmlformats.org/officeDocument/2006/relationships/hyperlink" Target="https://advance.lexis.com/api/document?collection=cases-ca&amp;id=urn:contentItem:5F7T-S771-JWBS-61MV-00000-00&amp;context=" TargetMode="External" /><Relationship Id="rId562" Type="http://schemas.openxmlformats.org/officeDocument/2006/relationships/hyperlink" Target="https://advance.lexis.com/api/document?collection=cases-ca&amp;id=urn:contentItem:5F7T-S771-JTGH-B1D8-00000-00&amp;context=" TargetMode="External" /><Relationship Id="rId563" Type="http://schemas.openxmlformats.org/officeDocument/2006/relationships/hyperlink" Target="https://advance.lexis.com/api/document?collection=cases-ca&amp;id=urn:contentItem:5F16-9301-JC5P-G1FS-00000-00&amp;context=" TargetMode="External" /><Relationship Id="rId564" Type="http://schemas.openxmlformats.org/officeDocument/2006/relationships/hyperlink" Target="https://advance.lexis.com/api/document?collection=cases-ca&amp;id=urn:contentItem:5F7H-KW51-JGBH-B0GT-00000-00&amp;context=" TargetMode="External" /><Relationship Id="rId565" Type="http://schemas.openxmlformats.org/officeDocument/2006/relationships/hyperlink" Target="https://advance.lexis.com/api/document?collection=cases-ca&amp;id=urn:contentItem:5F8P-SCS1-F8SS-6201-00000-00&amp;context=" TargetMode="External" /><Relationship Id="rId566" Type="http://schemas.openxmlformats.org/officeDocument/2006/relationships/hyperlink" Target="https://advance.lexis.com/api/document?collection=cases-ca&amp;id=urn:contentItem:5F8T-N3V1-JFKM-609F-00000-00&amp;context=" TargetMode="External" /><Relationship Id="rId567" Type="http://schemas.openxmlformats.org/officeDocument/2006/relationships/hyperlink" Target="https://advance.lexis.com/api/document?collection=cases-ca&amp;id=urn:contentItem:5F8T-N3T1-JJSF-23BN-00000-00&amp;context=" TargetMode="External" /><Relationship Id="rId568" Type="http://schemas.openxmlformats.org/officeDocument/2006/relationships/hyperlink" Target="https://advance.lexis.com/api/document?collection=cases-ca&amp;id=urn:contentItem:5F8T-N3V1-JFKM-6045-00000-00&amp;context=" TargetMode="External" /><Relationship Id="rId569" Type="http://schemas.openxmlformats.org/officeDocument/2006/relationships/header" Target="header85.xml" /><Relationship Id="rId57" Type="http://schemas.openxmlformats.org/officeDocument/2006/relationships/hyperlink" Target="https://advance.lexis.com/api/document?collection=cases-ca&amp;id=urn:contentItem:5F7T-S761-F7ND-G4CT-00000-00&amp;context=" TargetMode="External" /><Relationship Id="rId570" Type="http://schemas.openxmlformats.org/officeDocument/2006/relationships/header" Target="header86.xml" /><Relationship Id="rId571" Type="http://schemas.openxmlformats.org/officeDocument/2006/relationships/footer" Target="footer85.xml" /><Relationship Id="rId572" Type="http://schemas.openxmlformats.org/officeDocument/2006/relationships/footer" Target="footer86.xml" /><Relationship Id="rId573" Type="http://schemas.openxmlformats.org/officeDocument/2006/relationships/header" Target="header87.xml" /><Relationship Id="rId574" Type="http://schemas.openxmlformats.org/officeDocument/2006/relationships/footer" Target="footer87.xml" /><Relationship Id="rId575" Type="http://schemas.openxmlformats.org/officeDocument/2006/relationships/hyperlink" Target="https://advance.lexis.com/api/document?collection=cases-ca&amp;id=urn:contentItem:5F7T-S7C1-FGRY-B0G8-00000-00&amp;context=" TargetMode="External" /><Relationship Id="rId576" Type="http://schemas.openxmlformats.org/officeDocument/2006/relationships/hyperlink" Target="https://advance.lexis.com/api/document?collection=cases-ca&amp;id=urn:contentItem:5K6Y-81M1-JN6B-S1FY-00000-00&amp;context=" TargetMode="External" /><Relationship Id="rId577" Type="http://schemas.openxmlformats.org/officeDocument/2006/relationships/hyperlink" Target="https://advance.lexis.com/api/document?collection=legislation-ca&amp;id=urn:contentItem:5F41-1FK1-DY33-B0JT-00000-00&amp;context=" TargetMode="External" /><Relationship Id="rId578" Type="http://schemas.openxmlformats.org/officeDocument/2006/relationships/hyperlink" Target="https://advance.lexis.com/api/document?collection=cases-ca&amp;id=urn:contentItem:5F7T-S791-FJTD-G2KF-00000-00&amp;context=" TargetMode="External" /><Relationship Id="rId579" Type="http://schemas.openxmlformats.org/officeDocument/2006/relationships/hyperlink" Target="https://advance.lexis.com/api/document?collection=cases-ca&amp;id=urn:contentItem:5F7T-S7B1-JCJ5-2044-00000-00&amp;context=" TargetMode="External" /><Relationship Id="rId58" Type="http://schemas.openxmlformats.org/officeDocument/2006/relationships/hyperlink" Target="https://advance.lexis.com/api/document?collection=cases-ca&amp;id=urn:contentItem:5G77-HXG1-FCK4-G3WT-00000-00&amp;context=" TargetMode="External" /><Relationship Id="rId580" Type="http://schemas.openxmlformats.org/officeDocument/2006/relationships/hyperlink" Target="https://advance.lexis.com/api/document?collection=cases-ca&amp;id=urn:contentItem:5F7T-S7C1-FCSB-S29G-00000-00&amp;context=" TargetMode="External" /><Relationship Id="rId581" Type="http://schemas.openxmlformats.org/officeDocument/2006/relationships/hyperlink" Target="https://advance.lexis.com/api/document?collection=cases-ca&amp;id=urn:contentItem:5F7T-S761-F81W-224Y-00000-00&amp;context=" TargetMode="External" /><Relationship Id="rId582" Type="http://schemas.openxmlformats.org/officeDocument/2006/relationships/hyperlink" Target="https://advance.lexis.com/api/document?collection=cases-ca&amp;id=urn:contentItem:5F7T-S741-DY89-M39J-00000-00&amp;context=" TargetMode="External" /><Relationship Id="rId583" Type="http://schemas.openxmlformats.org/officeDocument/2006/relationships/header" Target="header88.xml" /><Relationship Id="rId584" Type="http://schemas.openxmlformats.org/officeDocument/2006/relationships/header" Target="header89.xml" /><Relationship Id="rId585" Type="http://schemas.openxmlformats.org/officeDocument/2006/relationships/footer" Target="footer88.xml" /><Relationship Id="rId586" Type="http://schemas.openxmlformats.org/officeDocument/2006/relationships/footer" Target="footer89.xml" /><Relationship Id="rId587" Type="http://schemas.openxmlformats.org/officeDocument/2006/relationships/header" Target="header90.xml" /><Relationship Id="rId588" Type="http://schemas.openxmlformats.org/officeDocument/2006/relationships/footer" Target="footer90.xml" /><Relationship Id="rId589" Type="http://schemas.openxmlformats.org/officeDocument/2006/relationships/hyperlink" Target="https://advance.lexis.com/api/document?collection=cases-ca&amp;id=urn:contentItem:5KP4-X8R1-JW09-M420-00000-00&amp;context=" TargetMode="External" /><Relationship Id="rId59" Type="http://schemas.openxmlformats.org/officeDocument/2006/relationships/hyperlink" Target="https://advance.lexis.com/api/document?collection=cases-ca&amp;id=urn:contentItem:5F8T-N3V1-JTGH-B12C-00000-00&amp;context=" TargetMode="External" /><Relationship Id="rId590" Type="http://schemas.openxmlformats.org/officeDocument/2006/relationships/hyperlink" Target="https://advance.lexis.com/api/document?collection=cases-ca&amp;id=urn:contentItem:5F7T-S6Y1-JSC5-M2W7-00000-00&amp;context=" TargetMode="External" /><Relationship Id="rId591" Type="http://schemas.openxmlformats.org/officeDocument/2006/relationships/hyperlink" Target="https://advance.lexis.com/api/document?collection=cases-ca&amp;id=urn:contentItem:5F7T-S791-FJTD-G313-00000-00&amp;context=" TargetMode="External" /><Relationship Id="rId592" Type="http://schemas.openxmlformats.org/officeDocument/2006/relationships/hyperlink" Target="https://advance.lexis.com/api/document?collection=cases-ca&amp;id=urn:contentItem:5F7T-S7M1-JCRC-B1HK-00000-00&amp;context=" TargetMode="External" /><Relationship Id="rId593" Type="http://schemas.openxmlformats.org/officeDocument/2006/relationships/header" Target="header91.xml" /><Relationship Id="rId594" Type="http://schemas.openxmlformats.org/officeDocument/2006/relationships/header" Target="header92.xml" /><Relationship Id="rId595" Type="http://schemas.openxmlformats.org/officeDocument/2006/relationships/footer" Target="footer91.xml" /><Relationship Id="rId596" Type="http://schemas.openxmlformats.org/officeDocument/2006/relationships/footer" Target="footer92.xml" /><Relationship Id="rId597" Type="http://schemas.openxmlformats.org/officeDocument/2006/relationships/header" Target="header93.xml" /><Relationship Id="rId598" Type="http://schemas.openxmlformats.org/officeDocument/2006/relationships/footer" Target="footer93.xml" /><Relationship Id="rId599" Type="http://schemas.openxmlformats.org/officeDocument/2006/relationships/hyperlink" Target="https://advance.lexis.com/api/document?collection=cases-ca&amp;id=urn:contentItem:5F7T-S7J1-JGBH-B2CN-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MTX-HYD1-JNCK-2002-00000-00&amp;context=" TargetMode="External" /><Relationship Id="rId600" Type="http://schemas.openxmlformats.org/officeDocument/2006/relationships/hyperlink" Target="https://advance.lexis.com/api/document?collection=cases-ca&amp;id=urn:contentItem:5F8T-N3V1-JFKM-60C8-00000-00&amp;context=" TargetMode="External" /><Relationship Id="rId601" Type="http://schemas.openxmlformats.org/officeDocument/2006/relationships/hyperlink" Target="https://advance.lexis.com/api/document?collection=cases-ca&amp;id=urn:contentItem:5F8T-N3R1-FJDY-X35F-00000-00&amp;context=" TargetMode="External" /><Relationship Id="rId602" Type="http://schemas.openxmlformats.org/officeDocument/2006/relationships/hyperlink" Target="https://advance.lexis.com/api/document?collection=cases-ca&amp;id=urn:contentItem:5F7T-S7G1-JWR6-S1G6-00000-00&amp;context=" TargetMode="External" /><Relationship Id="rId603" Type="http://schemas.openxmlformats.org/officeDocument/2006/relationships/hyperlink" Target="https://advance.lexis.com/api/document?collection=cases-ca&amp;id=urn:contentItem:5F7T-S761-JS5Y-B1HJ-00000-00&amp;context=" TargetMode="External" /><Relationship Id="rId604" Type="http://schemas.openxmlformats.org/officeDocument/2006/relationships/hyperlink" Target="https://advance.lexis.com/api/document?collection=cases-ca&amp;id=urn:contentItem:5F7T-S761-FGJR-22V5-00000-00&amp;context=" TargetMode="External" /><Relationship Id="rId605" Type="http://schemas.openxmlformats.org/officeDocument/2006/relationships/header" Target="header94.xml" /><Relationship Id="rId606" Type="http://schemas.openxmlformats.org/officeDocument/2006/relationships/header" Target="header95.xml" /><Relationship Id="rId607" Type="http://schemas.openxmlformats.org/officeDocument/2006/relationships/footer" Target="footer94.xml" /><Relationship Id="rId608" Type="http://schemas.openxmlformats.org/officeDocument/2006/relationships/footer" Target="footer95.xml" /><Relationship Id="rId609" Type="http://schemas.openxmlformats.org/officeDocument/2006/relationships/header" Target="header96.xml" /><Relationship Id="rId61" Type="http://schemas.openxmlformats.org/officeDocument/2006/relationships/hyperlink" Target="https://advance.lexis.com/api/document?collection=cases-ca&amp;id=urn:contentItem:5NDB-HF11-JNJT-B10R-00000-00&amp;context=" TargetMode="External" /><Relationship Id="rId610" Type="http://schemas.openxmlformats.org/officeDocument/2006/relationships/footer" Target="footer96.xml" /><Relationship Id="rId611" Type="http://schemas.openxmlformats.org/officeDocument/2006/relationships/hyperlink" Target="https://advance.lexis.com/api/document?collection=cases-ca&amp;id=urn:contentItem:5F7T-S781-F900-G11S-00000-00&amp;context=" TargetMode="External" /><Relationship Id="rId612" Type="http://schemas.openxmlformats.org/officeDocument/2006/relationships/hyperlink" Target="https://advance.lexis.com/api/document?collection=cases-ca&amp;id=urn:contentItem:5F7T-S731-FG12-62FB-00000-00&amp;context=" TargetMode="External" /><Relationship Id="rId613" Type="http://schemas.openxmlformats.org/officeDocument/2006/relationships/hyperlink" Target="https://advance.lexis.com/api/document?collection=cases-ca&amp;id=urn:contentItem:5F7T-S711-JB2B-S0T8-00000-00&amp;context=" TargetMode="External" /><Relationship Id="rId614" Type="http://schemas.openxmlformats.org/officeDocument/2006/relationships/hyperlink" Target="https://advance.lexis.com/api/document?collection=cases-ca&amp;id=urn:contentItem:5F7T-S761-JS5Y-B1KF-00000-00&amp;context=" TargetMode="External" /><Relationship Id="rId615" Type="http://schemas.openxmlformats.org/officeDocument/2006/relationships/hyperlink" Target="https://advance.lexis.com/api/document?collection=cases-ca&amp;id=urn:contentItem:5F7T-S731-F016-S3FP-00000-00&amp;context=" TargetMode="External" /><Relationship Id="rId616" Type="http://schemas.openxmlformats.org/officeDocument/2006/relationships/header" Target="header97.xml" /><Relationship Id="rId617" Type="http://schemas.openxmlformats.org/officeDocument/2006/relationships/header" Target="header98.xml" /><Relationship Id="rId618" Type="http://schemas.openxmlformats.org/officeDocument/2006/relationships/footer" Target="footer97.xml" /><Relationship Id="rId619" Type="http://schemas.openxmlformats.org/officeDocument/2006/relationships/footer" Target="footer98.xml" /><Relationship Id="rId62" Type="http://schemas.openxmlformats.org/officeDocument/2006/relationships/hyperlink" Target="https://advance.lexis.com/api/document?collection=cases-ca&amp;id=urn:contentItem:5F8T-N3V1-JTGH-B19B-00000-00&amp;context=" TargetMode="External" /><Relationship Id="rId620" Type="http://schemas.openxmlformats.org/officeDocument/2006/relationships/header" Target="header99.xml" /><Relationship Id="rId621" Type="http://schemas.openxmlformats.org/officeDocument/2006/relationships/footer" Target="footer99.xml" /><Relationship Id="rId622" Type="http://schemas.openxmlformats.org/officeDocument/2006/relationships/hyperlink" Target="https://advance.lexis.com/api/document?collection=cases-ca&amp;id=urn:contentItem:5F7T-S7M1-JPP5-22S0-00000-00&amp;context=" TargetMode="External" /><Relationship Id="rId623" Type="http://schemas.openxmlformats.org/officeDocument/2006/relationships/hyperlink" Target="https://advance.lexis.com/api/document?collection=legislation-ca&amp;id=urn:contentItem:5F41-1FJ1-JKPJ-G0P7-00000-00&amp;context=" TargetMode="External" /><Relationship Id="rId624" Type="http://schemas.openxmlformats.org/officeDocument/2006/relationships/hyperlink" Target="https://advance.lexis.com/api/document?collection=cases-ca&amp;id=urn:contentItem:5F7T-S7G1-JX3N-B21B-00000-00&amp;context=" TargetMode="External" /><Relationship Id="rId625" Type="http://schemas.openxmlformats.org/officeDocument/2006/relationships/hyperlink" Target="https://advance.lexis.com/api/document?collection=cases-ca&amp;id=urn:contentItem:5F7T-S7K1-F528-G2XC-00000-00&amp;context=" TargetMode="External" /><Relationship Id="rId626" Type="http://schemas.openxmlformats.org/officeDocument/2006/relationships/hyperlink" Target="https://advance.lexis.com/api/document?collection=cases-ca&amp;id=urn:contentItem:5F7T-S6V1-F2TK-21YN-00000-00&amp;context=" TargetMode="External" /><Relationship Id="rId627" Type="http://schemas.openxmlformats.org/officeDocument/2006/relationships/hyperlink" Target="https://advance.lexis.com/api/document?collection=cases-ca&amp;id=urn:contentItem:5F7T-S6W1-F8SS-62X1-00000-00&amp;context=" TargetMode="External" /><Relationship Id="rId628" Type="http://schemas.openxmlformats.org/officeDocument/2006/relationships/hyperlink" Target="https://advance.lexis.com/api/document?collection=cases-ca&amp;id=urn:contentItem:5F7T-S781-F06F-23XV-00000-00&amp;context=" TargetMode="External" /><Relationship Id="rId629" Type="http://schemas.openxmlformats.org/officeDocument/2006/relationships/hyperlink" Target="https://advance.lexis.com/api/document?collection=cases-ca&amp;id=urn:contentItem:5F7T-S6W1-JB7K-21F4-00000-00&amp;context=" TargetMode="External" /><Relationship Id="rId63" Type="http://schemas.openxmlformats.org/officeDocument/2006/relationships/hyperlink" Target="https://advance.lexis.com/api/document?collection=cases-ca&amp;id=urn:contentItem:5F81-VJX1-FFTT-X1V6-00000-00&amp;context=" TargetMode="External" /><Relationship Id="rId630" Type="http://schemas.openxmlformats.org/officeDocument/2006/relationships/hyperlink" Target="https://advance.lexis.com/api/document?collection=cases-ca&amp;id=urn:contentItem:5F7T-S6X1-JTNR-M3X3-00000-00&amp;context=" TargetMode="External" /><Relationship Id="rId631" Type="http://schemas.openxmlformats.org/officeDocument/2006/relationships/hyperlink" Target="https://advance.lexis.com/api/document?collection=cases-ca&amp;id=urn:contentItem:5F81-VJV1-JK4W-M4GH-00000-00&amp;context=" TargetMode="External" /><Relationship Id="rId632" Type="http://schemas.openxmlformats.org/officeDocument/2006/relationships/hyperlink" Target="https://advance.lexis.com/api/document?collection=cases-ca&amp;id=urn:contentItem:5F7T-S771-JSJC-X060-00000-00&amp;context=" TargetMode="External" /><Relationship Id="rId633" Type="http://schemas.openxmlformats.org/officeDocument/2006/relationships/hyperlink" Target="https://advance.lexis.com/api/document?collection=cases-ca&amp;id=urn:contentItem:5F7T-S7D1-FC6N-X0VK-00000-00&amp;context=" TargetMode="External" /><Relationship Id="rId634" Type="http://schemas.openxmlformats.org/officeDocument/2006/relationships/hyperlink" Target="https://advance.lexis.com/api/document?collection=cases-ca&amp;id=urn:contentItem:5F7T-S6W1-F7ND-G2KM-00000-00&amp;context=" TargetMode="External" /><Relationship Id="rId635" Type="http://schemas.openxmlformats.org/officeDocument/2006/relationships/hyperlink" Target="https://advance.lexis.com/api/document?collection=cases-ca&amp;id=urn:contentItem:5F7T-S6V1-F2TK-22G9-00000-00&amp;context=" TargetMode="External" /><Relationship Id="rId636" Type="http://schemas.openxmlformats.org/officeDocument/2006/relationships/hyperlink" Target="https://advance.lexis.com/api/document?collection=cases-ca&amp;id=urn:contentItem:5F7T-S7B1-JSRM-60H4-00000-00&amp;context=" TargetMode="External" /><Relationship Id="rId637" Type="http://schemas.openxmlformats.org/officeDocument/2006/relationships/hyperlink" Target="https://advance.lexis.com/api/document?collection=cases-ca&amp;id=urn:contentItem:5F7T-S741-F2F4-G2B9-00000-00&amp;context=" TargetMode="External" /><Relationship Id="rId638" Type="http://schemas.openxmlformats.org/officeDocument/2006/relationships/hyperlink" Target="https://advance.lexis.com/api/document?collection=cases-ca&amp;id=urn:contentItem:5F7T-S751-F361-M0X7-00000-00&amp;context=" TargetMode="External" /><Relationship Id="rId639" Type="http://schemas.openxmlformats.org/officeDocument/2006/relationships/hyperlink" Target="https://advance.lexis.com/api/document?collection=cases-ca&amp;id=urn:contentItem:5F7T-S6T1-JJ1H-X25D-00000-00&amp;context=" TargetMode="External" /><Relationship Id="rId64" Type="http://schemas.openxmlformats.org/officeDocument/2006/relationships/hyperlink" Target="https://advance.lexis.com/api/document?collection=cases-ca&amp;id=urn:contentItem:5F7T-S7M1-JPP5-22WN-00000-00&amp;context=" TargetMode="External" /><Relationship Id="rId640" Type="http://schemas.openxmlformats.org/officeDocument/2006/relationships/hyperlink" Target="https://advance.lexis.com/api/document?collection=cases-ca&amp;id=urn:contentItem:5F7T-S7H1-JFSV-G2P6-00000-00&amp;context=" TargetMode="External" /><Relationship Id="rId641" Type="http://schemas.openxmlformats.org/officeDocument/2006/relationships/hyperlink" Target="https://advance.lexis.com/api/document?collection=cases-ca&amp;id=urn:contentItem:5F8T-N3V1-FC1F-M41J-00000-00&amp;context=" TargetMode="External" /><Relationship Id="rId642" Type="http://schemas.openxmlformats.org/officeDocument/2006/relationships/header" Target="header100.xml" /><Relationship Id="rId643" Type="http://schemas.openxmlformats.org/officeDocument/2006/relationships/header" Target="header101.xml" /><Relationship Id="rId644" Type="http://schemas.openxmlformats.org/officeDocument/2006/relationships/footer" Target="footer100.xml" /><Relationship Id="rId645" Type="http://schemas.openxmlformats.org/officeDocument/2006/relationships/footer" Target="footer101.xml" /><Relationship Id="rId646" Type="http://schemas.openxmlformats.org/officeDocument/2006/relationships/header" Target="header102.xml" /><Relationship Id="rId647" Type="http://schemas.openxmlformats.org/officeDocument/2006/relationships/footer" Target="footer102.xml" /><Relationship Id="rId648" Type="http://schemas.openxmlformats.org/officeDocument/2006/relationships/hyperlink" Target="https://advance.lexis.com/api/document?collection=cases-ca&amp;id=urn:contentItem:5N2Y-C701-JJD0-G0RS-00000-00&amp;context=" TargetMode="External" /><Relationship Id="rId649" Type="http://schemas.openxmlformats.org/officeDocument/2006/relationships/hyperlink" Target="https://advance.lexis.com/api/document?collection=cases-ca&amp;id=urn:contentItem:5F7T-S771-JW5H-X1SX-00000-00&amp;context=" TargetMode="External" /><Relationship Id="rId65" Type="http://schemas.openxmlformats.org/officeDocument/2006/relationships/hyperlink" Target="https://advance.lexis.com/api/document?collection=cases-ca&amp;id=urn:contentItem:5M0F-RXH1-FGY5-M097-00000-00&amp;context=" TargetMode="External" /><Relationship Id="rId650" Type="http://schemas.openxmlformats.org/officeDocument/2006/relationships/hyperlink" Target="https://advance.lexis.com/api/document?collection=cases-ca&amp;id=urn:contentItem:5F7T-S7N1-JGHR-M33X-00000-00&amp;context=" TargetMode="External" /><Relationship Id="rId651" Type="http://schemas.openxmlformats.org/officeDocument/2006/relationships/hyperlink" Target="https://advance.lexis.com/api/document?collection=cases-ca&amp;id=urn:contentItem:5F7T-S7P1-JP4G-6233-00000-00&amp;context=" TargetMode="External" /><Relationship Id="rId652" Type="http://schemas.openxmlformats.org/officeDocument/2006/relationships/hyperlink" Target="https://advance.lexis.com/api/document?collection=cases-ca&amp;id=urn:contentItem:5JW3-TKC1-JGPY-X4PK-00000-00&amp;context=" TargetMode="External" /><Relationship Id="rId653" Type="http://schemas.openxmlformats.org/officeDocument/2006/relationships/hyperlink" Target="https://advance.lexis.com/api/document?collection=cases-ca&amp;id=urn:contentItem:5F7T-S7H1-F016-S3SV-00000-00&amp;context=" TargetMode="External" /><Relationship Id="rId654" Type="http://schemas.openxmlformats.org/officeDocument/2006/relationships/hyperlink" Target="https://advance.lexis.com/api/document?collection=cases-ca&amp;id=urn:contentItem:5F7T-S7F1-F7VM-S46N-00000-00&amp;context=" TargetMode="External" /><Relationship Id="rId655" Type="http://schemas.openxmlformats.org/officeDocument/2006/relationships/hyperlink" Target="https://advance.lexis.com/api/document?collection=cases-ca&amp;id=urn:contentItem:5F8T-N3T1-JGHR-M213-00000-00&amp;context=" TargetMode="External" /><Relationship Id="rId656" Type="http://schemas.openxmlformats.org/officeDocument/2006/relationships/header" Target="header103.xml" /><Relationship Id="rId657" Type="http://schemas.openxmlformats.org/officeDocument/2006/relationships/header" Target="header104.xml" /><Relationship Id="rId658" Type="http://schemas.openxmlformats.org/officeDocument/2006/relationships/footer" Target="footer103.xml" /><Relationship Id="rId659" Type="http://schemas.openxmlformats.org/officeDocument/2006/relationships/footer" Target="footer104.xml" /><Relationship Id="rId66" Type="http://schemas.openxmlformats.org/officeDocument/2006/relationships/hyperlink" Target="https://advance.lexis.com/api/document?collection=cases-ca&amp;id=urn:contentItem:5F7T-S7N1-JW09-M0NX-00000-00&amp;context=" TargetMode="External" /><Relationship Id="rId660" Type="http://schemas.openxmlformats.org/officeDocument/2006/relationships/header" Target="header105.xml" /><Relationship Id="rId661" Type="http://schemas.openxmlformats.org/officeDocument/2006/relationships/footer" Target="footer105.xml" /><Relationship Id="rId662" Type="http://schemas.openxmlformats.org/officeDocument/2006/relationships/hyperlink" Target="https://advance.lexis.com/api/document?collection=cases-ca&amp;id=urn:contentItem:5F7T-S771-JJD0-G18J-00000-00&amp;context=" TargetMode="External" /><Relationship Id="rId663" Type="http://schemas.openxmlformats.org/officeDocument/2006/relationships/header" Target="header106.xml" /><Relationship Id="rId664" Type="http://schemas.openxmlformats.org/officeDocument/2006/relationships/header" Target="header107.xml" /><Relationship Id="rId665" Type="http://schemas.openxmlformats.org/officeDocument/2006/relationships/footer" Target="footer106.xml" /><Relationship Id="rId666" Type="http://schemas.openxmlformats.org/officeDocument/2006/relationships/footer" Target="footer107.xml" /><Relationship Id="rId667" Type="http://schemas.openxmlformats.org/officeDocument/2006/relationships/header" Target="header108.xml" /><Relationship Id="rId668" Type="http://schemas.openxmlformats.org/officeDocument/2006/relationships/footer" Target="footer108.xml" /><Relationship Id="rId669" Type="http://schemas.openxmlformats.org/officeDocument/2006/relationships/hyperlink" Target="https://advance.lexis.com/api/document?collection=cases-ca&amp;id=urn:contentItem:5J6J-RHK1-FGCG-S0R5-00000-00&amp;context=" TargetMode="External" /><Relationship Id="rId67" Type="http://schemas.openxmlformats.org/officeDocument/2006/relationships/hyperlink" Target="https://advance.lexis.com/api/document?collection=cases-ca&amp;id=urn:contentItem:5K3R-3PT1-F900-G3DM-00000-00&amp;context=" TargetMode="External" /><Relationship Id="rId670" Type="http://schemas.openxmlformats.org/officeDocument/2006/relationships/hyperlink" Target="https://advance.lexis.com/api/document?collection=cases-ca&amp;id=urn:contentItem:5K6Y-81T1-JYYX-623B-00000-00&amp;context=" TargetMode="External" /><Relationship Id="rId671" Type="http://schemas.openxmlformats.org/officeDocument/2006/relationships/hyperlink" Target="https://advance.lexis.com/api/document?collection=cases-ca&amp;id=urn:contentItem:5F7T-S7D1-FBFS-S1M7-00000-00&amp;context=" TargetMode="External" /><Relationship Id="rId672" Type="http://schemas.openxmlformats.org/officeDocument/2006/relationships/hyperlink" Target="https://advance.lexis.com/api/document?collection=cases-ca&amp;id=urn:contentItem:5F8T-N3P1-F7ND-G14C-00000-00&amp;context=" TargetMode="External" /><Relationship Id="rId673" Type="http://schemas.openxmlformats.org/officeDocument/2006/relationships/hyperlink" Target="https://advance.lexis.com/api/document?collection=cases-ca&amp;id=urn:contentItem:5F81-YGW1-DYFH-X025-00000-00&amp;context=" TargetMode="External" /><Relationship Id="rId674" Type="http://schemas.openxmlformats.org/officeDocument/2006/relationships/hyperlink" Target="https://advance.lexis.com/api/document?collection=cases-ca&amp;id=urn:contentItem:5F8P-SC71-JK4W-M2MK-00000-00&amp;context=" TargetMode="External" /><Relationship Id="rId675" Type="http://schemas.openxmlformats.org/officeDocument/2006/relationships/hyperlink" Target="https://advance.lexis.com/api/document?collection=cases-ca&amp;id=urn:contentItem:5F8T-N3V1-JF75-M3WX-00000-00&amp;context=" TargetMode="External" /><Relationship Id="rId676" Type="http://schemas.openxmlformats.org/officeDocument/2006/relationships/hyperlink" Target="https://advance.lexis.com/api/document?collection=cases-ca&amp;id=urn:contentItem:5F7T-S7M1-JNCK-22RP-00000-00&amp;context=" TargetMode="External" /><Relationship Id="rId677" Type="http://schemas.openxmlformats.org/officeDocument/2006/relationships/hyperlink" Target="https://advance.lexis.com/api/document?collection=cases-ca&amp;id=urn:contentItem:5F7T-S741-F528-G2J5-00000-00&amp;context=" TargetMode="External" /><Relationship Id="rId678" Type="http://schemas.openxmlformats.org/officeDocument/2006/relationships/hyperlink" Target="https://advance.lexis.com/api/document?collection=cases-ca&amp;id=urn:contentItem:5F7T-S6Y1-DY33-B09H-00000-00&amp;context=" TargetMode="External" /><Relationship Id="rId679" Type="http://schemas.openxmlformats.org/officeDocument/2006/relationships/hyperlink" Target="https://advance.lexis.com/api/document?collection=cases-ca&amp;id=urn:contentItem:5F7T-S7N1-F57G-S2PF-00000-00&amp;context=" TargetMode="External" /><Relationship Id="rId68" Type="http://schemas.openxmlformats.org/officeDocument/2006/relationships/hyperlink" Target="https://advance.lexis.com/api/document?collection=cases-ca&amp;id=urn:contentItem:5F8T-N3V1-FH4C-X24X-00000-00&amp;context=" TargetMode="External" /><Relationship Id="rId680" Type="http://schemas.openxmlformats.org/officeDocument/2006/relationships/hyperlink" Target="https://advance.lexis.com/api/document?collection=cases-ca&amp;id=urn:contentItem:5F7T-S7K1-F1H1-22C1-00000-00&amp;context=" TargetMode="External" /><Relationship Id="rId681" Type="http://schemas.openxmlformats.org/officeDocument/2006/relationships/hyperlink" Target="https://advance.lexis.com/api/document?collection=cases-ca&amp;id=urn:contentItem:5F7T-S7D1-JN6B-S131-00000-00&amp;context=" TargetMode="External" /><Relationship Id="rId682" Type="http://schemas.openxmlformats.org/officeDocument/2006/relationships/hyperlink" Target="https://advance.lexis.com/api/document?collection=cases-ca&amp;id=urn:contentItem:5F7T-S781-JSC5-M4B6-00000-00&amp;context=" TargetMode="External" /><Relationship Id="rId683" Type="http://schemas.openxmlformats.org/officeDocument/2006/relationships/hyperlink" Target="https://advance.lexis.com/api/document?collection=cases-ca&amp;id=urn:contentItem:5F7T-S7N1-DXWW-206B-00000-00&amp;context=" TargetMode="External" /><Relationship Id="rId684" Type="http://schemas.openxmlformats.org/officeDocument/2006/relationships/hyperlink" Target="https://advance.lexis.com/api/document?collection=cases-ca&amp;id=urn:contentItem:5F7T-S7D1-JN6B-S119-00000-00&amp;context=" TargetMode="External" /><Relationship Id="rId685" Type="http://schemas.openxmlformats.org/officeDocument/2006/relationships/hyperlink" Target="https://advance.lexis.com/api/document?collection=cases-ca&amp;id=urn:contentItem:5GCC-XVC1-F900-G4S3-00000-00&amp;context=" TargetMode="External" /><Relationship Id="rId686" Type="http://schemas.openxmlformats.org/officeDocument/2006/relationships/hyperlink" Target="https://advance.lexis.com/api/document?collection=cases-ca&amp;id=urn:contentItem:5F7T-S7M1-DYMS-625V-00000-00&amp;context=" TargetMode="External" /><Relationship Id="rId687" Type="http://schemas.openxmlformats.org/officeDocument/2006/relationships/hyperlink" Target="https://advance.lexis.com/api/document?collection=cases-ca&amp;id=urn:contentItem:5F7T-S7P1-F2TK-23PB-00000-00&amp;context=" TargetMode="External" /><Relationship Id="rId688" Type="http://schemas.openxmlformats.org/officeDocument/2006/relationships/hyperlink" Target="https://advance.lexis.com/api/document?collection=cases-ca&amp;id=urn:contentItem:5F7T-S7N1-F06F-24RG-00000-00&amp;context=" TargetMode="External" /><Relationship Id="rId689" Type="http://schemas.openxmlformats.org/officeDocument/2006/relationships/hyperlink" Target="https://advance.lexis.com/api/document?collection=cases-ca&amp;id=urn:contentItem:5F7T-S7N1-JC5P-G232-00000-00&amp;context=" TargetMode="External" /><Relationship Id="rId69" Type="http://schemas.openxmlformats.org/officeDocument/2006/relationships/hyperlink" Target="https://advance.lexis.com/api/document?collection=cases-ca&amp;id=urn:contentItem:5G8V-8B21-F81W-22NV-00000-00&amp;context=" TargetMode="External" /><Relationship Id="rId690" Type="http://schemas.openxmlformats.org/officeDocument/2006/relationships/hyperlink" Target="https://advance.lexis.com/api/document?collection=cases-ca&amp;id=urn:contentItem:5F7T-S7N1-F06F-24FJ-00000-00&amp;context=" TargetMode="External" /><Relationship Id="rId691" Type="http://schemas.openxmlformats.org/officeDocument/2006/relationships/hyperlink" Target="https://advance.lexis.com/api/document?collection=cases-ca&amp;id=urn:contentItem:5F7T-S7D1-DY89-M463-00000-00&amp;context=" TargetMode="External" /><Relationship Id="rId692" Type="http://schemas.openxmlformats.org/officeDocument/2006/relationships/hyperlink" Target="https://advance.lexis.com/api/document?collection=cases-ca&amp;id=urn:contentItem:5F7T-S7B1-F7ND-G4YK-00000-00&amp;context=" TargetMode="External" /><Relationship Id="rId693" Type="http://schemas.openxmlformats.org/officeDocument/2006/relationships/hyperlink" Target="https://advance.lexis.com/api/document?collection=cases-ca&amp;id=urn:contentItem:5F7T-S7K1-DY33-B1K8-00000-00&amp;context=" TargetMode="External" /><Relationship Id="rId694" Type="http://schemas.openxmlformats.org/officeDocument/2006/relationships/hyperlink" Target="https://advance.lexis.com/api/document?collection=cases-ca&amp;id=urn:contentItem:5F7T-S7N1-JJ1H-X2MS-00000-00&amp;context=" TargetMode="External" /><Relationship Id="rId695" Type="http://schemas.openxmlformats.org/officeDocument/2006/relationships/hyperlink" Target="https://advance.lexis.com/api/document?collection=cases-ca&amp;id=urn:contentItem:5F7T-S7K1-JSJC-X168-00000-00&amp;context=" TargetMode="External" /><Relationship Id="rId696" Type="http://schemas.openxmlformats.org/officeDocument/2006/relationships/hyperlink" Target="https://advance.lexis.com/api/document?collection=cases-ca&amp;id=urn:contentItem:5F7T-S7J1-JNS1-M2G2-00000-00&amp;context=" TargetMode="External" /><Relationship Id="rId697" Type="http://schemas.openxmlformats.org/officeDocument/2006/relationships/hyperlink" Target="https://advance.lexis.com/api/document?collection=cases-ca&amp;id=urn:contentItem:5F7T-S7K1-JKHB-62PC-00000-00&amp;context=" TargetMode="External" /><Relationship Id="rId698" Type="http://schemas.openxmlformats.org/officeDocument/2006/relationships/hyperlink" Target="https://advance.lexis.com/api/document?collection=cases-ca&amp;id=urn:contentItem:5F7T-S7K1-DY33-B1KT-00000-00&amp;context=" TargetMode="External" /><Relationship Id="rId699" Type="http://schemas.openxmlformats.org/officeDocument/2006/relationships/hyperlink" Target="https://advance.lexis.com/api/document?collection=cases-ca&amp;id=urn:contentItem:5F7T-S7B1-F7ND-G50F-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JTGH-B1BX-00000-00&amp;context=" TargetMode="External" /><Relationship Id="rId700" Type="http://schemas.openxmlformats.org/officeDocument/2006/relationships/hyperlink" Target="https://advance.lexis.com/api/document?collection=cases-ca&amp;id=urn:contentItem:5F81-VJX1-F5T5-M3YH-00000-00&amp;context=" TargetMode="External" /><Relationship Id="rId701" Type="http://schemas.openxmlformats.org/officeDocument/2006/relationships/hyperlink" Target="https://advance.lexis.com/api/document?collection=cases-ca&amp;id=urn:contentItem:5F7T-S731-DY33-B0YN-00000-00&amp;context=" TargetMode="External" /><Relationship Id="rId702" Type="http://schemas.openxmlformats.org/officeDocument/2006/relationships/hyperlink" Target="https://advance.lexis.com/api/document?collection=cases-ca&amp;id=urn:contentItem:5F7T-S771-JN14-G2PR-00000-00&amp;context=" TargetMode="External" /><Relationship Id="rId703" Type="http://schemas.openxmlformats.org/officeDocument/2006/relationships/hyperlink" Target="https://advance.lexis.com/api/document?collection=cases-ca&amp;id=urn:contentItem:5F7T-S791-JCJ5-251B-00000-00&amp;context=" TargetMode="External" /><Relationship Id="rId704" Type="http://schemas.openxmlformats.org/officeDocument/2006/relationships/hyperlink" Target="https://advance.lexis.com/api/document?collection=cases-ca&amp;id=urn:contentItem:5F7T-S7C1-F4NT-X3NB-00000-00&amp;context=" TargetMode="External" /><Relationship Id="rId705" Type="http://schemas.openxmlformats.org/officeDocument/2006/relationships/hyperlink" Target="https://advance.lexis.com/api/document?collection=cases-ca&amp;id=urn:contentItem:5F7T-S7N1-F57G-S2D4-00000-00&amp;context=" TargetMode="External" /><Relationship Id="rId706" Type="http://schemas.openxmlformats.org/officeDocument/2006/relationships/hyperlink" Target="https://advance.lexis.com/api/document?collection=cases-ca&amp;id=urn:contentItem:5F7T-S7M1-F4W2-6247-00000-00&amp;context=" TargetMode="External" /><Relationship Id="rId707" Type="http://schemas.openxmlformats.org/officeDocument/2006/relationships/hyperlink" Target="https://advance.lexis.com/api/document?collection=cases-ca&amp;id=urn:contentItem:5F7T-S7M1-JNCK-22MK-00000-00&amp;context=" TargetMode="External" /><Relationship Id="rId708" Type="http://schemas.openxmlformats.org/officeDocument/2006/relationships/hyperlink" Target="https://advance.lexis.com/api/document?collection=cases-ca&amp;id=urn:contentItem:5F7T-S7M1-JCRC-B1SF-00000-00&amp;context=" TargetMode="External" /><Relationship Id="rId709" Type="http://schemas.openxmlformats.org/officeDocument/2006/relationships/hyperlink" Target="https://advance.lexis.com/api/document?collection=cases-ca&amp;id=urn:contentItem:5F7T-S7M1-DYMS-62FG-00000-00&amp;context=" TargetMode="External" /><Relationship Id="rId71" Type="http://schemas.openxmlformats.org/officeDocument/2006/relationships/hyperlink" Target="https://advance.lexis.com/api/document?collection=cases-ca&amp;id=urn:contentItem:5HG9-CT61-FGJR-22X5-00000-00&amp;context=" TargetMode="External" /><Relationship Id="rId710" Type="http://schemas.openxmlformats.org/officeDocument/2006/relationships/hyperlink" Target="https://advance.lexis.com/api/document?collection=cases-ca&amp;id=urn:contentItem:5F7T-S7N1-JJ1H-X2WS-00000-00&amp;context=" TargetMode="External" /><Relationship Id="rId711" Type="http://schemas.openxmlformats.org/officeDocument/2006/relationships/hyperlink" Target="https://advance.lexis.com/api/document?collection=cases-ca&amp;id=urn:contentItem:5F7T-S7M1-F4W2-62B8-00000-00&amp;context=" TargetMode="External" /><Relationship Id="rId712" Type="http://schemas.openxmlformats.org/officeDocument/2006/relationships/hyperlink" Target="https://advance.lexis.com/api/document?collection=cases-ca&amp;id=urn:contentItem:5F8T-N3V1-FC1F-M4BC-00000-00&amp;context=" TargetMode="External" /><Relationship Id="rId713" Type="http://schemas.openxmlformats.org/officeDocument/2006/relationships/hyperlink" Target="https://advance.lexis.com/api/document?collection=cases-ca&amp;id=urn:contentItem:5F7T-S7N1-JC5P-G2D1-00000-00&amp;context=" TargetMode="External" /><Relationship Id="rId714" Type="http://schemas.openxmlformats.org/officeDocument/2006/relationships/hyperlink" Target="https://advance.lexis.com/api/document?collection=cases-ca&amp;id=urn:contentItem:5F7T-S7N1-DXWW-20CN-00000-00&amp;context=" TargetMode="External" /><Relationship Id="rId715" Type="http://schemas.openxmlformats.org/officeDocument/2006/relationships/hyperlink" Target="https://advance.lexis.com/api/document?collection=cases-ca&amp;id=urn:contentItem:5F7T-S7P1-JCRC-B2CV-00000-00&amp;context=" TargetMode="External" /><Relationship Id="rId716" Type="http://schemas.openxmlformats.org/officeDocument/2006/relationships/header" Target="header109.xml" /><Relationship Id="rId717" Type="http://schemas.openxmlformats.org/officeDocument/2006/relationships/header" Target="header110.xml" /><Relationship Id="rId718" Type="http://schemas.openxmlformats.org/officeDocument/2006/relationships/footer" Target="footer109.xml" /><Relationship Id="rId719" Type="http://schemas.openxmlformats.org/officeDocument/2006/relationships/footer" Target="footer110.xml" /><Relationship Id="rId72" Type="http://schemas.openxmlformats.org/officeDocument/2006/relationships/hyperlink" Target="https://advance.lexis.com/api/document?collection=cases-ca&amp;id=urn:contentItem:5F8T-N3T1-JJSF-23D3-00000-00&amp;context=" TargetMode="External" /><Relationship Id="rId720" Type="http://schemas.openxmlformats.org/officeDocument/2006/relationships/header" Target="header111.xml" /><Relationship Id="rId721" Type="http://schemas.openxmlformats.org/officeDocument/2006/relationships/footer" Target="footer111.xml" /><Relationship Id="rId722" Type="http://schemas.openxmlformats.org/officeDocument/2006/relationships/hyperlink" Target="https://advance.lexis.com/api/document?collection=cases-ca&amp;id=urn:contentItem:5MJ7-NBJ1-F1WF-M26Y-00000-00&amp;context=" TargetMode="External" /><Relationship Id="rId723" Type="http://schemas.openxmlformats.org/officeDocument/2006/relationships/hyperlink" Target="https://advance.lexis.com/api/document?collection=cases-ca&amp;id=urn:contentItem:5NK8-5W21-DXWW-243B-00000-00&amp;context=" TargetMode="External" /><Relationship Id="rId724" Type="http://schemas.openxmlformats.org/officeDocument/2006/relationships/hyperlink" Target="https://advance.lexis.com/api/document?collection=cases-ca&amp;id=urn:contentItem:5F7T-S7H1-F4GK-M3DN-00000-00&amp;context=" TargetMode="External" /><Relationship Id="rId725" Type="http://schemas.openxmlformats.org/officeDocument/2006/relationships/hyperlink" Target="https://advance.lexis.com/api/document?collection=cases-ca&amp;id=urn:contentItem:5F82-1SH1-JF1Y-B2V8-00000-00&amp;context=" TargetMode="External" /><Relationship Id="rId726" Type="http://schemas.openxmlformats.org/officeDocument/2006/relationships/hyperlink" Target="https://advance.lexis.com/api/document?collection=cases-ca&amp;id=urn:contentItem:5F7T-S7K1-JWXF-20X0-00000-00&amp;context=" TargetMode="External" /><Relationship Id="rId727" Type="http://schemas.openxmlformats.org/officeDocument/2006/relationships/hyperlink" Target="https://advance.lexis.com/api/document?collection=cases-ca&amp;id=urn:contentItem:5H01-8H81-JB7K-226S-00000-00&amp;context=" TargetMode="External" /><Relationship Id="rId728" Type="http://schemas.openxmlformats.org/officeDocument/2006/relationships/hyperlink" Target="https://advance.lexis.com/api/document?collection=cases-ca&amp;id=urn:contentItem:5GCC-XVC1-F900-G4S5-00000-00&amp;context=" TargetMode="External" /><Relationship Id="rId729" Type="http://schemas.openxmlformats.org/officeDocument/2006/relationships/hyperlink" Target="https://advance.lexis.com/api/document?collection=cases-ca&amp;id=urn:contentItem:5JM8-YV01-F22N-X0T7-00000-00&amp;context=" TargetMode="External" /><Relationship Id="rId73" Type="http://schemas.openxmlformats.org/officeDocument/2006/relationships/hyperlink" Target="https://advance.lexis.com/api/document?collection=cases-ca&amp;id=urn:contentItem:5F7T-S7J1-JYYX-62DC-00000-00&amp;context=" TargetMode="External" /><Relationship Id="rId730" Type="http://schemas.openxmlformats.org/officeDocument/2006/relationships/hyperlink" Target="https://advance.lexis.com/api/document?collection=cases-ca&amp;id=urn:contentItem:5F7T-S6T1-FJTD-G1NJ-00000-00&amp;context=" TargetMode="External" /><Relationship Id="rId731" Type="http://schemas.openxmlformats.org/officeDocument/2006/relationships/hyperlink" Target="https://advance.lexis.com/api/document?collection=cases-ca&amp;id=urn:contentItem:5JVG-2XS1-JN14-G1JY-00000-00&amp;context=" TargetMode="External" /><Relationship Id="rId732" Type="http://schemas.openxmlformats.org/officeDocument/2006/relationships/hyperlink" Target="https://advance.lexis.com/api/document?collection=cases-ca&amp;id=urn:contentItem:5F7T-S6V1-JNS1-M0BG-00000-00&amp;context=" TargetMode="External" /><Relationship Id="rId733" Type="http://schemas.openxmlformats.org/officeDocument/2006/relationships/hyperlink" Target="https://advance.lexis.com/api/document?collection=cases-ca&amp;id=urn:contentItem:5M37-6RB1-FJDY-X09R-00000-00&amp;context=" TargetMode="External" /><Relationship Id="rId734" Type="http://schemas.openxmlformats.org/officeDocument/2006/relationships/hyperlink" Target="https://advance.lexis.com/api/document?collection=cases-ca&amp;id=urn:contentItem:5F7T-S7N1-JW09-M12P-00000-00&amp;context=" TargetMode="External" /><Relationship Id="rId735" Type="http://schemas.openxmlformats.org/officeDocument/2006/relationships/hyperlink" Target="https://advance.lexis.com/api/document?collection=cases-ca&amp;id=urn:contentItem:5F7T-S741-DY89-M3P5-00000-00&amp;context=" TargetMode="External" /><Relationship Id="rId736" Type="http://schemas.openxmlformats.org/officeDocument/2006/relationships/hyperlink" Target="https://advance.lexis.com/api/document?collection=cases-ca&amp;id=urn:contentItem:5F7T-S7F1-DXWW-24HM-00000-00&amp;context=" TargetMode="External" /><Relationship Id="rId737" Type="http://schemas.openxmlformats.org/officeDocument/2006/relationships/hyperlink" Target="https://advance.lexis.com/api/document?collection=cases-ca&amp;id=urn:contentItem:5F7T-S7P1-JSJC-X191-00000-00&amp;context=" TargetMode="External" /><Relationship Id="rId738" Type="http://schemas.openxmlformats.org/officeDocument/2006/relationships/hyperlink" Target="https://advance.lexis.com/api/document?collection=cases-ca&amp;id=urn:contentItem:5HG3-DFV1-JNCK-218K-00000-00&amp;context=" TargetMode="External" /><Relationship Id="rId739" Type="http://schemas.openxmlformats.org/officeDocument/2006/relationships/hyperlink" Target="https://advance.lexis.com/api/document?collection=cases-ca&amp;id=urn:contentItem:5GCC-XVB1-JGHR-M4D1-00000-00&amp;context=" TargetMode="External" /><Relationship Id="rId74" Type="http://schemas.openxmlformats.org/officeDocument/2006/relationships/hyperlink" Target="https://advance.lexis.com/api/document?collection=cases-ca&amp;id=urn:contentItem:5F82-1SJ1-JCRC-B08C-00000-00&amp;context=" TargetMode="External" /><Relationship Id="rId740" Type="http://schemas.openxmlformats.org/officeDocument/2006/relationships/hyperlink" Target="https://advance.lexis.com/api/document?collection=cases-ca&amp;id=urn:contentItem:5M13-K1S1-JKHB-644M-00000-00&amp;context=" TargetMode="External" /><Relationship Id="rId741" Type="http://schemas.openxmlformats.org/officeDocument/2006/relationships/hyperlink" Target="https://advance.lexis.com/api/document?collection=cases-ca&amp;id=urn:contentItem:5GCC-XVC1-JSRM-60RB-00000-00&amp;context=" TargetMode="External" /><Relationship Id="rId742" Type="http://schemas.openxmlformats.org/officeDocument/2006/relationships/image" Target="media/image1.jpeg" /><Relationship Id="rId743" Type="http://schemas.openxmlformats.org/officeDocument/2006/relationships/header" Target="header112.xml" /><Relationship Id="rId744" Type="http://schemas.openxmlformats.org/officeDocument/2006/relationships/header" Target="header113.xml" /><Relationship Id="rId745" Type="http://schemas.openxmlformats.org/officeDocument/2006/relationships/footer" Target="footer112.xml" /><Relationship Id="rId746" Type="http://schemas.openxmlformats.org/officeDocument/2006/relationships/footer" Target="footer113.xml" /><Relationship Id="rId747" Type="http://schemas.openxmlformats.org/officeDocument/2006/relationships/header" Target="header114.xml" /><Relationship Id="rId748" Type="http://schemas.openxmlformats.org/officeDocument/2006/relationships/footer" Target="footer114.xml" /><Relationship Id="rId749" Type="http://schemas.openxmlformats.org/officeDocument/2006/relationships/hyperlink" Target="https://advance.lexis.com/api/document?collection=cases-ca&amp;id=urn:contentItem:5PP4-N421-FK0M-S206-00000-00&amp;context=" TargetMode="External" /><Relationship Id="rId75" Type="http://schemas.openxmlformats.org/officeDocument/2006/relationships/hyperlink" Target="https://advance.lexis.com/api/document?collection=cases-ca&amp;id=urn:contentItem:5F7T-S7D1-FBFS-S1N2-00000-00&amp;context=" TargetMode="External" /><Relationship Id="rId750" Type="http://schemas.openxmlformats.org/officeDocument/2006/relationships/hyperlink" Target="https://advance.lexis.com/api/document?collection=cases-ca&amp;id=urn:contentItem:5MF2-KC41-F60C-X1GY-00000-00&amp;context=" TargetMode="External" /><Relationship Id="rId751" Type="http://schemas.openxmlformats.org/officeDocument/2006/relationships/hyperlink" Target="https://advance.lexis.com/api/document?collection=cases-ca&amp;id=urn:contentItem:5F81-VJY1-JPGX-S4X5-00000-00&amp;context=" TargetMode="External" /><Relationship Id="rId752" Type="http://schemas.openxmlformats.org/officeDocument/2006/relationships/hyperlink" Target="https://advance.lexis.com/api/document?collection=cases-ca&amp;id=urn:contentItem:5F8T-N3S1-JT99-24X4-00000-00&amp;context=" TargetMode="External" /><Relationship Id="rId753" Type="http://schemas.openxmlformats.org/officeDocument/2006/relationships/hyperlink" Target="https://advance.lexis.com/api/document?collection=cases-ca&amp;id=urn:contentItem:5K6P-RYN1-JSJC-X2M7-00000-00&amp;context=" TargetMode="External" /><Relationship Id="rId754" Type="http://schemas.openxmlformats.org/officeDocument/2006/relationships/hyperlink" Target="https://advance.lexis.com/api/document?collection=cases-ca&amp;id=urn:contentItem:5G5W-GT71-JX8W-M15K-00000-00&amp;context=" TargetMode="External" /><Relationship Id="rId755" Type="http://schemas.openxmlformats.org/officeDocument/2006/relationships/hyperlink" Target="https://advance.lexis.com/api/document?collection=cases-ca&amp;id=urn:contentItem:5GCK-P9F1-F4NT-X07T-00000-00&amp;context=" TargetMode="External" /><Relationship Id="rId756" Type="http://schemas.openxmlformats.org/officeDocument/2006/relationships/hyperlink" Target="https://advance.lexis.com/api/document?collection=cases-ca&amp;id=urn:contentItem:5GC3-4KH1-FGRY-B4P1-00000-00&amp;context=" TargetMode="External" /><Relationship Id="rId757" Type="http://schemas.openxmlformats.org/officeDocument/2006/relationships/hyperlink" Target="https://advance.lexis.com/api/document?collection=cases-ca&amp;id=urn:contentItem:5KDW-H151-JJD0-G06V-00000-00&amp;context=" TargetMode="External" /><Relationship Id="rId758" Type="http://schemas.openxmlformats.org/officeDocument/2006/relationships/hyperlink" Target="https://advance.lexis.com/api/document?collection=cases-ca&amp;id=urn:contentItem:5KG5-NKG1-FJTD-G20J-00000-00&amp;context=" TargetMode="External" /><Relationship Id="rId759" Type="http://schemas.openxmlformats.org/officeDocument/2006/relationships/hyperlink" Target="https://advance.lexis.com/api/document?collection=cases-ca&amp;id=urn:contentItem:5N82-XP61-JX8W-M518-00000-00&amp;context=" TargetMode="External" /><Relationship Id="rId76" Type="http://schemas.openxmlformats.org/officeDocument/2006/relationships/hyperlink" Target="https://advance.lexis.com/api/document?collection=cases-ca&amp;id=urn:contentItem:5F82-1SF1-F361-M45H-00000-00&amp;context=" TargetMode="External" /><Relationship Id="rId760" Type="http://schemas.openxmlformats.org/officeDocument/2006/relationships/hyperlink" Target="https://advance.lexis.com/api/document?collection=cases-ca&amp;id=urn:contentItem:5GCD-JCC1-F8SS-652G-00000-00&amp;context=" TargetMode="External" /><Relationship Id="rId761" Type="http://schemas.openxmlformats.org/officeDocument/2006/relationships/hyperlink" Target="https://advance.lexis.com/api/document?collection=cases-ca&amp;id=urn:contentItem:5GCK-P9F1-F4NT-X07V-00000-00&amp;context=" TargetMode="External" /><Relationship Id="rId762" Type="http://schemas.openxmlformats.org/officeDocument/2006/relationships/hyperlink" Target="https://advance.lexis.com/api/document?collection=cases-ca&amp;id=urn:contentItem:5F7T-S7N1-F06F-2494-00000-00&amp;context=" TargetMode="External" /><Relationship Id="rId763" Type="http://schemas.openxmlformats.org/officeDocument/2006/relationships/hyperlink" Target="https://advance.lexis.com/api/document?collection=cases-ca&amp;id=urn:contentItem:5F7T-S7N1-JWR6-S2N8-00000-00&amp;context=" TargetMode="External" /><Relationship Id="rId764" Type="http://schemas.openxmlformats.org/officeDocument/2006/relationships/hyperlink" Target="https://advance.lexis.com/api/document?collection=cases-ca&amp;id=urn:contentItem:5M43-BH51-DXHD-G24K-00000-00&amp;context=" TargetMode="External" /><Relationship Id="rId765" Type="http://schemas.openxmlformats.org/officeDocument/2006/relationships/hyperlink" Target="https://advance.lexis.com/api/document?collection=cases-ca&amp;id=urn:contentItem:5F7T-S7P1-F2TK-23MK-00000-00&amp;context=" TargetMode="External" /><Relationship Id="rId766" Type="http://schemas.openxmlformats.org/officeDocument/2006/relationships/hyperlink" Target="https://advance.lexis.com/api/document?collection=cases-ca&amp;id=urn:contentItem:5F7T-S7P1-F2TK-23T7-00000-00&amp;context=" TargetMode="External" /><Relationship Id="rId767" Type="http://schemas.openxmlformats.org/officeDocument/2006/relationships/hyperlink" Target="https://advance.lexis.com/api/document?collection=cases-ca&amp;id=urn:contentItem:5GCC-XVB1-JGHR-M4CS-00000-00&amp;context=" TargetMode="External" /><Relationship Id="rId768" Type="http://schemas.openxmlformats.org/officeDocument/2006/relationships/hyperlink" Target="https://advance.lexis.com/api/document?collection=cases-ca&amp;id=urn:contentItem:5GCC-XVC1-F900-G4JF-00000-00&amp;context=" TargetMode="External" /><Relationship Id="rId769" Type="http://schemas.openxmlformats.org/officeDocument/2006/relationships/hyperlink" Target="https://advance.lexis.com/api/document?collection=cases-ca&amp;id=urn:contentItem:5GCC-XVC1-FK0M-S01D-00000-00&amp;context=" TargetMode="External" /><Relationship Id="rId77" Type="http://schemas.openxmlformats.org/officeDocument/2006/relationships/hyperlink" Target="https://advance.lexis.com/api/document?collection=cases-ca&amp;id=urn:contentItem:5F7T-S7N1-JGHR-M344-00000-00&amp;context=" TargetMode="External" /><Relationship Id="rId770" Type="http://schemas.openxmlformats.org/officeDocument/2006/relationships/hyperlink" Target="https://advance.lexis.com/api/document?collection=cases-ca&amp;id=urn:contentItem:5GCC-XVC1-FK0M-S01F-00000-00&amp;context=" TargetMode="External" /><Relationship Id="rId771" Type="http://schemas.openxmlformats.org/officeDocument/2006/relationships/hyperlink" Target="https://advance.lexis.com/api/document?collection=cases-ca&amp;id=urn:contentItem:5GN2-DCK1-FGRY-B3MK-00000-00&amp;context=" TargetMode="External" /><Relationship Id="rId772" Type="http://schemas.openxmlformats.org/officeDocument/2006/relationships/hyperlink" Target="https://advance.lexis.com/api/document?collection=cases-ca&amp;id=urn:contentItem:5FXM-5K11-JJD0-G4GR-00000-00&amp;context=" TargetMode="External" /><Relationship Id="rId773" Type="http://schemas.openxmlformats.org/officeDocument/2006/relationships/hyperlink" Target="https://advance.lexis.com/api/document?collection=cases-ca&amp;id=urn:contentItem:5HBG-0YF1-F4W2-630G-00000-00&amp;context=" TargetMode="External" /><Relationship Id="rId774" Type="http://schemas.openxmlformats.org/officeDocument/2006/relationships/hyperlink" Target="https://advance.lexis.com/api/document?collection=cases-ca&amp;id=urn:contentItem:5JK1-44M1-JNS1-M11J-00000-00&amp;context=" TargetMode="External" /><Relationship Id="rId775" Type="http://schemas.openxmlformats.org/officeDocument/2006/relationships/hyperlink" Target="https://advance.lexis.com/api/document?collection=cases-ca&amp;id=urn:contentItem:5HBG-0YF1-F4W2-630K-00000-00&amp;context=" TargetMode="External" /><Relationship Id="rId776" Type="http://schemas.openxmlformats.org/officeDocument/2006/relationships/hyperlink" Target="https://advance.lexis.com/api/document?collection=cases-ca&amp;id=urn:contentItem:5K8V-D471-JN14-G1B0-00000-00&amp;context=" TargetMode="External" /><Relationship Id="rId777" Type="http://schemas.openxmlformats.org/officeDocument/2006/relationships/hyperlink" Target="https://advance.lexis.com/api/document?collection=cases-ca&amp;id=urn:contentItem:5F7T-S7K1-JWXF-21B7-00000-00&amp;context=" TargetMode="External" /><Relationship Id="rId778" Type="http://schemas.openxmlformats.org/officeDocument/2006/relationships/hyperlink" Target="https://advance.lexis.com/api/document?collection=cases-ca&amp;id=urn:contentItem:5JJ5-6771-JTGH-B4C1-00000-00&amp;context=" TargetMode="External" /><Relationship Id="rId779" Type="http://schemas.openxmlformats.org/officeDocument/2006/relationships/hyperlink" Target="https://advance.lexis.com/api/document?collection=cases-ca&amp;id=urn:contentItem:5K27-9R71-JWBS-63XR-00000-00&amp;context=" TargetMode="External" /><Relationship Id="rId78" Type="http://schemas.openxmlformats.org/officeDocument/2006/relationships/hyperlink" Target="https://advance.lexis.com/api/document?collection=cases-ca&amp;id=urn:contentItem:5F7T-S7D1-DY89-M3VD-00000-00&amp;context=" TargetMode="External" /><Relationship Id="rId780" Type="http://schemas.openxmlformats.org/officeDocument/2006/relationships/hyperlink" Target="https://advance.lexis.com/api/document?collection=cases-ca&amp;id=urn:contentItem:5F7T-S7N1-DXWW-20C3-00000-00&amp;context=" TargetMode="External" /><Relationship Id="rId781" Type="http://schemas.openxmlformats.org/officeDocument/2006/relationships/hyperlink" Target="https://advance.lexis.com/api/document?collection=cases-ca&amp;id=urn:contentItem:5F7D-TK01-F016-S043-00000-00&amp;context=" TargetMode="External" /><Relationship Id="rId782" Type="http://schemas.openxmlformats.org/officeDocument/2006/relationships/hyperlink" Target="https://advance.lexis.com/api/document?collection=cases-ca&amp;id=urn:contentItem:5F7T-S7M1-F4W2-6257-00000-00&amp;context=" TargetMode="External" /><Relationship Id="rId783" Type="http://schemas.openxmlformats.org/officeDocument/2006/relationships/hyperlink" Target="https://advance.lexis.com/api/document?collection=cases-ca&amp;id=urn:contentItem:5F7T-S7P1-JNJT-B2RD-00000-00&amp;context=" TargetMode="External" /><Relationship Id="rId784" Type="http://schemas.openxmlformats.org/officeDocument/2006/relationships/hyperlink" Target="https://advance.lexis.com/api/document?collection=cases-ca&amp;id=urn:contentItem:5GCK-P9F1-F4NT-X076-00000-00&amp;context=" TargetMode="External" /><Relationship Id="rId785" Type="http://schemas.openxmlformats.org/officeDocument/2006/relationships/hyperlink" Target="https://advance.lexis.com/api/document?collection=cases-ca&amp;id=urn:contentItem:5GCC-XVB1-JGHR-M4CR-00000-00&amp;context=" TargetMode="External" /><Relationship Id="rId786" Type="http://schemas.openxmlformats.org/officeDocument/2006/relationships/hyperlink" Target="https://advance.lexis.com/api/document?collection=cases-ca&amp;id=urn:contentItem:5GPJ-8SK1-F30T-B06H-00000-00&amp;context=" TargetMode="External" /><Relationship Id="rId787" Type="http://schemas.openxmlformats.org/officeDocument/2006/relationships/hyperlink" Target="https://advance.lexis.com/api/document?collection=cases-ca&amp;id=urn:contentItem:5M43-BH51-DXHD-G24M-00000-00&amp;context=" TargetMode="External" /><Relationship Id="rId788" Type="http://schemas.openxmlformats.org/officeDocument/2006/relationships/hyperlink" Target="https://advance.lexis.com/api/document?collection=cases-ca&amp;id=urn:contentItem:5M43-BH51-DXHD-G24N-00000-00&amp;context=" TargetMode="External" /><Relationship Id="rId789" Type="http://schemas.openxmlformats.org/officeDocument/2006/relationships/hyperlink" Target="https://advance.lexis.com/api/document?collection=cases-ca&amp;id=urn:contentItem:5GCC-XVB1-FK0M-S4V7-00000-00&amp;context=" TargetMode="External" /><Relationship Id="rId79" Type="http://schemas.openxmlformats.org/officeDocument/2006/relationships/hyperlink" Target="https://advance.lexis.com/api/document?collection=cases-ca&amp;id=urn:contentItem:5F82-1SF1-F1P7-B42X-00000-00&amp;context=" TargetMode="External" /><Relationship Id="rId790" Type="http://schemas.openxmlformats.org/officeDocument/2006/relationships/hyperlink" Target="https://advance.lexis.com/api/document?collection=cases-ca&amp;id=urn:contentItem:5G7B-1S21-DXWW-20P6-00000-00&amp;context=" TargetMode="External" /><Relationship Id="rId791" Type="http://schemas.openxmlformats.org/officeDocument/2006/relationships/hyperlink" Target="https://advance.lexis.com/api/document?collection=cases-ca&amp;id=urn:contentItem:5G74-N221-F8D9-M0WF-00000-00&amp;context=" TargetMode="External" /><Relationship Id="rId792" Type="http://schemas.openxmlformats.org/officeDocument/2006/relationships/hyperlink" Target="https://advance.lexis.com/api/document?collection=cases-ca&amp;id=urn:contentItem:5K3X-KYT1-F016-S51K-00000-00&amp;context=" TargetMode="External" /><Relationship Id="rId793" Type="http://schemas.openxmlformats.org/officeDocument/2006/relationships/hyperlink" Target="https://advance.lexis.com/api/document?collection=cases-ca&amp;id=urn:contentItem:5F8P-SG11-JJD0-G3G2-00000-00&amp;context=" TargetMode="External" /><Relationship Id="rId794" Type="http://schemas.openxmlformats.org/officeDocument/2006/relationships/hyperlink" Target="https://advance.lexis.com/api/document?collection=cases-ca&amp;id=urn:contentItem:5GCK-P9F1-F4NT-X077-00000-00&amp;context=" TargetMode="External" /><Relationship Id="rId795" Type="http://schemas.openxmlformats.org/officeDocument/2006/relationships/hyperlink" Target="https://advance.lexis.com/api/document?collection=cases-ca&amp;id=urn:contentItem:5F7V-3DM1-JNCK-23CY-00000-00&amp;context=" TargetMode="External" /><Relationship Id="rId796" Type="http://schemas.openxmlformats.org/officeDocument/2006/relationships/hyperlink" Target="https://advance.lexis.com/api/document?collection=cases-ca&amp;id=urn:contentItem:5F7D-TK01-F016-S05M-00000-00&amp;context=" TargetMode="External" /><Relationship Id="rId797" Type="http://schemas.openxmlformats.org/officeDocument/2006/relationships/hyperlink" Target="https://advance.lexis.com/api/document?collection=cases-ca&amp;id=urn:contentItem:5F8P-JN91-F900-G1X4-00000-00&amp;context=" TargetMode="External" /><Relationship Id="rId798" Type="http://schemas.openxmlformats.org/officeDocument/2006/relationships/hyperlink" Target="https://advance.lexis.com/api/document?collection=cases-ca&amp;id=urn:contentItem:5F7D-TK01-F016-S044-00000-00&amp;context=" TargetMode="External" /><Relationship Id="rId799" Type="http://schemas.openxmlformats.org/officeDocument/2006/relationships/header" Target="header115.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V1-JTGH-B19N-00000-00&amp;context=" TargetMode="External" /><Relationship Id="rId800" Type="http://schemas.openxmlformats.org/officeDocument/2006/relationships/header" Target="header116.xml" /><Relationship Id="rId801" Type="http://schemas.openxmlformats.org/officeDocument/2006/relationships/footer" Target="footer115.xml" /><Relationship Id="rId802" Type="http://schemas.openxmlformats.org/officeDocument/2006/relationships/footer" Target="footer116.xml" /><Relationship Id="rId803" Type="http://schemas.openxmlformats.org/officeDocument/2006/relationships/header" Target="header117.xml" /><Relationship Id="rId804" Type="http://schemas.openxmlformats.org/officeDocument/2006/relationships/footer" Target="footer117.xml" /><Relationship Id="rId805" Type="http://schemas.openxmlformats.org/officeDocument/2006/relationships/hyperlink" Target="https://advance.lexis.com/api/document?collection=cases-ca&amp;id=urn:contentItem:5F7T-S7F1-F7VM-S43W-00000-00&amp;context=" TargetMode="External" /><Relationship Id="rId806" Type="http://schemas.openxmlformats.org/officeDocument/2006/relationships/hyperlink" Target="https://advance.lexis.com/api/document?collection=legislation-ca&amp;id=urn:contentItem:5F41-1FH1-F361-M0H9-00000-00&amp;context=" TargetMode="External" /><Relationship Id="rId807" Type="http://schemas.openxmlformats.org/officeDocument/2006/relationships/hyperlink" Target="https://advance.lexis.com/api/document?collection=cases-ca&amp;id=urn:contentItem:5F7T-S701-JBT7-X23F-00000-00&amp;context=" TargetMode="External" /><Relationship Id="rId808" Type="http://schemas.openxmlformats.org/officeDocument/2006/relationships/header" Target="header118.xml" /><Relationship Id="rId809" Type="http://schemas.openxmlformats.org/officeDocument/2006/relationships/header" Target="header119.xml" /><Relationship Id="rId81" Type="http://schemas.openxmlformats.org/officeDocument/2006/relationships/hyperlink" Target="https://advance.lexis.com/api/document?collection=cases-ca&amp;id=urn:contentItem:5F8T-N3V1-JTGH-B1H4-00000-00&amp;context=" TargetMode="External" /><Relationship Id="rId810" Type="http://schemas.openxmlformats.org/officeDocument/2006/relationships/footer" Target="footer118.xml" /><Relationship Id="rId811" Type="http://schemas.openxmlformats.org/officeDocument/2006/relationships/footer" Target="footer119.xml" /><Relationship Id="rId812" Type="http://schemas.openxmlformats.org/officeDocument/2006/relationships/header" Target="header120.xml" /><Relationship Id="rId813" Type="http://schemas.openxmlformats.org/officeDocument/2006/relationships/footer" Target="footer120.xml" /><Relationship Id="rId814" Type="http://schemas.openxmlformats.org/officeDocument/2006/relationships/hyperlink" Target="https://advance.lexis.com/api/document?collection=cases-ca&amp;id=urn:contentItem:5GCC-XVC1-F900-G51X-00000-00&amp;context=" TargetMode="External" /><Relationship Id="rId815" Type="http://schemas.openxmlformats.org/officeDocument/2006/relationships/hyperlink" Target="https://advance.lexis.com/api/document?collection=cases-ca&amp;id=urn:contentItem:5GCC-XVB1-JGHR-M4P4-00000-00&amp;context=" TargetMode="External" /><Relationship Id="rId816" Type="http://schemas.openxmlformats.org/officeDocument/2006/relationships/hyperlink" Target="https://advance.lexis.com/api/document?collection=cases-ca&amp;id=urn:contentItem:5F7T-S7K1-JWXF-20XW-00000-00&amp;context=" TargetMode="External" /><Relationship Id="rId817" Type="http://schemas.openxmlformats.org/officeDocument/2006/relationships/hyperlink" Target="https://advance.lexis.com/api/document?collection=cases-ca&amp;id=urn:contentItem:5F7T-S7C1-F30T-B2JK-00000-00&amp;context=" TargetMode="External" /><Relationship Id="rId818" Type="http://schemas.openxmlformats.org/officeDocument/2006/relationships/hyperlink" Target="https://advance.lexis.com/api/document?collection=cases-ca&amp;id=urn:contentItem:5F7T-S741-DY89-M397-00000-00&amp;context=" TargetMode="External" /><Relationship Id="rId819" Type="http://schemas.openxmlformats.org/officeDocument/2006/relationships/hyperlink" Target="https://advance.lexis.com/api/document?collection=cases-ca&amp;id=urn:contentItem:5F7T-S711-F4W2-619X-00000-00&amp;context=" TargetMode="External" /><Relationship Id="rId82" Type="http://schemas.openxmlformats.org/officeDocument/2006/relationships/hyperlink" Target="https://advance.lexis.com/api/document?collection=cases-ca&amp;id=urn:contentItem:5GB3-MY31-JX3N-B2D7-00000-00&amp;context=" TargetMode="External" /><Relationship Id="rId820" Type="http://schemas.openxmlformats.org/officeDocument/2006/relationships/hyperlink" Target="https://advance.lexis.com/api/document?collection=cases-ca&amp;id=urn:contentItem:5F7T-S7J1-JYYX-623D-00000-00&amp;context=" TargetMode="External" /><Relationship Id="rId821" Type="http://schemas.openxmlformats.org/officeDocument/2006/relationships/hyperlink" Target="https://advance.lexis.com/api/document?collection=cases-ca&amp;id=urn:contentItem:5F7T-S7C1-FCSB-S2KC-00000-00&amp;context=" TargetMode="External" /><Relationship Id="rId822" Type="http://schemas.openxmlformats.org/officeDocument/2006/relationships/hyperlink" Target="https://advance.lexis.com/api/document?collection=cases-ca&amp;id=urn:contentItem:5F7T-S7M1-DYMS-629X-00000-00&amp;context=" TargetMode="External" /><Relationship Id="rId823" Type="http://schemas.openxmlformats.org/officeDocument/2006/relationships/hyperlink" Target="https://advance.lexis.com/api/document?collection=cases-ca&amp;id=urn:contentItem:5F7T-S761-JX8W-M2NR-00000-00&amp;context=" TargetMode="External" /><Relationship Id="rId824" Type="http://schemas.openxmlformats.org/officeDocument/2006/relationships/hyperlink" Target="https://advance.lexis.com/api/document?collection=cases-ca&amp;id=urn:contentItem:5F7T-S6T1-F361-M098-00000-00&amp;context=" TargetMode="External" /><Relationship Id="rId825" Type="http://schemas.openxmlformats.org/officeDocument/2006/relationships/hyperlink" Target="https://advance.lexis.com/api/document?collection=cases-ca&amp;id=urn:contentItem:5GCC-XVB1-JGHR-M479-00000-00&amp;context=" TargetMode="External" /><Relationship Id="rId826" Type="http://schemas.openxmlformats.org/officeDocument/2006/relationships/hyperlink" Target="https://advance.lexis.com/api/document?collection=cases-ca&amp;id=urn:contentItem:5F7T-S701-FJDY-X2D0-00000-00&amp;context=" TargetMode="External" /><Relationship Id="rId827" Type="http://schemas.openxmlformats.org/officeDocument/2006/relationships/hyperlink" Target="https://advance.lexis.com/api/document?collection=cases-ca&amp;id=urn:contentItem:5F7T-S6Y1-F65M-604Y-00000-00&amp;context=" TargetMode="External" /><Relationship Id="rId828" Type="http://schemas.openxmlformats.org/officeDocument/2006/relationships/hyperlink" Target="https://advance.lexis.com/api/document?collection=cases-ca&amp;id=urn:contentItem:5F7T-S701-JK4W-M150-00000-00&amp;context=" TargetMode="External" /><Relationship Id="rId829" Type="http://schemas.openxmlformats.org/officeDocument/2006/relationships/hyperlink" Target="https://advance.lexis.com/api/document?collection=cases-ca&amp;id=urn:contentItem:5F82-1SB1-JPP5-24NX-00000-00&amp;context=" TargetMode="External" /><Relationship Id="rId83" Type="http://schemas.openxmlformats.org/officeDocument/2006/relationships/hyperlink" Target="https://advance.lexis.com/api/document?collection=cases-ca&amp;id=urn:contentItem:5MD0-3211-FCSB-S1J9-00000-00&amp;context=" TargetMode="External" /><Relationship Id="rId830" Type="http://schemas.openxmlformats.org/officeDocument/2006/relationships/hyperlink" Target="https://advance.lexis.com/api/document?collection=cases-ca&amp;id=urn:contentItem:5F7T-S771-JJD0-G13S-00000-00&amp;context=" TargetMode="External" /><Relationship Id="rId831" Type="http://schemas.openxmlformats.org/officeDocument/2006/relationships/hyperlink" Target="https://advance.lexis.com/api/document?collection=cases-ca&amp;id=urn:contentItem:5F7T-S7F1-F7VM-S4FW-00000-00&amp;context=" TargetMode="External" /><Relationship Id="rId832" Type="http://schemas.openxmlformats.org/officeDocument/2006/relationships/hyperlink" Target="https://advance.lexis.com/api/document?collection=cases-ca&amp;id=urn:contentItem:5F7T-S7N1-JC5P-G1Y4-00000-00&amp;context=" TargetMode="External" /><Relationship Id="rId833" Type="http://schemas.openxmlformats.org/officeDocument/2006/relationships/hyperlink" Target="https://advance.lexis.com/api/document?collection=cases-ca&amp;id=urn:contentItem:5F7T-S7P1-JSJC-X1DV-00000-00&amp;context=" TargetMode="External" /><Relationship Id="rId834" Type="http://schemas.openxmlformats.org/officeDocument/2006/relationships/hyperlink" Target="https://advance.lexis.com/api/document?collection=cases-ca&amp;id=urn:contentItem:5F7T-S771-JTGH-B19P-00000-00&amp;context=" TargetMode="External" /><Relationship Id="rId835" Type="http://schemas.openxmlformats.org/officeDocument/2006/relationships/hyperlink" Target="https://advance.lexis.com/api/document?collection=cases-ca&amp;id=urn:contentItem:5F7T-S7K1-F1H1-22JG-00000-00&amp;context=" TargetMode="External" /><Relationship Id="rId836" Type="http://schemas.openxmlformats.org/officeDocument/2006/relationships/hyperlink" Target="https://advance.lexis.com/api/document?collection=cases-ca&amp;id=urn:contentItem:5F7T-S721-FG12-61PF-00000-00&amp;context=" TargetMode="External" /><Relationship Id="rId837" Type="http://schemas.openxmlformats.org/officeDocument/2006/relationships/hyperlink" Target="https://advance.lexis.com/api/document?collection=cases-ca&amp;id=urn:contentItem:5F7T-S751-FJDY-X3YD-00000-00&amp;context=" TargetMode="External" /><Relationship Id="rId838" Type="http://schemas.openxmlformats.org/officeDocument/2006/relationships/hyperlink" Target="https://advance.lexis.com/api/document?collection=cases-ca&amp;id=urn:contentItem:5F81-YGY1-JC0G-64N2-00000-00&amp;context=" TargetMode="External" /><Relationship Id="rId839" Type="http://schemas.openxmlformats.org/officeDocument/2006/relationships/hyperlink" Target="https://advance.lexis.com/api/document?collection=cases-ca&amp;id=urn:contentItem:5F8T-N3R1-JJSF-22YK-00000-00&amp;context=" TargetMode="External" /><Relationship Id="rId84" Type="http://schemas.openxmlformats.org/officeDocument/2006/relationships/header" Target="header7.xml" /><Relationship Id="rId840" Type="http://schemas.openxmlformats.org/officeDocument/2006/relationships/hyperlink" Target="https://advance.lexis.com/api/document?collection=cases-ca&amp;id=urn:contentItem:5F7T-S7C1-JCJ5-20R7-00000-00&amp;context=" TargetMode="External" /><Relationship Id="rId841" Type="http://schemas.openxmlformats.org/officeDocument/2006/relationships/hyperlink" Target="https://advance.lexis.com/api/document?collection=cases-ca&amp;id=urn:contentItem:5F7T-S7H1-F016-S3PK-00000-00&amp;context=" TargetMode="External" /><Relationship Id="rId842" Type="http://schemas.openxmlformats.org/officeDocument/2006/relationships/hyperlink" Target="https://advance.lexis.com/api/document?collection=cases-ca&amp;id=urn:contentItem:5F7T-S6Y1-F4GK-M23C-00000-00&amp;context=" TargetMode="External" /><Relationship Id="rId843" Type="http://schemas.openxmlformats.org/officeDocument/2006/relationships/image" Target="media/image2.jpeg" /><Relationship Id="rId844" Type="http://schemas.openxmlformats.org/officeDocument/2006/relationships/hyperlink" Target="https://advance.lexis.com/api/document?collection=cases-ca&amp;id=urn:contentItem:5F7T-S7P1-JG02-S42X-00000-00&amp;context=" TargetMode="External" /><Relationship Id="rId845" Type="http://schemas.openxmlformats.org/officeDocument/2006/relationships/hyperlink" Target="https://advance.lexis.com/api/document?collection=cases-ca&amp;id=urn:contentItem:5F7T-S7H1-F016-S410-00000-00&amp;context=" TargetMode="External" /><Relationship Id="rId846" Type="http://schemas.openxmlformats.org/officeDocument/2006/relationships/hyperlink" Target="https://advance.lexis.com/api/document?collection=cases-ca&amp;id=urn:contentItem:5F7T-S7N1-JGHR-M3DB-00000-00&amp;context=" TargetMode="External" /><Relationship Id="rId847" Type="http://schemas.openxmlformats.org/officeDocument/2006/relationships/hyperlink" Target="https://advance.lexis.com/api/document?collection=cases-ca&amp;id=urn:contentItem:5F7T-S7N1-JWR6-S2GP-00000-00&amp;context=" TargetMode="External" /><Relationship Id="rId848" Type="http://schemas.openxmlformats.org/officeDocument/2006/relationships/hyperlink" Target="https://advance.lexis.com/api/document?collection=cases-ca&amp;id=urn:contentItem:5F7T-S7P1-F2TK-2376-00000-00&amp;context=" TargetMode="External" /><Relationship Id="rId849" Type="http://schemas.openxmlformats.org/officeDocument/2006/relationships/hyperlink" Target="https://advance.lexis.com/api/document?collection=cases-ca&amp;id=urn:contentItem:5F7T-S7J1-DXWW-24YP-00000-00&amp;context=" TargetMode="External" /><Relationship Id="rId85" Type="http://schemas.openxmlformats.org/officeDocument/2006/relationships/header" Target="header8.xml" /><Relationship Id="rId850" Type="http://schemas.openxmlformats.org/officeDocument/2006/relationships/hyperlink" Target="https://advance.lexis.com/api/document?collection=cases-ca&amp;id=urn:contentItem:5F7T-S7N1-JWR6-S25K-00000-00&amp;context=" TargetMode="External" /><Relationship Id="rId851" Type="http://schemas.openxmlformats.org/officeDocument/2006/relationships/hyperlink" Target="https://advance.lexis.com/api/document?collection=cases-ca&amp;id=urn:contentItem:5F7T-S7C1-F4NT-X44S-00000-00&amp;context=" TargetMode="External" /><Relationship Id="rId852" Type="http://schemas.openxmlformats.org/officeDocument/2006/relationships/hyperlink" Target="https://advance.lexis.com/api/document?collection=cases-ca&amp;id=urn:contentItem:5F7T-S7G1-JNY7-X45D-00000-00&amp;context=" TargetMode="External" /><Relationship Id="rId853" Type="http://schemas.openxmlformats.org/officeDocument/2006/relationships/hyperlink" Target="https://advance.lexis.com/api/document?collection=cases-ca&amp;id=urn:contentItem:5F7T-S7M1-JFSV-G3PK-00000-00&amp;context=" TargetMode="External" /><Relationship Id="rId854" Type="http://schemas.openxmlformats.org/officeDocument/2006/relationships/hyperlink" Target="https://advance.lexis.com/api/document?collection=cases-ca&amp;id=urn:contentItem:5F7T-S7M1-JCRC-B1V5-00000-00&amp;context=" TargetMode="External" /><Relationship Id="rId855" Type="http://schemas.openxmlformats.org/officeDocument/2006/relationships/hyperlink" Target="https://advance.lexis.com/api/document?collection=cases-ca&amp;id=urn:contentItem:5F7T-S7N1-JJ1H-X2WC-00000-00&amp;context=" TargetMode="External" /><Relationship Id="rId856" Type="http://schemas.openxmlformats.org/officeDocument/2006/relationships/hyperlink" Target="https://advance.lexis.com/api/document?collection=cases-ca&amp;id=urn:contentItem:5F7T-S7M1-JNCK-22R0-00000-00&amp;context=" TargetMode="External" /><Relationship Id="rId857" Type="http://schemas.openxmlformats.org/officeDocument/2006/relationships/hyperlink" Target="https://advance.lexis.com/api/document?collection=cases-ca&amp;id=urn:contentItem:5F7T-S7P1-JP4G-61YC-00000-00&amp;context=" TargetMode="External" /><Relationship Id="rId858" Type="http://schemas.openxmlformats.org/officeDocument/2006/relationships/hyperlink" Target="https://advance.lexis.com/api/document?collection=cases-ca&amp;id=urn:contentItem:5F7T-S7P1-JG02-S46D-00000-00&amp;context=" TargetMode="External" /><Relationship Id="rId859" Type="http://schemas.openxmlformats.org/officeDocument/2006/relationships/hyperlink" Target="https://advance.lexis.com/api/document?collection=cases-ca&amp;id=urn:contentItem:5F7T-S7P1-JP4G-61V8-00000-00&amp;context=" TargetMode="External" /><Relationship Id="rId86" Type="http://schemas.openxmlformats.org/officeDocument/2006/relationships/footer" Target="footer7.xml" /><Relationship Id="rId860" Type="http://schemas.openxmlformats.org/officeDocument/2006/relationships/hyperlink" Target="https://advance.lexis.com/api/document?collection=cases-ca&amp;id=urn:contentItem:5F7T-S7P1-JSJC-X1GW-00000-00&amp;context=" TargetMode="External" /><Relationship Id="rId861" Type="http://schemas.openxmlformats.org/officeDocument/2006/relationships/hyperlink" Target="https://advance.lexis.com/api/document?collection=cases-ca&amp;id=urn:contentItem:5F7T-S7G1-JBT7-X4C9-00000-00&amp;context=" TargetMode="External" /><Relationship Id="rId862" Type="http://schemas.openxmlformats.org/officeDocument/2006/relationships/hyperlink" Target="https://advance.lexis.com/api/document?collection=cases-ca&amp;id=urn:contentItem:5F7T-S781-JSC5-M4GD-00000-00&amp;context=" TargetMode="External" /><Relationship Id="rId863" Type="http://schemas.openxmlformats.org/officeDocument/2006/relationships/hyperlink" Target="https://advance.lexis.com/api/document?collection=cases-ca&amp;id=urn:contentItem:5F7T-S7C1-F7VM-S3NW-00000-00&amp;context=" TargetMode="External" /><Relationship Id="rId864" Type="http://schemas.openxmlformats.org/officeDocument/2006/relationships/header" Target="header121.xml" /><Relationship Id="rId865" Type="http://schemas.openxmlformats.org/officeDocument/2006/relationships/header" Target="header122.xml" /><Relationship Id="rId866" Type="http://schemas.openxmlformats.org/officeDocument/2006/relationships/footer" Target="footer121.xml" /><Relationship Id="rId867" Type="http://schemas.openxmlformats.org/officeDocument/2006/relationships/footer" Target="footer122.xml" /><Relationship Id="rId868" Type="http://schemas.openxmlformats.org/officeDocument/2006/relationships/header" Target="header123.xml" /><Relationship Id="rId869" Type="http://schemas.openxmlformats.org/officeDocument/2006/relationships/footer" Target="footer123.xml" /><Relationship Id="rId87" Type="http://schemas.openxmlformats.org/officeDocument/2006/relationships/footer" Target="footer8.xml" /><Relationship Id="rId870" Type="http://schemas.openxmlformats.org/officeDocument/2006/relationships/hyperlink" Target="https://advance.lexis.com/api/document?collection=cases-ca&amp;id=urn:contentItem:5K3Y-46B1-JXG3-X0TV-00000-00&amp;context=" TargetMode="External" /><Relationship Id="rId871" Type="http://schemas.openxmlformats.org/officeDocument/2006/relationships/hyperlink" Target="https://advance.lexis.com/api/document?collection=cases-ca&amp;id=urn:contentItem:5M4R-NNR1-JFDC-X0PF-00000-00&amp;context=" TargetMode="External" /><Relationship Id="rId872" Type="http://schemas.openxmlformats.org/officeDocument/2006/relationships/hyperlink" Target="https://advance.lexis.com/api/document?collection=cases-ca&amp;id=urn:contentItem:5F7T-S7H1-F4GK-M3B1-00000-00&amp;context=" TargetMode="External" /><Relationship Id="rId873" Type="http://schemas.openxmlformats.org/officeDocument/2006/relationships/hyperlink" Target="https://advance.lexis.com/api/document?collection=cases-ca&amp;id=urn:contentItem:5JDH-TJC1-F30T-B0F4-00000-00&amp;context=" TargetMode="External" /><Relationship Id="rId874" Type="http://schemas.openxmlformats.org/officeDocument/2006/relationships/hyperlink" Target="https://advance.lexis.com/api/document?collection=cases-ca&amp;id=urn:contentItem:5F7T-S7F1-JX3N-B1VM-00000-00&amp;context=" TargetMode="External" /><Relationship Id="rId875" Type="http://schemas.openxmlformats.org/officeDocument/2006/relationships/hyperlink" Target="https://advance.lexis.com/api/document?collection=cases-ca&amp;id=urn:contentItem:5F7T-S6W1-JB7K-21C6-00000-00&amp;context=" TargetMode="External" /><Relationship Id="rId876" Type="http://schemas.openxmlformats.org/officeDocument/2006/relationships/hyperlink" Target="https://advance.lexis.com/api/document?collection=cases-ca&amp;id=urn:contentItem:5F7T-S7N1-JJ1H-X31K-00000-00&amp;context=" TargetMode="External" /><Relationship Id="rId877" Type="http://schemas.openxmlformats.org/officeDocument/2006/relationships/hyperlink" Target="https://advance.lexis.com/api/document?collection=cases-ca&amp;id=urn:contentItem:5F7T-S781-F06F-23N7-00000-00&amp;context=" TargetMode="External" /><Relationship Id="rId878" Type="http://schemas.openxmlformats.org/officeDocument/2006/relationships/hyperlink" Target="https://advance.lexis.com/api/document?collection=cases-ca&amp;id=urn:contentItem:5F7T-S7B1-FH4C-X381-00000-00&amp;context=" TargetMode="External" /><Relationship Id="rId879" Type="http://schemas.openxmlformats.org/officeDocument/2006/relationships/hyperlink" Target="https://advance.lexis.com/api/document?collection=cases-ca&amp;id=urn:contentItem:5G6C-VP51-F7VM-S0N2-00000-00&amp;context=" TargetMode="External" /><Relationship Id="rId88" Type="http://schemas.openxmlformats.org/officeDocument/2006/relationships/header" Target="header9.xml" /><Relationship Id="rId880" Type="http://schemas.openxmlformats.org/officeDocument/2006/relationships/hyperlink" Target="https://advance.lexis.com/api/document?collection=cases-ca&amp;id=urn:contentItem:5F7T-S7M1-JFSV-G3BS-00000-00&amp;context=" TargetMode="External" /><Relationship Id="rId881" Type="http://schemas.openxmlformats.org/officeDocument/2006/relationships/hyperlink" Target="https://advance.lexis.com/api/document?collection=cases-ca&amp;id=urn:contentItem:5GCC-XVB1-JGHR-M49R-00000-00&amp;context=" TargetMode="External" /><Relationship Id="rId882" Type="http://schemas.openxmlformats.org/officeDocument/2006/relationships/hyperlink" Target="https://advance.lexis.com/api/document?collection=cases-ca&amp;id=urn:contentItem:5F7T-S7P1-JSJC-X1MC-00000-00&amp;context=" TargetMode="External" /><Relationship Id="rId883" Type="http://schemas.openxmlformats.org/officeDocument/2006/relationships/hyperlink" Target="https://advance.lexis.com/api/document?collection=cases-ca&amp;id=urn:contentItem:5F7T-S7D1-F7ND-G0MH-00000-00&amp;context=" TargetMode="External" /><Relationship Id="rId884" Type="http://schemas.openxmlformats.org/officeDocument/2006/relationships/hyperlink" Target="https://advance.lexis.com/api/document?collection=cases-ca&amp;id=urn:contentItem:5F7T-S7P1-JP4G-620F-00000-00&amp;context=" TargetMode="External" /><Relationship Id="rId885" Type="http://schemas.openxmlformats.org/officeDocument/2006/relationships/image" Target="media/image3.png" /><Relationship Id="rId886" Type="http://schemas.openxmlformats.org/officeDocument/2006/relationships/hyperlink" Target="https://advance.lexis.com/api/document?collection=cases-ca&amp;id=urn:contentItem:5F7T-S7P1-JSJC-X1F1-00000-00&amp;context=" TargetMode="External" /><Relationship Id="rId887" Type="http://schemas.openxmlformats.org/officeDocument/2006/relationships/hyperlink" Target="https://advance.lexis.com/api/document?collection=cases-ca&amp;id=urn:contentItem:5F7T-S731-FFFC-B0K2-00000-00&amp;context=" TargetMode="External" /><Relationship Id="rId888" Type="http://schemas.openxmlformats.org/officeDocument/2006/relationships/hyperlink" Target="https://advance.lexis.com/api/document?collection=cases-ca&amp;id=urn:contentItem:5JW3-TKC1-JGPY-X4PG-00000-00&amp;context=" TargetMode="External" /><Relationship Id="rId889" Type="http://schemas.openxmlformats.org/officeDocument/2006/relationships/hyperlink" Target="https://advance.lexis.com/api/document?collection=cases-ca&amp;id=urn:contentItem:5F7T-S7N1-F06F-24BC-00000-00&amp;context=" TargetMode="External" /><Relationship Id="rId89" Type="http://schemas.openxmlformats.org/officeDocument/2006/relationships/footer" Target="footer9.xml" /><Relationship Id="rId890" Type="http://schemas.openxmlformats.org/officeDocument/2006/relationships/hyperlink" Target="https://advance.lexis.com/api/document?collection=cases-ca&amp;id=urn:contentItem:5F7T-S7N1-JC5P-G2DS-00000-00&amp;context=" TargetMode="External" /><Relationship Id="rId891" Type="http://schemas.openxmlformats.org/officeDocument/2006/relationships/hyperlink" Target="https://advance.lexis.com/api/document?collection=cases-ca&amp;id=urn:contentItem:5F7T-S7K1-JWXF-213Y-00000-00&amp;context=" TargetMode="External" /><Relationship Id="rId892" Type="http://schemas.openxmlformats.org/officeDocument/2006/relationships/hyperlink" Target="https://advance.lexis.com/api/document?collection=cases-ca&amp;id=urn:contentItem:5F7T-S7M1-JFSV-G3G5-00000-00&amp;context=" TargetMode="External" /><Relationship Id="rId893" Type="http://schemas.openxmlformats.org/officeDocument/2006/relationships/hyperlink" Target="https://advance.lexis.com/api/document?collection=cases-ca&amp;id=urn:contentItem:5F7T-S7P1-JSJC-X1VJ-00000-00&amp;context=" TargetMode="External" /><Relationship Id="rId894" Type="http://schemas.openxmlformats.org/officeDocument/2006/relationships/header" Target="header124.xml" /><Relationship Id="rId895" Type="http://schemas.openxmlformats.org/officeDocument/2006/relationships/header" Target="header125.xml" /><Relationship Id="rId896" Type="http://schemas.openxmlformats.org/officeDocument/2006/relationships/footer" Target="footer124.xml" /><Relationship Id="rId897" Type="http://schemas.openxmlformats.org/officeDocument/2006/relationships/footer" Target="footer125.xml" /><Relationship Id="rId898" Type="http://schemas.openxmlformats.org/officeDocument/2006/relationships/header" Target="header126.xml" /><Relationship Id="rId899" Type="http://schemas.openxmlformats.org/officeDocument/2006/relationships/footer" Target="footer126.xml" /><Relationship Id="rId9" Type="http://schemas.openxmlformats.org/officeDocument/2006/relationships/footer" Target="footer3.xml" /><Relationship Id="rId90" Type="http://schemas.openxmlformats.org/officeDocument/2006/relationships/hyperlink" Target="https://advance.lexis.com/api/document?collection=cases-ca&amp;id=urn:contentItem:5H01-8H81-JB7K-226R-00000-00&amp;context=" TargetMode="External" /><Relationship Id="rId900" Type="http://schemas.openxmlformats.org/officeDocument/2006/relationships/hyperlink" Target="https://advance.lexis.com/api/document?collection=cases-ca&amp;id=urn:contentItem:5F7T-S7P1-JBDT-B15H-00000-00&amp;context=" TargetMode="External" /><Relationship Id="rId901" Type="http://schemas.openxmlformats.org/officeDocument/2006/relationships/hyperlink" Target="https://advance.lexis.com/api/document?collection=legislation-ca&amp;id=urn:contentItem:5F41-1FH1-F361-M0F5-00000-00&amp;context=" TargetMode="External" /><Relationship Id="rId902" Type="http://schemas.openxmlformats.org/officeDocument/2006/relationships/hyperlink" Target="https://advance.lexis.com/api/document?collection=cases-ca&amp;id=urn:contentItem:5F7T-S6R1-JF75-M28S-00000-00&amp;context=" TargetMode="External" /><Relationship Id="rId903" Type="http://schemas.openxmlformats.org/officeDocument/2006/relationships/hyperlink" Target="https://advance.lexis.com/api/document?collection=cases-ca&amp;id=urn:contentItem:5F7T-S711-JG02-S1F6-00000-00&amp;context=" TargetMode="External" /><Relationship Id="rId904" Type="http://schemas.openxmlformats.org/officeDocument/2006/relationships/hyperlink" Target="https://advance.lexis.com/api/document?collection=cases-ca&amp;id=urn:contentItem:5F7T-S741-DY89-M3BS-00000-00&amp;context=" TargetMode="External" /><Relationship Id="rId905" Type="http://schemas.openxmlformats.org/officeDocument/2006/relationships/hyperlink" Target="https://advance.lexis.com/api/document?collection=cases-ca&amp;id=urn:contentItem:5F7T-S6W1-JYYX-61N3-00000-00&amp;context=" TargetMode="External" /><Relationship Id="rId906" Type="http://schemas.openxmlformats.org/officeDocument/2006/relationships/hyperlink" Target="https://advance.lexis.com/api/document?collection=cases-ca&amp;id=urn:contentItem:5F7T-S7M1-DYMS-6275-00000-00&amp;context=" TargetMode="External" /><Relationship Id="rId907" Type="http://schemas.openxmlformats.org/officeDocument/2006/relationships/hyperlink" Target="https://advance.lexis.com/api/document?collection=cases-ca&amp;id=urn:contentItem:5F7T-S7H1-F016-S3Y1-00000-00&amp;context=" TargetMode="External" /><Relationship Id="rId908" Type="http://schemas.openxmlformats.org/officeDocument/2006/relationships/hyperlink" Target="https://advance.lexis.com/api/document?collection=cases-ca&amp;id=urn:contentItem:5F7T-S7H1-F4GK-M33F-00000-00&amp;context=" TargetMode="External" /><Relationship Id="rId909" Type="http://schemas.openxmlformats.org/officeDocument/2006/relationships/hyperlink" Target="https://advance.lexis.com/api/document?collection=cases-ca&amp;id=urn:contentItem:5F7T-S7M1-F4W2-62JD-00000-00&amp;context=" TargetMode="External" /><Relationship Id="rId91" Type="http://schemas.openxmlformats.org/officeDocument/2006/relationships/hyperlink" Target="https://advance.lexis.com/api/document?collection=legislation-ca&amp;id=urn:contentItem:5YJS-1SK1-JKHB-6001-00000-00&amp;context=" TargetMode="External" /><Relationship Id="rId910" Type="http://schemas.openxmlformats.org/officeDocument/2006/relationships/hyperlink" Target="https://advance.lexis.com/api/document?collection=cases-ca&amp;id=urn:contentItem:5F7T-S7F1-DXWW-23K0-00000-00&amp;context=" TargetMode="External" /><Relationship Id="rId911" Type="http://schemas.openxmlformats.org/officeDocument/2006/relationships/hyperlink" Target="https://advance.lexis.com/api/document?collection=cases-ca&amp;id=urn:contentItem:5F7T-S7D1-FCSB-S2NW-00000-00&amp;context=" TargetMode="External" /><Relationship Id="rId912" Type="http://schemas.openxmlformats.org/officeDocument/2006/relationships/hyperlink" Target="https://advance.lexis.com/api/document?collection=cases-ca&amp;id=urn:contentItem:5F7T-S7H1-JS5Y-B2RX-00000-00&amp;context=" TargetMode="External" /><Relationship Id="rId913" Type="http://schemas.openxmlformats.org/officeDocument/2006/relationships/hyperlink" Target="https://advance.lexis.com/api/document?collection=cases-ca&amp;id=urn:contentItem:5F7T-S7K1-JWXF-20RM-00000-00&amp;context=" TargetMode="External" /><Relationship Id="rId914" Type="http://schemas.openxmlformats.org/officeDocument/2006/relationships/hyperlink" Target="https://advance.lexis.com/api/document?collection=cases-ca&amp;id=urn:contentItem:5F7T-S7K1-F1H1-2211-00000-00&amp;context=" TargetMode="External" /><Relationship Id="rId915" Type="http://schemas.openxmlformats.org/officeDocument/2006/relationships/hyperlink" Target="https://advance.lexis.com/api/document?collection=cases-ca&amp;id=urn:contentItem:5F7T-S7H1-F016-S3VR-00000-00&amp;context=" TargetMode="External" /><Relationship Id="rId916" Type="http://schemas.openxmlformats.org/officeDocument/2006/relationships/hyperlink" Target="https://advance.lexis.com/api/document?collection=cases-ca&amp;id=urn:contentItem:5F7T-S741-DXPM-S0V3-00000-00&amp;context=" TargetMode="External" /><Relationship Id="rId917" Type="http://schemas.openxmlformats.org/officeDocument/2006/relationships/hyperlink" Target="https://advance.lexis.com/api/document?collection=cases-ca&amp;id=urn:contentItem:5F7T-S781-F900-G16P-00000-00&amp;context=" TargetMode="External" /><Relationship Id="rId918" Type="http://schemas.openxmlformats.org/officeDocument/2006/relationships/hyperlink" Target="https://advance.lexis.com/api/document?collection=cases-ca&amp;id=urn:contentItem:5F7T-S771-F361-M1WV-00000-00&amp;context=" TargetMode="External" /><Relationship Id="rId919" Type="http://schemas.openxmlformats.org/officeDocument/2006/relationships/hyperlink" Target="https://advance.lexis.com/api/document?collection=cases-ca&amp;id=urn:contentItem:5F7T-S7F1-FFFC-B1NS-00000-00&amp;context=" TargetMode="External" /><Relationship Id="rId92" Type="http://schemas.openxmlformats.org/officeDocument/2006/relationships/hyperlink" Target="https://advance.lexis.com/api/document?collection=legislation-ca&amp;id=urn:contentItem:5F41-1FG1-FC1F-M0TW-00000-00&amp;context=" TargetMode="External" /><Relationship Id="rId920" Type="http://schemas.openxmlformats.org/officeDocument/2006/relationships/hyperlink" Target="https://advance.lexis.com/api/document?collection=cases-ca&amp;id=urn:contentItem:5F7T-S7C1-F7VM-S3KT-00000-00&amp;context=" TargetMode="External" /><Relationship Id="rId921" Type="http://schemas.openxmlformats.org/officeDocument/2006/relationships/hyperlink" Target="https://advance.lexis.com/api/document?collection=cases-ca&amp;id=urn:contentItem:5F7T-S7M1-JCRC-B1PS-00000-00&amp;context=" TargetMode="External" /><Relationship Id="rId922" Type="http://schemas.openxmlformats.org/officeDocument/2006/relationships/hyperlink" Target="https://advance.lexis.com/api/document?collection=cases-ca&amp;id=urn:contentItem:5F7T-S7K1-JNY7-X4BX-00000-00&amp;context=" TargetMode="External" /><Relationship Id="rId923" Type="http://schemas.openxmlformats.org/officeDocument/2006/relationships/hyperlink" Target="https://advance.lexis.com/api/document?collection=cases-ca&amp;id=urn:contentItem:5F7T-S6W1-JB7K-21HK-00000-00&amp;context=" TargetMode="External" /><Relationship Id="rId924" Type="http://schemas.openxmlformats.org/officeDocument/2006/relationships/header" Target="header127.xml" /><Relationship Id="rId925" Type="http://schemas.openxmlformats.org/officeDocument/2006/relationships/header" Target="header128.xml" /><Relationship Id="rId926" Type="http://schemas.openxmlformats.org/officeDocument/2006/relationships/footer" Target="footer127.xml" /><Relationship Id="rId927" Type="http://schemas.openxmlformats.org/officeDocument/2006/relationships/footer" Target="footer128.xml" /><Relationship Id="rId928" Type="http://schemas.openxmlformats.org/officeDocument/2006/relationships/header" Target="header129.xml" /><Relationship Id="rId929" Type="http://schemas.openxmlformats.org/officeDocument/2006/relationships/footer" Target="footer129.xml" /><Relationship Id="rId93" Type="http://schemas.openxmlformats.org/officeDocument/2006/relationships/hyperlink" Target="https://advance.lexis.com/api/document?collection=cases-ca&amp;id=urn:contentItem:5F7T-S7F1-JBT7-X2MB-00000-00&amp;context=" TargetMode="External" /><Relationship Id="rId930" Type="http://schemas.openxmlformats.org/officeDocument/2006/relationships/hyperlink" Target="https://advance.lexis.com/api/document?collection=cases-ca&amp;id=urn:contentItem:5GCC-XVB1-JSXV-G0GF-00000-00&amp;context=" TargetMode="External" /><Relationship Id="rId931" Type="http://schemas.openxmlformats.org/officeDocument/2006/relationships/hyperlink" Target="https://advance.lexis.com/api/document?collection=legislation-ca&amp;id=urn:contentItem:5VYK-S261-FCCX-643P-00000-00&amp;context=" TargetMode="External" /><Relationship Id="rId932" Type="http://schemas.openxmlformats.org/officeDocument/2006/relationships/hyperlink" Target="https://advance.lexis.com/api/document?collection=legislation-ca&amp;id=urn:contentItem:5GFR-DHD1-DXWW-241F-00000-00&amp;context=" TargetMode="External" /><Relationship Id="rId933" Type="http://schemas.openxmlformats.org/officeDocument/2006/relationships/hyperlink" Target="https://advance.lexis.com/api/document?collection=legislation-ca&amp;id=urn:contentItem:5VYJ-7CJ1-JN14-G4YM-00000-00&amp;context=" TargetMode="External" /><Relationship Id="rId934" Type="http://schemas.openxmlformats.org/officeDocument/2006/relationships/hyperlink" Target="https://advance.lexis.com/api/document?collection=legislation-ca&amp;id=urn:contentItem:5F41-1FJ1-F5KY-B22P-00000-00&amp;context=" TargetMode="External" /><Relationship Id="rId935" Type="http://schemas.openxmlformats.org/officeDocument/2006/relationships/hyperlink" Target="https://advance.lexis.com/api/document?collection=legislation-ca&amp;id=urn:contentItem:5F9J-MWH1-JKB3-X3WJ-00000-00&amp;context=" TargetMode="External" /><Relationship Id="rId936" Type="http://schemas.openxmlformats.org/officeDocument/2006/relationships/hyperlink" Target="https://advance.lexis.com/api/document?collection=legislation-ca&amp;id=urn:contentItem:5VYC-W1N1-DXPM-S1TH-00000-00&amp;context=" TargetMode="External" /><Relationship Id="rId937" Type="http://schemas.openxmlformats.org/officeDocument/2006/relationships/hyperlink" Target="https://advance.lexis.com/api/document?collection=legislation-ca&amp;id=urn:contentItem:5F3B-BB41-JYYX-60S1-00000-00&amp;context=" TargetMode="External" /><Relationship Id="rId938" Type="http://schemas.openxmlformats.org/officeDocument/2006/relationships/hyperlink" Target="https://advance.lexis.com/api/document?collection=legislation-ca&amp;id=urn:contentItem:5F41-1FJ1-F5KY-B1KS-00000-00&amp;context=" TargetMode="External" /><Relationship Id="rId939" Type="http://schemas.openxmlformats.org/officeDocument/2006/relationships/hyperlink" Target="https://advance.lexis.com/api/document?collection=legislation-ca&amp;id=urn:contentItem:5F3B-BBF1-F8KH-X291-00000-00&amp;context=" TargetMode="External" /><Relationship Id="rId94" Type="http://schemas.openxmlformats.org/officeDocument/2006/relationships/hyperlink" Target="https://advance.lexis.com/api/document?collection=cases-ca&amp;id=urn:contentItem:5F7T-S7H1-JS5Y-B2TC-00000-00&amp;context=" TargetMode="External" /><Relationship Id="rId940" Type="http://schemas.openxmlformats.org/officeDocument/2006/relationships/hyperlink" Target="https://advance.lexis.com/api/document?collection=legislation-ca&amp;id=urn:contentItem:5VYK-TBV1-FBN1-24KY-00000-00&amp;context=" TargetMode="External" /><Relationship Id="rId941" Type="http://schemas.openxmlformats.org/officeDocument/2006/relationships/image" Target="media/image4.png" /><Relationship Id="rId942" Type="http://schemas.openxmlformats.org/officeDocument/2006/relationships/hyperlink" Target="https://advance.lexis.com/api/document?collection=cases-ca&amp;id=urn:contentItem:5F7T-S7P1-JNJT-B2P3-00000-00&amp;context=" TargetMode="External" /><Relationship Id="rId943" Type="http://schemas.openxmlformats.org/officeDocument/2006/relationships/hyperlink" Target="https://advance.lexis.com/api/document?collection=cases-ca&amp;id=urn:contentItem:5F7T-S7N1-F06F-24CF-00000-00&amp;context=" TargetMode="External" /><Relationship Id="rId944" Type="http://schemas.openxmlformats.org/officeDocument/2006/relationships/hyperlink" Target="https://advance.lexis.com/api/document?collection=cases-ca&amp;id=urn:contentItem:5F8T-N3V1-FH4C-X247-00000-00&amp;context=" TargetMode="External" /><Relationship Id="rId945" Type="http://schemas.openxmlformats.org/officeDocument/2006/relationships/hyperlink" Target="https://advance.lexis.com/api/document?collection=cases-ca&amp;id=urn:contentItem:5F7T-S7D1-JS5Y-B2D4-00000-00&amp;context=" TargetMode="External" /><Relationship Id="rId946" Type="http://schemas.openxmlformats.org/officeDocument/2006/relationships/hyperlink" Target="https://advance.lexis.com/api/document?collection=cases-ca&amp;id=urn:contentItem:5F7T-S7F1-JFKM-61VX-00000-00&amp;context=" TargetMode="External" /><Relationship Id="rId947" Type="http://schemas.openxmlformats.org/officeDocument/2006/relationships/hyperlink" Target="https://advance.lexis.com/api/document?collection=cases-ca&amp;id=urn:contentItem:5F7T-S7K1-JKHB-635J-00000-00&amp;context=" TargetMode="External" /><Relationship Id="rId948" Type="http://schemas.openxmlformats.org/officeDocument/2006/relationships/hyperlink" Target="https://advance.lexis.com/api/document?collection=cases-ca&amp;id=urn:contentItem:5F7T-S771-JJD0-G1DB-00000-00&amp;context=" TargetMode="External" /><Relationship Id="rId949" Type="http://schemas.openxmlformats.org/officeDocument/2006/relationships/hyperlink" Target="https://advance.lexis.com/api/document?collection=legislation-ca&amp;id=urn:contentItem:5VYK-WB61-F22N-X4VP-00000-00&amp;context=" TargetMode="External" /><Relationship Id="rId95" Type="http://schemas.openxmlformats.org/officeDocument/2006/relationships/hyperlink" Target="https://advance.lexis.com/api/document?collection=cases-ca&amp;id=urn:contentItem:5F7T-S6Y1-FJDY-X23K-00000-00&amp;context=" TargetMode="External" /><Relationship Id="rId950" Type="http://schemas.openxmlformats.org/officeDocument/2006/relationships/hyperlink" Target="https://advance.lexis.com/api/document?collection=cases-ca&amp;id=urn:contentItem:5F7T-S7K1-JKHB-631H-00000-00&amp;context=" TargetMode="External" /><Relationship Id="rId951" Type="http://schemas.openxmlformats.org/officeDocument/2006/relationships/hyperlink" Target="https://advance.lexis.com/api/document?collection=cases-ca&amp;id=urn:contentItem:5F7T-S7M1-JNCK-22T8-00000-00&amp;context=" TargetMode="External" /><Relationship Id="rId952" Type="http://schemas.openxmlformats.org/officeDocument/2006/relationships/hyperlink" Target="https://advance.lexis.com/api/document?collection=cases-ca&amp;id=urn:contentItem:5F7T-S7P1-JCRC-B221-00000-00&amp;context=" TargetMode="External" /><Relationship Id="rId953" Type="http://schemas.openxmlformats.org/officeDocument/2006/relationships/hyperlink" Target="https://advance.lexis.com/api/document?collection=cases-ca&amp;id=urn:contentItem:5F7T-S7D1-FCSB-S2X8-00000-00&amp;context=" TargetMode="External" /><Relationship Id="rId954" Type="http://schemas.openxmlformats.org/officeDocument/2006/relationships/hyperlink" Target="https://advance.lexis.com/api/document?collection=cases-ca&amp;id=urn:contentItem:5F81-VJY1-JPGX-S4PK-00000-00&amp;context=" TargetMode="External" /><Relationship Id="rId955" Type="http://schemas.openxmlformats.org/officeDocument/2006/relationships/hyperlink" Target="https://advance.lexis.com/api/document?collection=legislation-ca&amp;id=urn:contentItem:5YK3-17D1-FC1F-M0G4-00000-00&amp;context=" TargetMode="External" /><Relationship Id="rId956" Type="http://schemas.openxmlformats.org/officeDocument/2006/relationships/hyperlink" Target="https://advance.lexis.com/api/document?collection=legislation-ca&amp;id=urn:contentItem:5VYK-WB41-FGY5-M03R-00000-00&amp;context=" TargetMode="External" /><Relationship Id="rId957" Type="http://schemas.openxmlformats.org/officeDocument/2006/relationships/hyperlink" Target="https://advance.lexis.com/api/document?collection=cases-ca&amp;id=urn:contentItem:5F7T-S711-FJDY-X30K-00000-00&amp;context=" TargetMode="External" /><Relationship Id="rId958" Type="http://schemas.openxmlformats.org/officeDocument/2006/relationships/hyperlink" Target="https://advance.lexis.com/api/document?collection=cases-ca&amp;id=urn:contentItem:5F7T-S7P1-JSJC-X1CY-00000-00&amp;context=" TargetMode="External" /><Relationship Id="rId959" Type="http://schemas.openxmlformats.org/officeDocument/2006/relationships/hyperlink" Target="https://advance.lexis.com/api/document?collection=cases-ca&amp;id=urn:contentItem:5F7T-S7P1-JP4G-61XK-00000-00&amp;context=" TargetMode="External" /><Relationship Id="rId96" Type="http://schemas.openxmlformats.org/officeDocument/2006/relationships/hyperlink" Target="https://advance.lexis.com/api/document?collection=cases-ca&amp;id=urn:contentItem:5F7T-S7N1-JGHR-M38N-00000-00&amp;context=" TargetMode="External" /><Relationship Id="rId960" Type="http://schemas.openxmlformats.org/officeDocument/2006/relationships/hyperlink" Target="https://advance.lexis.com/api/document?collection=cases-ca&amp;id=urn:contentItem:5F8T-N3V1-FH4C-X248-00000-00&amp;context=" TargetMode="External" /><Relationship Id="rId961" Type="http://schemas.openxmlformats.org/officeDocument/2006/relationships/hyperlink" Target="https://advance.lexis.com/api/document?collection=cases-ca&amp;id=urn:contentItem:5F7T-S7K1-F1H1-221P-00000-00&amp;context=" TargetMode="External" /><Relationship Id="rId962" Type="http://schemas.openxmlformats.org/officeDocument/2006/relationships/hyperlink" Target="https://advance.lexis.com/api/document?collection=cases-ca&amp;id=urn:contentItem:5F7T-S7M1-JCRC-B19V-00000-00&amp;context=" TargetMode="External" /><Relationship Id="rId963" Type="http://schemas.openxmlformats.org/officeDocument/2006/relationships/hyperlink" Target="https://advance.lexis.com/api/document?collection=cases-ca&amp;id=urn:contentItem:5F81-VJY1-F016-S2F1-00000-00&amp;context=" TargetMode="External" /><Relationship Id="rId964" Type="http://schemas.openxmlformats.org/officeDocument/2006/relationships/hyperlink" Target="https://advance.lexis.com/api/document?collection=cases-ca&amp;id=urn:contentItem:5F81-VJX1-FCK4-G1C7-00000-00&amp;context=" TargetMode="External" /><Relationship Id="rId965" Type="http://schemas.openxmlformats.org/officeDocument/2006/relationships/hyperlink" Target="https://advance.lexis.com/api/document?collection=cases-ca&amp;id=urn:contentItem:5F8T-N3V1-FH4C-X24V-00000-00&amp;context=" TargetMode="External" /><Relationship Id="rId966" Type="http://schemas.openxmlformats.org/officeDocument/2006/relationships/hyperlink" Target="https://advance.lexis.com/api/document?collection=cases-ca&amp;id=urn:contentItem:5F7T-S7H1-FCSB-S3JP-00000-00&amp;context=" TargetMode="External" /><Relationship Id="rId967" Type="http://schemas.openxmlformats.org/officeDocument/2006/relationships/hyperlink" Target="https://advance.lexis.com/api/document?collection=cases-ca&amp;id=urn:contentItem:5F7T-S7D1-F7ND-G070-00000-00&amp;context=" TargetMode="External" /><Relationship Id="rId968" Type="http://schemas.openxmlformats.org/officeDocument/2006/relationships/hyperlink" Target="https://advance.lexis.com/api/document?collection=cases-ca&amp;id=urn:contentItem:5F7T-S7K1-JNY7-X4KC-00000-00&amp;context=" TargetMode="External" /><Relationship Id="rId969" Type="http://schemas.openxmlformats.org/officeDocument/2006/relationships/header" Target="header130.xml" /><Relationship Id="rId97" Type="http://schemas.openxmlformats.org/officeDocument/2006/relationships/hyperlink" Target="https://advance.lexis.com/api/document?collection=cases-ca&amp;id=urn:contentItem:5F7T-S7H1-JFSV-G34D-00000-00&amp;context=" TargetMode="External" /><Relationship Id="rId970" Type="http://schemas.openxmlformats.org/officeDocument/2006/relationships/header" Target="header131.xml" /><Relationship Id="rId971" Type="http://schemas.openxmlformats.org/officeDocument/2006/relationships/footer" Target="footer130.xml" /><Relationship Id="rId972" Type="http://schemas.openxmlformats.org/officeDocument/2006/relationships/footer" Target="footer131.xml" /><Relationship Id="rId973" Type="http://schemas.openxmlformats.org/officeDocument/2006/relationships/header" Target="header132.xml" /><Relationship Id="rId974" Type="http://schemas.openxmlformats.org/officeDocument/2006/relationships/footer" Target="footer132.xml" /><Relationship Id="rId975" Type="http://schemas.openxmlformats.org/officeDocument/2006/relationships/hyperlink" Target="https://advance.lexis.com/api/document?collection=cases-ca&amp;id=urn:contentItem:5V9P-82W1-DY89-M0KF-00000-00&amp;context=" TargetMode="External" /><Relationship Id="rId976" Type="http://schemas.openxmlformats.org/officeDocument/2006/relationships/hyperlink" Target="https://advance.lexis.com/api/document?collection=legislation-ca&amp;id=urn:contentItem:5F41-1FM1-JCBX-S1FW-00000-00&amp;context=" TargetMode="External" /><Relationship Id="rId977" Type="http://schemas.openxmlformats.org/officeDocument/2006/relationships/hyperlink" Target="https://advance.lexis.com/api/document?collection=legislation-ca&amp;id=urn:contentItem:5F41-1FJ1-JBDT-B068-00000-00&amp;context=" TargetMode="External" /><Relationship Id="rId978" Type="http://schemas.openxmlformats.org/officeDocument/2006/relationships/hyperlink" Target="https://advance.lexis.com/api/document?collection=cases-ca&amp;id=urn:contentItem:5RGS-CBH1-F1WF-M4W8-00000-00&amp;context=" TargetMode="External" /><Relationship Id="rId979" Type="http://schemas.openxmlformats.org/officeDocument/2006/relationships/hyperlink" Target="https://advance.lexis.com/api/document?collection=cases-ca&amp;id=urn:contentItem:5F7T-S7H1-JS5Y-B36T-00000-00&amp;context=" TargetMode="External" /><Relationship Id="rId98" Type="http://schemas.openxmlformats.org/officeDocument/2006/relationships/hyperlink" Target="https://advance.lexis.com/api/document?collection=cases-ca&amp;id=urn:contentItem:5F7T-S6Y1-JNY7-X2P3-00000-00&amp;context=" TargetMode="External" /><Relationship Id="rId980" Type="http://schemas.openxmlformats.org/officeDocument/2006/relationships/hyperlink" Target="https://advance.lexis.com/api/document?collection=cases-ca&amp;id=urn:contentItem:5F7T-S6P1-F30T-B1TC-00000-00&amp;context=" TargetMode="External" /><Relationship Id="rId981" Type="http://schemas.openxmlformats.org/officeDocument/2006/relationships/hyperlink" Target="https://advance.lexis.com/api/document?collection=cases-ca&amp;id=urn:contentItem:5F81-VJS1-JNY7-X38K-00000-00&amp;context=" TargetMode="External" /><Relationship Id="rId982" Type="http://schemas.openxmlformats.org/officeDocument/2006/relationships/hyperlink" Target="https://advance.lexis.com/api/document?collection=cases-ca&amp;id=urn:contentItem:5F7H-KW71-F7ND-G0D3-00000-00&amp;context=" TargetMode="External" /><Relationship Id="rId983" Type="http://schemas.openxmlformats.org/officeDocument/2006/relationships/hyperlink" Target="https://advance.lexis.com/api/document?collection=cases-ca&amp;id=urn:contentItem:5F7T-S7B1-FH4C-X37M-00000-00&amp;context=" TargetMode="External" /><Relationship Id="rId984" Type="http://schemas.openxmlformats.org/officeDocument/2006/relationships/hyperlink" Target="https://advance.lexis.com/api/document?collection=cases-ca&amp;id=urn:contentItem:5F8T-N3V1-FC1F-M4CP-00000-00&amp;context=" TargetMode="External" /><Relationship Id="rId985" Type="http://schemas.openxmlformats.org/officeDocument/2006/relationships/hyperlink" Target="https://advance.lexis.com/api/document?collection=cases-ca&amp;id=urn:contentItem:5F7T-S7J1-FGCG-S07H-00000-00&amp;context=" TargetMode="External" /><Relationship Id="rId986" Type="http://schemas.openxmlformats.org/officeDocument/2006/relationships/hyperlink" Target="https://advance.lexis.com/api/document?collection=cases-ca&amp;id=urn:contentItem:5F7T-S721-F5T5-M278-00000-00&amp;context=" TargetMode="External" /><Relationship Id="rId987" Type="http://schemas.openxmlformats.org/officeDocument/2006/relationships/hyperlink" Target="https://advance.lexis.com/api/document?collection=cases-ca&amp;id=urn:contentItem:5F7T-S7M1-JJK6-S1VM-00000-00&amp;context=" TargetMode="External" /><Relationship Id="rId988" Type="http://schemas.openxmlformats.org/officeDocument/2006/relationships/hyperlink" Target="https://advance.lexis.com/api/document?collection=cases-ca&amp;id=urn:contentItem:5F7T-S7C1-JXG3-X0FS-00000-00&amp;context=" TargetMode="External" /><Relationship Id="rId989" Type="http://schemas.openxmlformats.org/officeDocument/2006/relationships/hyperlink" Target="https://advance.lexis.com/api/document?collection=cases-ca&amp;id=urn:contentItem:5G6F-0731-JSJC-X1B3-00000-00&amp;context=" TargetMode="External" /><Relationship Id="rId99" Type="http://schemas.openxmlformats.org/officeDocument/2006/relationships/hyperlink" Target="https://advance.lexis.com/api/document?collection=cases-ca&amp;id=urn:contentItem:5F7T-S711-JNS1-M0XF-00000-00&amp;context=" TargetMode="External" /><Relationship Id="rId990" Type="http://schemas.openxmlformats.org/officeDocument/2006/relationships/hyperlink" Target="https://advance.lexis.com/api/document?collection=cases-ca&amp;id=urn:contentItem:5F7T-S791-FJTD-G2V2-00000-00&amp;context=" TargetMode="External" /><Relationship Id="rId991" Type="http://schemas.openxmlformats.org/officeDocument/2006/relationships/hyperlink" Target="https://advance.lexis.com/api/document?collection=cases-ca&amp;id=urn:contentItem:5F7T-S7K1-DY33-B1TJ-00000-00&amp;context=" TargetMode="External" /><Relationship Id="rId992" Type="http://schemas.openxmlformats.org/officeDocument/2006/relationships/hyperlink" Target="https://advance.lexis.com/api/document?collection=cases-ca&amp;id=urn:contentItem:5F7T-S7N1-JGHR-M3B6-00000-00&amp;context=" TargetMode="External" /><Relationship Id="rId993" Type="http://schemas.openxmlformats.org/officeDocument/2006/relationships/hyperlink" Target="https://advance.lexis.com/api/document?collection=cases-ca&amp;id=urn:contentItem:5F7T-S7H1-JS5Y-B33G-00000-00&amp;context=" TargetMode="External" /><Relationship Id="rId994" Type="http://schemas.openxmlformats.org/officeDocument/2006/relationships/hyperlink" Target="https://advance.lexis.com/api/document?collection=cases-ca&amp;id=urn:contentItem:5F7T-S7K1-JX3N-B315-00000-00&amp;context=" TargetMode="External" /><Relationship Id="rId995" Type="http://schemas.openxmlformats.org/officeDocument/2006/relationships/hyperlink" Target="https://advance.lexis.com/api/document?collection=cases-ca&amp;id=urn:contentItem:5F7T-S711-F4W2-61B3-00000-00&amp;context=" TargetMode="External" /><Relationship Id="rId996" Type="http://schemas.openxmlformats.org/officeDocument/2006/relationships/hyperlink" Target="https://advance.lexis.com/api/document?collection=cases-ca&amp;id=urn:contentItem:5F7T-S7M1-JCRC-B1GT-00000-00&amp;context=" TargetMode="External" /><Relationship Id="rId997" Type="http://schemas.openxmlformats.org/officeDocument/2006/relationships/hyperlink" Target="https://advance.lexis.com/api/document?collection=cases-ca&amp;id=urn:contentItem:5GCC-XVB1-JGHR-M4B2-00000-00&amp;context=" TargetMode="External" /><Relationship Id="rId998" Type="http://schemas.openxmlformats.org/officeDocument/2006/relationships/hyperlink" Target="https://advance.lexis.com/api/document?collection=cases-ca&amp;id=urn:contentItem:5F7T-S7P1-JCRC-B24V-00000-00&amp;context=" TargetMode="External" /><Relationship Id="rId999" Type="http://schemas.openxmlformats.org/officeDocument/2006/relationships/hyperlink" Target="https://advance.lexis.com/api/document?collection=cases-ca&amp;id=urn:contentItem:5F7T-S7K1-F528-G2W5-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 v. University of British Columbia, [2014] B.C.J. No. 694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115042534</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